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5"/>
        </w:rPr>
        <w:t>imiiiiiiiiinii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180" w:firstLine="0"/>
        <w:jc w:val="right"/>
      </w:pPr>
      <w:r>
        <w:rPr>
          <w:rStyle w:val="CharStyle10"/>
        </w:rPr>
        <w:t>2024001224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  <w:u w:val="single"/>
        </w:rPr>
        <w:t>KUPNÍ SMLOUVA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440" w:line="300" w:lineRule="auto"/>
        <w:ind w:left="0" w:right="0" w:firstLine="0"/>
        <w:jc w:val="center"/>
      </w:pPr>
      <w:bookmarkStart w:id="2" w:name="bookmark2"/>
      <w:r>
        <w:rPr>
          <w:rStyle w:val="CharStyle13"/>
        </w:rPr>
        <w:t>uzavřená v souladu s ustanovením § 2079 a násl. zákona č. 89/2012 Sb., občanský zákoník,</w:t>
        <w:br/>
        <w:t>mezi níže uvedenými smluvními stranami</w:t>
      </w:r>
      <w:bookmarkEnd w:id="2"/>
    </w:p>
    <w:tbl>
      <w:tblPr>
        <w:tblOverlap w:val="never"/>
        <w:jc w:val="center"/>
        <w:tblLayout w:type="fixed"/>
      </w:tblPr>
      <w:tblGrid>
        <w:gridCol w:w="2678"/>
        <w:gridCol w:w="6187"/>
      </w:tblGrid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rStyle w:val="CharStyle18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MUDr. Hana Albrechtová, ředitelka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shd w:val="clear" w:color="auto" w:fill="000000"/>
              </w:rPr>
              <w:t>.......​</w:t>
            </w:r>
            <w:r>
              <w:rPr>
                <w:rStyle w:val="CharStyle18"/>
                <w:spacing w:val="5"/>
                <w:shd w:val="clear" w:color="auto" w:fill="000000"/>
              </w:rPr>
              <w:t>.........</w:t>
            </w:r>
            <w:r>
              <w:rPr>
                <w:rStyle w:val="CharStyle18"/>
                <w:spacing w:val="6"/>
                <w:shd w:val="clear" w:color="auto" w:fill="000000"/>
              </w:rPr>
              <w:t>.</w:t>
            </w:r>
            <w:r>
              <w:rPr>
                <w:rStyle w:val="CharStyle18"/>
                <w:shd w:val="clear" w:color="auto" w:fill="000000"/>
              </w:rPr>
              <w:t>​..</w:t>
            </w:r>
            <w:r>
              <w:rPr>
                <w:rStyle w:val="CharStyle18"/>
                <w:spacing w:val="1"/>
                <w:shd w:val="clear" w:color="auto" w:fill="000000"/>
              </w:rPr>
              <w:t>.........</w:t>
            </w:r>
            <w:r>
              <w:rPr>
                <w:rStyle w:val="CharStyle18"/>
                <w:u w:val="single"/>
                <w:shd w:val="clear" w:color="auto" w:fill="000000"/>
                <w:lang w:val="en-US" w:eastAsia="en-US" w:bidi="en-US"/>
              </w:rPr>
              <w:t>​...</w:t>
            </w:r>
            <w:r>
              <w:rPr>
                <w:rStyle w:val="CharStyle18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</w:t>
            </w:r>
            <w:r>
              <w:rPr>
                <w:rStyle w:val="CharStyle18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7"/>
                <w:shd w:val="clear" w:color="auto" w:fill="000000"/>
              </w:rPr>
              <w:t>......</w:t>
            </w:r>
            <w:r>
              <w:rPr>
                <w:rStyle w:val="CharStyle18"/>
                <w:shd w:val="clear" w:color="auto" w:fill="000000"/>
              </w:rPr>
              <w:t>​....</w:t>
            </w:r>
            <w:r>
              <w:rPr>
                <w:rStyle w:val="CharStyle18"/>
                <w:spacing w:val="1"/>
                <w:shd w:val="clear" w:color="auto" w:fill="000000"/>
              </w:rPr>
              <w:t>.....</w:t>
            </w:r>
            <w:r>
              <w:rPr>
                <w:rStyle w:val="CharStyle18"/>
                <w:shd w:val="clear" w:color="auto" w:fill="000000"/>
              </w:rPr>
              <w:t>​.......​</w:t>
            </w:r>
            <w:r>
              <w:rPr>
                <w:rStyle w:val="CharStyle18"/>
                <w:spacing w:val="6"/>
                <w:shd w:val="clear" w:color="auto" w:fill="000000"/>
              </w:rPr>
              <w:t>...</w:t>
            </w:r>
            <w:r>
              <w:rPr>
                <w:rStyle w:val="CharStyle18"/>
                <w:spacing w:val="7"/>
                <w:shd w:val="clear" w:color="auto" w:fill="000000"/>
              </w:rPr>
              <w:t>...</w:t>
            </w:r>
            <w:r>
              <w:rPr>
                <w:rStyle w:val="CharStyle18"/>
                <w:shd w:val="clear" w:color="auto" w:fill="000000"/>
              </w:rPr>
              <w:t>​......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00346292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CZ00346292</w:t>
            </w:r>
          </w:p>
        </w:tc>
      </w:tr>
      <w:tr>
        <w:trPr>
          <w:trHeight w:val="67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Zápis v OR: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Krajský soud v Brně sp. zn. Pr 1245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MONETA Money Bank, a.s., č. ú. 117203514/0600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15"/>
        </w:rPr>
        <w:t xml:space="preserve">(dále jen </w:t>
      </w:r>
      <w:r>
        <w:rPr>
          <w:rStyle w:val="CharStyle15"/>
          <w:b/>
          <w:bCs/>
          <w:i/>
          <w:iCs/>
        </w:rPr>
        <w:t>„kupující'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78"/>
        <w:gridCol w:w="6182"/>
      </w:tblGrid>
      <w:tr>
        <w:trPr>
          <w:trHeight w:val="8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Jméno: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b/>
                <w:bCs/>
              </w:rPr>
              <w:t>COMIMPEX spol. s r.o.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Haškova 153/17, 638 00 Brno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David Střelec, jednatel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18"/>
              </w:rPr>
              <w:t>Kontaktní osoba: 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2923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8"/>
                <w:spacing w:val="8"/>
                <w:shd w:val="clear" w:color="auto" w:fill="000000"/>
              </w:rPr>
              <w:t>....</w:t>
            </w:r>
            <w:r>
              <w:rPr>
                <w:rStyle w:val="CharStyle18"/>
                <w:spacing w:val="9"/>
                <w:shd w:val="clear" w:color="auto" w:fill="000000"/>
              </w:rPr>
              <w:t>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1"/>
                <w:shd w:val="clear" w:color="auto" w:fill="000000"/>
              </w:rPr>
              <w:t>.........</w:t>
            </w:r>
            <w:r>
              <w:rPr>
                <w:rStyle w:val="CharStyle18"/>
                <w:shd w:val="clear" w:color="auto" w:fill="000000"/>
              </w:rPr>
              <w:t>.............................</w:t>
            </w:r>
            <w:r>
              <w:rPr>
                <w:rStyle w:val="CharStyle18"/>
                <w:spacing w:val="1"/>
                <w:shd w:val="clear" w:color="auto" w:fill="000000"/>
              </w:rPr>
              <w:t>...........</w:t>
            </w:r>
            <w:r>
              <w:rPr>
                <w:rStyle w:val="CharStyle18"/>
                <w:spacing w:val="7"/>
                <w:shd w:val="clear" w:color="auto" w:fill="000000"/>
              </w:rPr>
              <w:t>......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2"/>
                <w:shd w:val="clear" w:color="auto" w:fill="000000"/>
              </w:rPr>
              <w:t>.</w:t>
            </w:r>
            <w:r>
              <w:rPr>
                <w:rStyle w:val="CharStyle18"/>
                <w:spacing w:val="3"/>
                <w:shd w:val="clear" w:color="auto" w:fill="000000"/>
              </w:rPr>
              <w:t>.</w:t>
            </w:r>
            <w:r>
              <w:rPr>
                <w:rStyle w:val="CharStyle18"/>
                <w:shd w:val="clear" w:color="auto" w:fill="000000"/>
              </w:rPr>
              <w:t>.......​.......​.......​......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46972439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CZ46972439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Krajský soud v Brně sp. zn. C7360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Komerční banka, a.s., č. ú. 35609641/0100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15"/>
        </w:rPr>
        <w:t xml:space="preserve">(dále jen </w:t>
      </w:r>
      <w:r>
        <w:rPr>
          <w:rStyle w:val="CharStyle15"/>
          <w:b/>
          <w:bCs/>
          <w:i/>
          <w:iCs/>
        </w:rPr>
        <w:t>„prodávající )</w:t>
      </w:r>
    </w:p>
    <w:p>
      <w:pPr>
        <w:widowControl w:val="0"/>
        <w:spacing w:after="6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8" w:lineRule="auto"/>
        <w:ind w:left="420" w:right="0" w:hanging="420"/>
        <w:jc w:val="both"/>
      </w:pPr>
      <w:r>
        <w:rPr>
          <w:rStyle w:val="CharStyle3"/>
        </w:rPr>
        <w:t>Prodávající je oprávněn na základě svého vlastnického práva nakládat se zbožím v podobě 18 ks HDD. Podrobná specifikace tohoto zboží je uvedena v příloze č. 1, která je nedílnou součástí této kupní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Prodávající prodává zboží podle čl. 1 této smlouvy se všemi jejich součástmi a příslušenstvím kupujícímu, a kupující kupuje toto zboží do vlastnictví Jihomoravského kraje jako svého zřizovatele za kupní cenu podle čl. 6 této smlouvy. Součástí tohoto závazku prodávajícího je také dodání technické dokumentace příslušného zboží a návodu k jeho obsluze, a dokladů prokazujících shodu, to vše v českém jazyce, a v tištěné i elektronické podobě.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 xml:space="preserve">Prodávající se zavazuje splnit svůj závazek k dodání zboží podle čl. 1 této smlouvy nejpozději do </w:t>
      </w:r>
      <w:r>
        <w:rPr>
          <w:rStyle w:val="CharStyle3"/>
          <w:b/>
          <w:bCs/>
        </w:rPr>
        <w:t xml:space="preserve">sedmi pracovní dnů od nabytí její účinnosti, </w:t>
      </w:r>
      <w:r>
        <w:rPr>
          <w:rStyle w:val="CharStyle3"/>
        </w:rPr>
        <w:t>a to v místě splnění tohoto závazku, kterým je sídlo kupujícího v Brně, Kamenice 798/1 d, 625 00 Brno.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80" w:line="286" w:lineRule="auto"/>
        <w:ind w:left="420" w:right="0" w:hanging="420"/>
        <w:jc w:val="both"/>
      </w:pPr>
      <w:r>
        <w:rPr>
          <w:rStyle w:val="CharStyle3"/>
        </w:rPr>
        <w:t>Závazek prodávajícího ke splnění jeho závazku k dodání zboží podle čl. 1 této smlouvy se pak považuje za splněný po faktickém předání a převzetí zboží prostého všech vad, po jeho instalaci a konfiguraci v místě plnění na základě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3"/>
        </w:rPr>
        <w:t>Nebezpečí škody na převáděném zboží a vlastnické právo k tomuto zboží přechází z prodávajícího na kupujícího dnem splnění závazku prodávajícího k dodání zboží podle čl. 1 této smlouvy způsobem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0" w:line="286" w:lineRule="auto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této smlouvy celkovou kupní cenu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86" w:lineRule="auto"/>
        <w:ind w:left="0" w:right="0" w:firstLine="0"/>
        <w:jc w:val="center"/>
      </w:pPr>
      <w:r>
        <w:rPr>
          <w:rStyle w:val="CharStyle3"/>
          <w:b/>
          <w:bCs/>
        </w:rPr>
        <w:t xml:space="preserve">155 880,-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188 614,8,- </w:t>
      </w:r>
      <w:r>
        <w:rPr>
          <w:rStyle w:val="CharStyle3"/>
        </w:rPr>
        <w:t>Kč včetně DPH.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400" w:right="0" w:firstLine="20"/>
        <w:jc w:val="both"/>
      </w:pPr>
      <w:r>
        <w:rPr>
          <w:rStyle w:val="CharStyle3"/>
        </w:rPr>
        <w:t>Součástí této ceny jsou veškeré náklady prodávajícího na splnění jeho závazku k dodání zboží podle této smlouvy a daň z přidané hodnoty v sazbě podle zákona.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 xml:space="preserve">Kupní cena podle čl. 6 této smlouvy je splatná na účet prodávajícího po splnění závazku prodávajícího k dodání zboží podle čl. 1 této smlouvy způsobem podle čl. 4 této smlouvy ve lhůtě do 30 dnů ode dne doručení jejího písemného vyúčtování (daňového dokladu/faktury).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6795C0"/>
          <w:lang w:val="en-US" w:eastAsia="en-US" w:bidi="en-US"/>
        </w:rPr>
        <w:t xml:space="preserve"> </w:t>
      </w:r>
      <w:r>
        <w:rPr>
          <w:rStyle w:val="CharStyle3"/>
        </w:rPr>
        <w:t xml:space="preserve">a musí obsahovat mimo jiné toto číslo veřejné zakázky: </w:t>
      </w:r>
      <w:r>
        <w:rPr>
          <w:rStyle w:val="CharStyle3"/>
          <w:b/>
          <w:bCs/>
        </w:rPr>
        <w:t xml:space="preserve">P24V00000282. </w:t>
      </w:r>
      <w:r>
        <w:rPr>
          <w:rStyle w:val="CharStyle3"/>
        </w:rPr>
        <w:t>Přílohou faktury bude kopie písemného předávacího protokolu podepsaného oběma stranami.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S převodem tohoto zboží je spojena záruka za jakost v trvání </w:t>
      </w:r>
      <w:r>
        <w:rPr>
          <w:rStyle w:val="CharStyle3"/>
          <w:b/>
          <w:bCs/>
        </w:rPr>
        <w:t xml:space="preserve">60 měsíců </w:t>
      </w:r>
      <w:r>
        <w:rPr>
          <w:rStyle w:val="CharStyle3"/>
        </w:rPr>
        <w:t>ode dne splnění závazku prodávajícího k dodání tohoto zboží. V rámci této záruky se prodávající zavazuje odstraňovat vady na zboží podle čl. 1 této smlouvy ve lhůtě do 30 dnů od doručení příslušné reklamace kupujícího. Vzhledem k povaze zboží podle čl. 1 této smlouvy lze dodržet lhůtu podle tohoto článku této smlouvy i zapůjčením stejného zboží na dobu potřebnou k odstraněni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3 této smlouvy a pro případ jeho prodlení s odstraněním vady ve lhůtě podle čl. 8 této smlouvy se prodávající zavazuje platit kupujícímu smluvní pokutu ve výši 0,1 % z kupní ceny podle čl. 6 této smlouvy za každý započatý den tohoto prodleni.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40" w:line="276" w:lineRule="auto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3 této smlouvy o více než dva týdny nebo pro případ výskytu neodstranitelné vady resp. výskytu tří a více vad, a to i postupné,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440" w:line="290" w:lineRule="auto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7 této smlouvy o více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ustanoveni § 2079 a násl.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19 této smlouvy. Kupující přitom předem</w:t>
        <w:br w:type="page"/>
      </w:r>
      <w:r>
        <w:rPr>
          <w:rStyle w:val="CharStyle3"/>
        </w:rPr>
        <w:t>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line="286" w:lineRule="auto"/>
        <w:ind w:left="0" w:right="0" w:firstLine="0"/>
        <w:jc w:val="left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line="286" w:lineRule="auto"/>
        <w:ind w:left="0" w:right="0" w:firstLine="0"/>
        <w:jc w:val="left"/>
      </w:pPr>
      <w:r>
        <w:rPr>
          <w:rStyle w:val="CharStyle3"/>
        </w:rPr>
        <w:t>Tato smlouva nabývá účinnosti dnem jejího uveřejnění v registru smluv dle čl. 16.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740" w:line="286" w:lineRule="auto"/>
        <w:ind w:left="400" w:right="0" w:hanging="40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38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12700</wp:posOffset>
                </wp:positionV>
                <wp:extent cx="646430" cy="14922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64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8.549999999999997pt;margin-top:1.pt;width:50.899999999999999pt;height:1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3999865</wp:posOffset>
            </wp:positionH>
            <wp:positionV relativeFrom="paragraph">
              <wp:posOffset>381000</wp:posOffset>
            </wp:positionV>
            <wp:extent cx="1987550" cy="1243330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87550" cy="12433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>V Brně dne 6.2.2024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  <w:rPr>
          <w:sz w:val="22"/>
          <w:szCs w:val="22"/>
        </w:rPr>
      </w:pPr>
      <w:r>
        <w:rPr>
          <w:rStyle w:val="CharStyle13"/>
          <w:spacing w:val="1"/>
          <w:w w:val="80"/>
          <w:sz w:val="22"/>
          <w:szCs w:val="22"/>
          <w:shd w:val="clear" w:color="auto" w:fill="000000"/>
        </w:rPr>
        <w:t>.............</w:t>
      </w:r>
      <w:r>
        <w:rPr>
          <w:rStyle w:val="CharStyle13"/>
          <w:spacing w:val="2"/>
          <w:w w:val="80"/>
          <w:sz w:val="22"/>
          <w:szCs w:val="22"/>
          <w:shd w:val="clear" w:color="auto" w:fill="000000"/>
        </w:rPr>
        <w:t>........</w:t>
      </w:r>
      <w:bookmarkStart w:id="4" w:name="bookmark4"/>
      <w:r>
        <w:rPr>
          <w:rStyle w:val="CharStyle13"/>
          <w:w w:val="80"/>
          <w:sz w:val="22"/>
          <w:szCs w:val="22"/>
          <w:shd w:val="clear" w:color="auto" w:fill="000000"/>
        </w:rPr>
        <w:t>​</w:t>
      </w:r>
      <w:r>
        <w:rPr>
          <w:rStyle w:val="CharStyle13"/>
          <w:spacing w:val="2"/>
          <w:w w:val="80"/>
          <w:sz w:val="22"/>
          <w:szCs w:val="22"/>
          <w:shd w:val="clear" w:color="auto" w:fill="000000"/>
        </w:rPr>
        <w:t>............</w:t>
      </w:r>
      <w:r>
        <w:rPr>
          <w:rStyle w:val="CharStyle13"/>
          <w:spacing w:val="3"/>
          <w:w w:val="80"/>
          <w:sz w:val="22"/>
          <w:szCs w:val="22"/>
          <w:shd w:val="clear" w:color="auto" w:fill="000000"/>
        </w:rPr>
        <w:t>.....</w:t>
      </w:r>
      <w:r>
        <w:rPr>
          <w:rStyle w:val="CharStyle13"/>
          <w:w w:val="80"/>
          <w:sz w:val="22"/>
          <w:szCs w:val="22"/>
          <w:shd w:val="clear" w:color="auto" w:fill="000000"/>
        </w:rPr>
        <w:t>​</w:t>
      </w:r>
      <w:r>
        <w:rPr>
          <w:rStyle w:val="CharStyle13"/>
          <w:spacing w:val="2"/>
          <w:w w:val="80"/>
          <w:sz w:val="22"/>
          <w:szCs w:val="22"/>
          <w:shd w:val="clear" w:color="auto" w:fill="000000"/>
        </w:rPr>
        <w:t>.</w:t>
      </w:r>
      <w:r>
        <w:rPr>
          <w:rStyle w:val="CharStyle13"/>
          <w:spacing w:val="3"/>
          <w:w w:val="80"/>
          <w:sz w:val="22"/>
          <w:szCs w:val="22"/>
          <w:shd w:val="clear" w:color="auto" w:fill="000000"/>
        </w:rPr>
        <w:t>.........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rStyle w:val="CharStyle3"/>
          <w:shd w:val="clear" w:color="auto" w:fill="000000"/>
        </w:rPr>
        <w:t>....................</w:t>
      </w:r>
      <w:r>
        <w:rPr>
          <w:rStyle w:val="CharStyle3"/>
          <w:spacing w:val="1"/>
          <w:shd w:val="clear" w:color="auto" w:fill="000000"/>
        </w:rPr>
        <w:t>.......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4"/>
          <w:shd w:val="clear" w:color="auto" w:fill="000000"/>
        </w:rPr>
        <w:t>....</w:t>
      </w:r>
      <w:r>
        <w:rPr>
          <w:rStyle w:val="CharStyle3"/>
          <w:spacing w:val="5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21" w:lineRule="auto"/>
        <w:ind w:left="0" w:right="0" w:firstLine="140"/>
        <w:jc w:val="left"/>
      </w:pPr>
      <w:r>
        <w:rPr>
          <w:rStyle w:val="CharStyle3"/>
          <w:spacing w:val="3"/>
          <w:shd w:val="clear" w:color="auto" w:fill="000000"/>
        </w:rPr>
        <w:t>.............</w:t>
      </w:r>
      <w:r>
        <w:rPr>
          <w:rStyle w:val="CharStyle3"/>
          <w:spacing w:val="4"/>
          <w:shd w:val="clear" w:color="auto" w:fill="000000"/>
        </w:rPr>
        <w:t>...</w:t>
      </w:r>
      <w:r>
        <w:rPr>
          <w:rStyle w:val="CharStyle3"/>
          <w:b/>
          <w:bCs/>
          <w:i/>
          <w:iCs/>
          <w:shd w:val="clear" w:color="auto" w:fill="000000"/>
        </w:rPr>
        <w:t>​</w:t>
      </w:r>
      <w:r>
        <w:rPr>
          <w:rStyle w:val="CharStyle3"/>
          <w:b/>
          <w:bCs/>
          <w:i/>
          <w:iCs/>
          <w:spacing w:val="2"/>
          <w:shd w:val="clear" w:color="auto" w:fill="000000"/>
        </w:rPr>
        <w:t>..</w:t>
      </w:r>
      <w:r>
        <w:rPr>
          <w:rStyle w:val="CharStyle3"/>
          <w:b/>
          <w:bCs/>
          <w:i/>
          <w:iCs/>
          <w:spacing w:val="3"/>
          <w:shd w:val="clear" w:color="auto" w:fill="000000"/>
        </w:rPr>
        <w:t>..</w:t>
      </w:r>
      <w:r>
        <w:rPr>
          <w:rStyle w:val="CharStyle3"/>
          <w:b/>
          <w:bCs/>
          <w:i/>
          <w:iCs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.​</w:t>
      </w:r>
      <w:r>
        <w:rPr>
          <w:rStyle w:val="CharStyle3"/>
          <w:spacing w:val="21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3"/>
          <w:shd w:val="clear" w:color="auto" w:fill="000000"/>
        </w:rPr>
        <w:t>.......</w:t>
      </w:r>
      <w:r>
        <w:rPr>
          <w:rStyle w:val="CharStyle3"/>
          <w:shd w:val="clear" w:color="auto" w:fill="000000"/>
        </w:rPr>
        <w:t>​.....​</w:t>
      </w:r>
      <w:r>
        <w:rPr>
          <w:rStyle w:val="CharStyle3"/>
          <w:spacing w:val="4"/>
          <w:shd w:val="clear" w:color="auto" w:fill="000000"/>
        </w:rPr>
        <w:t>....</w:t>
      </w:r>
      <w:r>
        <w:rPr>
          <w:rStyle w:val="CharStyle3"/>
          <w:spacing w:val="5"/>
          <w:shd w:val="clear" w:color="auto" w:fill="000000"/>
        </w:rPr>
        <w:t>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86" w:lineRule="auto"/>
        <w:ind w:left="0" w:right="0" w:firstLine="0"/>
        <w:jc w:val="left"/>
      </w:pPr>
      <w:r>
        <w:rPr>
          <w:rStyle w:val="CharStyle3"/>
        </w:rPr>
        <w:t xml:space="preserve">MUDr. Hana Albrechtová ředitelka </w:t>
      </w:r>
      <w:r>
        <w:rPr>
          <w:rStyle w:val="CharStyle3"/>
          <w:b/>
          <w:bCs/>
          <w:i/>
          <w:iCs/>
        </w:rPr>
        <w:t>Kupující</w:t>
      </w:r>
    </w:p>
    <w:p>
      <w:pPr>
        <w:pStyle w:val="Style51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6" w:name="bookmark6"/>
      <w:r>
        <w:rPr>
          <w:rStyle w:val="CharStyle52"/>
          <w:b/>
          <w:bCs/>
        </w:rPr>
        <w:t>O COMIMPEX"</w:t>
      </w:r>
      <w:bookmarkEnd w:id="6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left="5180" w:right="0" w:firstLine="0"/>
        <w:jc w:val="left"/>
      </w:pPr>
      <w:r>
        <w:rPr>
          <w:rStyle w:val="CharStyle10"/>
        </w:rPr>
        <w:t>Informační a bezpečnostní technologie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rStyle w:val="CharStyle10"/>
        </w:rPr>
        <w:t xml:space="preserve">COMIMPEX spol. s </w:t>
      </w:r>
      <w:r>
        <w:rPr>
          <w:rStyle w:val="CharStyle10"/>
          <w:b/>
          <w:bCs/>
          <w:sz w:val="19"/>
          <w:szCs w:val="19"/>
        </w:rPr>
        <w:t xml:space="preserve">r.o. </w:t>
      </w:r>
      <w:r>
        <w:rPr>
          <w:rStyle w:val="CharStyle10"/>
        </w:rPr>
        <w:t xml:space="preserve">Haškova 17,638 00 </w:t>
      </w:r>
      <w:r>
        <w:rPr>
          <w:rStyle w:val="CharStyle10"/>
          <w:b/>
          <w:bCs/>
          <w:sz w:val="19"/>
          <w:szCs w:val="19"/>
        </w:rPr>
        <w:t xml:space="preserve">Brno </w:t>
      </w:r>
      <w:r>
        <w:rPr>
          <w:rStyle w:val="CharStyle10"/>
        </w:rPr>
        <w:t>DIČ: CZ46972439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227" w:right="1464" w:bottom="1840" w:left="155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55"/>
        </w:rPr>
        <w:t>obchodní oddělení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314" w:lineRule="auto"/>
        <w:ind w:left="0" w:right="0" w:firstLine="0"/>
        <w:jc w:val="left"/>
      </w:pPr>
      <w:r>
        <w:rPr>
          <w:rStyle w:val="CharStyle3"/>
          <w:b/>
          <w:bCs/>
        </w:rPr>
        <w:t>Příloha č. 1 Technická specifikace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86" w:lineRule="auto"/>
        <w:ind w:left="0" w:right="0" w:firstLine="0"/>
        <w:jc w:val="left"/>
      </w:pPr>
      <w:r>
        <w:rPr>
          <w:rStyle w:val="CharStyle3"/>
        </w:rPr>
        <w:t>Zadavatel disponuje NAS severy s HDD SEAGATE IRONWOLF PRO (NAS) 3,5“ - 18TB, ŠATA III. Z důvodu kompatibility zadavatel požaduje a technicky vymezuje poptávané plnění: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20" w:line="326" w:lineRule="auto"/>
        <w:ind w:left="0" w:right="0" w:firstLine="0"/>
        <w:jc w:val="left"/>
      </w:pPr>
      <w:bookmarkStart w:id="8" w:name="bookmark8"/>
      <w:r>
        <w:rPr>
          <w:rStyle w:val="CharStyle13"/>
        </w:rPr>
        <w:t>18 ks SEAGATE IRONWOLF PRO - 18TB ST18000NT001 3,5" SATAIII 7200rpm (ST18000NT001)</w:t>
      </w:r>
      <w:bookmarkEnd w:id="8"/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5"/>
        </w:rPr>
        <w:t>Model: Seagate IronWolf Pro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5"/>
        </w:rPr>
        <w:t>Provedení: 3,5" HDD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5"/>
        </w:rPr>
        <w:t>Kapacita: 18 TB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5"/>
        </w:rPr>
        <w:t>Rozhraní: ŠATA lil 6 GB/s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5"/>
        </w:rPr>
        <w:t>Vyrovnávací paměť: 256 MB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5"/>
        </w:rPr>
        <w:t>Otáčky disku: 7200 rpm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5"/>
        </w:rPr>
        <w:t>Rozměry: 101 x 26 x 146 mm (Š x V x H)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5"/>
        </w:rPr>
        <w:t>Hmotnost: 670g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80" w:line="350" w:lineRule="auto"/>
        <w:ind w:left="0" w:right="0" w:firstLine="0"/>
        <w:jc w:val="left"/>
      </w:pPr>
      <w:r>
        <w:rPr>
          <w:rStyle w:val="CharStyle55"/>
        </w:rPr>
        <w:t>PN:ST18000NT001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line="350" w:lineRule="auto"/>
        <w:ind w:left="0" w:right="0" w:firstLine="0"/>
        <w:jc w:val="left"/>
      </w:pPr>
      <w:r>
        <w:rPr>
          <w:rStyle w:val="CharStyle55"/>
        </w:rPr>
        <w:t>Záruka: 5 let</w:t>
      </w:r>
    </w:p>
    <w:sectPr>
      <w:footerReference w:type="default" r:id="rId9"/>
      <w:footerReference w:type="even" r:id="rId10"/>
      <w:footnotePr>
        <w:pos w:val="pageBottom"/>
        <w:numFmt w:val="decimal"/>
        <w:numRestart w:val="continuous"/>
      </w:footnotePr>
      <w:type w:val="continuous"/>
      <w:pgSz w:w="11900" w:h="16840"/>
      <w:pgMar w:top="227" w:right="1464" w:bottom="1840" w:left="155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1021715</wp:posOffset>
              </wp:positionH>
              <wp:positionV relativeFrom="page">
                <wp:posOffset>10193655</wp:posOffset>
              </wp:positionV>
              <wp:extent cx="1542415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241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15_2024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0.450000000000003pt;margin-top:802.64999999999998pt;width:121.4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19"/>
                        <w:szCs w:val="19"/>
                      </w:rPr>
                      <w:t>15_2024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9708515</wp:posOffset>
              </wp:positionV>
              <wp:extent cx="52070" cy="7937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6.pt;margin-top:764.45000000000005pt;width:4.0999999999999996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9967595</wp:posOffset>
              </wp:positionV>
              <wp:extent cx="1532890" cy="1155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3289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15_2024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9.25pt;margin-top:784.85000000000002pt;width:120.7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19"/>
                        <w:szCs w:val="19"/>
                      </w:rPr>
                      <w:t>15_2024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1021715</wp:posOffset>
              </wp:positionH>
              <wp:positionV relativeFrom="page">
                <wp:posOffset>10193655</wp:posOffset>
              </wp:positionV>
              <wp:extent cx="1542415" cy="12192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241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15_2024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0.450000000000003pt;margin-top:802.64999999999998pt;width:121.45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19"/>
                        <w:szCs w:val="19"/>
                      </w:rPr>
                      <w:t>15_2024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1021715</wp:posOffset>
              </wp:positionH>
              <wp:positionV relativeFrom="page">
                <wp:posOffset>10193655</wp:posOffset>
              </wp:positionV>
              <wp:extent cx="1542415" cy="12192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241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15_2024 Výpočetní technika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80.450000000000003pt;margin-top:802.64999999999998pt;width:121.45pt;height:9.59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19"/>
                        <w:szCs w:val="19"/>
                      </w:rPr>
                      <w:t>15_2024 Výpočetní technika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Nadpis #3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8">
    <w:name w:val="Jiné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2">
    <w:name w:val="Nadpis #2_"/>
    <w:basedOn w:val="DefaultParagraphFont"/>
    <w:link w:val="Style5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5">
    <w:name w:val="Základní text (2)_"/>
    <w:basedOn w:val="DefaultParagraphFont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4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spacing w:after="80"/>
      <w:ind w:right="1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after="80" w:line="324" w:lineRule="auto"/>
      <w:ind w:left="60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Nadpis #3"/>
    <w:basedOn w:val="Normal"/>
    <w:link w:val="CharStyle13"/>
    <w:pPr>
      <w:widowControl w:val="0"/>
      <w:shd w:val="clear" w:color="auto" w:fill="auto"/>
      <w:spacing w:after="330" w:line="312" w:lineRule="auto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auto"/>
      <w:spacing w:after="24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1">
    <w:name w:val="Nadpis #2"/>
    <w:basedOn w:val="Normal"/>
    <w:link w:val="CharStyle52"/>
    <w:pPr>
      <w:widowControl w:val="0"/>
      <w:shd w:val="clear" w:color="auto" w:fill="auto"/>
      <w:ind w:left="518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54">
    <w:name w:val="Základní text (2)"/>
    <w:basedOn w:val="Normal"/>
    <w:link w:val="CharStyle55"/>
    <w:pPr>
      <w:widowControl w:val="0"/>
      <w:shd w:val="clear" w:color="auto" w:fill="auto"/>
      <w:spacing w:after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