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3"/>
        </w:rPr>
        <w:t>■IHIIMII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5"/>
        </w:rPr>
        <w:t>2024000852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7"/>
          <w:b/>
          <w:bCs/>
        </w:rPr>
        <w:t>Přehled cen pro firmy - svoz z objednávek ke KN smlouvám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Style w:val="CharStyle9"/>
          <w:b/>
          <w:bCs/>
        </w:rPr>
        <w:t>2024</w:t>
      </w:r>
    </w:p>
    <w:tbl>
      <w:tblPr>
        <w:tblOverlap w:val="never"/>
        <w:jc w:val="left"/>
        <w:tblLayout w:type="fixed"/>
      </w:tblPr>
      <w:tblGrid>
        <w:gridCol w:w="965"/>
        <w:gridCol w:w="2587"/>
        <w:gridCol w:w="1214"/>
        <w:gridCol w:w="1901"/>
        <w:gridCol w:w="1987"/>
        <w:gridCol w:w="1786"/>
        <w:gridCol w:w="1930"/>
      </w:tblGrid>
      <w:tr>
        <w:trPr>
          <w:trHeight w:val="264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  <w:u w:val="single"/>
              </w:rPr>
              <w:t>SKO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3"/>
                <w:sz w:val="16"/>
                <w:szCs w:val="16"/>
              </w:rPr>
              <w:t>rok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13"/>
                <w:sz w:val="16"/>
                <w:szCs w:val="16"/>
              </w:rPr>
              <w:t>pololetí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rStyle w:val="CharStyle13"/>
                <w:sz w:val="16"/>
                <w:szCs w:val="16"/>
              </w:rPr>
              <w:t>čtvrtletí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rStyle w:val="CharStyle13"/>
                <w:sz w:val="16"/>
                <w:szCs w:val="16"/>
              </w:rPr>
              <w:t>měsíc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popelnice 110 1,120 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  <w:b/>
                <w:bCs/>
              </w:rPr>
              <w:t>1x7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rStyle w:val="CharStyle13"/>
                <w:b/>
                <w:bCs/>
              </w:rPr>
              <w:t>3 753,00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1 876,50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938,25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312,75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popelnice 110 1,120 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  <w:b/>
                <w:bCs/>
              </w:rPr>
              <w:t>1x14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rStyle w:val="CharStyle13"/>
                <w:b/>
                <w:bCs/>
              </w:rPr>
              <w:t>2 321,00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1 160,50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580,25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193,42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popelnice 110 1,120 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151,00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11001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  <w:b/>
                <w:bCs/>
              </w:rPr>
              <w:t>1x14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11 480,00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5 740,00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rStyle w:val="CharStyle13"/>
                <w:b/>
                <w:bCs/>
              </w:rPr>
              <w:t>2 870,00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956,67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1100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1x7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21 459,00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10 729,50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rStyle w:val="CharStyle13"/>
                <w:b/>
                <w:bCs/>
              </w:rPr>
              <w:t>5 364,75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1 788,25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1100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  <w:b/>
                <w:bCs/>
              </w:rPr>
              <w:t>2x7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38 788,00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19 394,00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rStyle w:val="CharStyle13"/>
                <w:b/>
                <w:bCs/>
              </w:rPr>
              <w:t>9 697,00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3 232,33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11001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585,00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1100 I - pronájem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rStyle w:val="CharStyle13"/>
                <w:b/>
                <w:bCs/>
              </w:rPr>
              <w:t>2 649,00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1 324,50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662,25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220,75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  <w:b/>
                <w:bCs/>
                <w:u w:val="single"/>
              </w:rPr>
              <w:t>Separace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1100 I na papír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  <w:b/>
                <w:bCs/>
              </w:rPr>
              <w:t>1x7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rStyle w:val="CharStyle13"/>
                <w:b/>
                <w:bCs/>
              </w:rPr>
              <w:t>7 815,00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3 907,50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rStyle w:val="CharStyle13"/>
                <w:b/>
                <w:bCs/>
              </w:rPr>
              <w:t>1 953,75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651,25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1100 I na papír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  <w:b/>
                <w:bCs/>
              </w:rPr>
              <w:t>1x14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rStyle w:val="CharStyle13"/>
                <w:b/>
                <w:bCs/>
              </w:rPr>
              <w:t>6 126,00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3 063,00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rStyle w:val="CharStyle13"/>
                <w:b/>
                <w:bCs/>
              </w:rPr>
              <w:t>1 531,50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510,50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1100 I na papír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  <w:b/>
                <w:bCs/>
              </w:rPr>
              <w:t>1 x měsíc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4 988,00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2 494,00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rStyle w:val="CharStyle13"/>
                <w:b/>
                <w:bCs/>
              </w:rPr>
              <w:t>1 247,00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415,67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1100 I na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  <w:b/>
                <w:bCs/>
              </w:rPr>
              <w:t>1x7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12 434,00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6 217,00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rStyle w:val="CharStyle13"/>
                <w:b/>
                <w:bCs/>
              </w:rPr>
              <w:t>3 108,50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1 036,17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1100 I na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  <w:b/>
                <w:bCs/>
              </w:rPr>
              <w:t>1x14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rStyle w:val="CharStyle13"/>
                <w:b/>
                <w:bCs/>
              </w:rPr>
              <w:t>7 965,00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3 982,50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rStyle w:val="CharStyle13"/>
                <w:b/>
                <w:bCs/>
              </w:rPr>
              <w:t>1 991,25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663,75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1100 I na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  <w:b/>
                <w:bCs/>
              </w:rPr>
              <w:t>1 x měsíc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rStyle w:val="CharStyle13"/>
                <w:b/>
                <w:bCs/>
              </w:rPr>
              <w:t>5 737,00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2 868,50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rStyle w:val="CharStyle13"/>
                <w:b/>
                <w:bCs/>
              </w:rPr>
              <w:t>1 434,25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478,05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PE pytel 70 I na papír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54,00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PE pytel 70 I na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87,00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sklo bílé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min. 6 x ročně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rStyle w:val="CharStyle13"/>
                <w:b/>
                <w:bCs/>
              </w:rPr>
              <w:t>2 580,00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1 290,00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645,00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215,00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Kontejner sklo barevné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min. 6 x ročně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rStyle w:val="CharStyle13"/>
                <w:b/>
                <w:bCs/>
              </w:rPr>
              <w:t>2 580,00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3"/>
                <w:b/>
                <w:bCs/>
              </w:rPr>
              <w:t>1 290,00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645,00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215,00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  <w:b/>
          <w:bCs/>
        </w:rPr>
        <w:t>ceny jsou bez DPH 21% / rok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445" w:right="991" w:bottom="445" w:left="1146" w:header="17" w:footer="1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9">
    <w:name w:val="Základní text (4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">
    <w:name w:val="Jiné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spacing w:after="100"/>
      <w:ind w:right="11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220"/>
      <w:ind w:right="11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8">
    <w:name w:val="Základní text (4)"/>
    <w:basedOn w:val="Normal"/>
    <w:link w:val="CharStyle9"/>
    <w:pPr>
      <w:widowControl w:val="0"/>
      <w:shd w:val="clear" w:color="auto" w:fill="auto"/>
      <w:spacing w:after="340"/>
      <w:ind w:left="194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