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D43B" w14:textId="77777777" w:rsidR="005532DF" w:rsidRDefault="00D51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6</w:t>
      </w:r>
    </w:p>
    <w:p w14:paraId="0C1CB427" w14:textId="77777777" w:rsidR="005532DF" w:rsidRDefault="00D51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nájmu prostor</w:t>
      </w:r>
    </w:p>
    <w:p w14:paraId="4437F20B" w14:textId="77777777" w:rsidR="005532DF" w:rsidRDefault="00D51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(dále jen „dodatek č. 6“)</w:t>
      </w:r>
    </w:p>
    <w:p w14:paraId="314D5A7A" w14:textId="77777777" w:rsidR="005532DF" w:rsidRDefault="005532DF">
      <w:pPr>
        <w:jc w:val="both"/>
        <w:rPr>
          <w:b/>
          <w:bCs/>
        </w:rPr>
      </w:pPr>
    </w:p>
    <w:p w14:paraId="7F94C2EC" w14:textId="77777777" w:rsidR="005532DF" w:rsidRDefault="00D513A4">
      <w:pPr>
        <w:spacing w:line="276" w:lineRule="auto"/>
        <w:rPr>
          <w:b/>
        </w:rPr>
      </w:pPr>
      <w:r>
        <w:rPr>
          <w:b/>
        </w:rPr>
        <w:t>Pronajímatel:</w:t>
      </w:r>
      <w:r>
        <w:rPr>
          <w:b/>
        </w:rPr>
        <w:tab/>
        <w:t>Vysoká škola chemicko-technologická v Praze</w:t>
      </w:r>
    </w:p>
    <w:p w14:paraId="0906D851" w14:textId="77777777" w:rsidR="005532DF" w:rsidRDefault="00D513A4">
      <w:pPr>
        <w:spacing w:line="276" w:lineRule="auto"/>
        <w:ind w:left="1416" w:firstLine="708"/>
        <w:rPr>
          <w:b/>
        </w:rPr>
      </w:pPr>
      <w:r>
        <w:rPr>
          <w:b/>
        </w:rPr>
        <w:t xml:space="preserve">se sídlem Technická 1905/5, </w:t>
      </w:r>
      <w:r>
        <w:rPr>
          <w:b/>
          <w:iCs/>
        </w:rPr>
        <w:t>166 28</w:t>
      </w:r>
      <w:r>
        <w:rPr>
          <w:i/>
          <w:iCs/>
        </w:rPr>
        <w:t xml:space="preserve"> </w:t>
      </w:r>
      <w:r>
        <w:rPr>
          <w:b/>
        </w:rPr>
        <w:t>Praha 6- Dejvice,</w:t>
      </w:r>
    </w:p>
    <w:p w14:paraId="66A54336" w14:textId="773F089A" w:rsidR="005532DF" w:rsidRDefault="00D513A4">
      <w:pPr>
        <w:spacing w:line="276" w:lineRule="auto"/>
        <w:ind w:left="1416" w:firstLine="708"/>
        <w:rPr>
          <w:b/>
        </w:rPr>
      </w:pPr>
      <w:r>
        <w:rPr>
          <w:b/>
        </w:rPr>
        <w:t xml:space="preserve">zastoupena </w:t>
      </w:r>
      <w:r w:rsidR="005A7B2B">
        <w:rPr>
          <w:b/>
        </w:rPr>
        <w:t>xxxxx</w:t>
      </w:r>
      <w:r>
        <w:rPr>
          <w:b/>
        </w:rPr>
        <w:t>, rektorem</w:t>
      </w:r>
    </w:p>
    <w:p w14:paraId="6D1059C3" w14:textId="77777777" w:rsidR="005532DF" w:rsidRDefault="00D513A4">
      <w:pPr>
        <w:spacing w:line="276" w:lineRule="auto"/>
        <w:ind w:left="1416" w:firstLine="708"/>
        <w:rPr>
          <w:b/>
        </w:rPr>
      </w:pPr>
      <w:r>
        <w:rPr>
          <w:b/>
        </w:rPr>
        <w:t>IČO: 604 61 373</w:t>
      </w:r>
    </w:p>
    <w:p w14:paraId="2750844E" w14:textId="19312BC7" w:rsidR="005532DF" w:rsidRDefault="00D513A4">
      <w:pPr>
        <w:spacing w:line="276" w:lineRule="auto"/>
        <w:ind w:left="1416" w:firstLine="708"/>
        <w:rPr>
          <w:b/>
        </w:rPr>
      </w:pPr>
      <w:r>
        <w:rPr>
          <w:b/>
        </w:rPr>
        <w:t xml:space="preserve">bankovní spojení: </w:t>
      </w:r>
      <w:r w:rsidR="005A7B2B">
        <w:rPr>
          <w:b/>
        </w:rPr>
        <w:t>xxxxx</w:t>
      </w:r>
      <w:r>
        <w:rPr>
          <w:b/>
        </w:rPr>
        <w:t xml:space="preserve">, </w:t>
      </w:r>
      <w:r w:rsidR="005A7B2B">
        <w:rPr>
          <w:b/>
        </w:rPr>
        <w:t>xxxxx</w:t>
      </w:r>
    </w:p>
    <w:p w14:paraId="56F05E8E" w14:textId="77777777" w:rsidR="005532DF" w:rsidRDefault="00D513A4">
      <w:pPr>
        <w:pStyle w:val="Zkladntextodsazen"/>
        <w:spacing w:line="276" w:lineRule="auto"/>
        <w:ind w:left="1699" w:firstLine="425"/>
        <w:rPr>
          <w:b/>
          <w:szCs w:val="20"/>
        </w:rPr>
      </w:pPr>
      <w:r>
        <w:t>(dále jen „pronajímatel“)</w:t>
      </w:r>
    </w:p>
    <w:p w14:paraId="5E684C98" w14:textId="77777777" w:rsidR="005532DF" w:rsidRDefault="00D513A4">
      <w:pPr>
        <w:pStyle w:val="Zkladntextodsazen"/>
        <w:spacing w:line="276" w:lineRule="auto"/>
        <w:ind w:left="1699" w:firstLine="425"/>
      </w:pPr>
      <w:r>
        <w:t>na straně jedné</w:t>
      </w:r>
    </w:p>
    <w:p w14:paraId="624F4958" w14:textId="77777777" w:rsidR="005532DF" w:rsidRDefault="005532DF">
      <w:pPr>
        <w:jc w:val="both"/>
        <w:rPr>
          <w:b/>
        </w:rPr>
      </w:pPr>
    </w:p>
    <w:p w14:paraId="16BDA4EA" w14:textId="77777777" w:rsidR="005532DF" w:rsidRDefault="005532DF">
      <w:pPr>
        <w:jc w:val="both"/>
        <w:rPr>
          <w:b/>
        </w:rPr>
      </w:pPr>
    </w:p>
    <w:p w14:paraId="046C66B9" w14:textId="77777777" w:rsidR="005532DF" w:rsidRDefault="00D513A4">
      <w:pPr>
        <w:pStyle w:val="Zkladntext"/>
        <w:widowControl w:val="0"/>
        <w:spacing w:before="240" w:line="276" w:lineRule="auto"/>
        <w:jc w:val="left"/>
        <w:rPr>
          <w:b/>
          <w:szCs w:val="24"/>
        </w:rPr>
      </w:pPr>
      <w:r>
        <w:rPr>
          <w:b/>
        </w:rPr>
        <w:t>Nájemce:</w:t>
      </w:r>
      <w:r>
        <w:rPr>
          <w:b/>
        </w:rPr>
        <w:tab/>
      </w:r>
      <w:r>
        <w:rPr>
          <w:b/>
        </w:rPr>
        <w:tab/>
      </w:r>
      <w:r>
        <w:rPr>
          <w:b/>
          <w:szCs w:val="24"/>
        </w:rPr>
        <w:t>CESNET, zájmové sdružení právnických osob</w:t>
      </w:r>
    </w:p>
    <w:p w14:paraId="4DAD8625" w14:textId="77777777" w:rsidR="005532DF" w:rsidRDefault="00D513A4">
      <w:pPr>
        <w:pStyle w:val="Zkladntext"/>
        <w:spacing w:line="276" w:lineRule="auto"/>
        <w:ind w:left="1416" w:firstLine="708"/>
        <w:rPr>
          <w:b/>
          <w:szCs w:val="24"/>
        </w:rPr>
      </w:pPr>
      <w:r>
        <w:rPr>
          <w:b/>
          <w:szCs w:val="24"/>
        </w:rPr>
        <w:t>se sídlem Generála Píky 430/26, Dejvice, 160 00 Praha 6</w:t>
      </w:r>
    </w:p>
    <w:p w14:paraId="15002976" w14:textId="15F9DC73" w:rsidR="005532DF" w:rsidRDefault="00D513A4">
      <w:pPr>
        <w:pStyle w:val="Zkladntext"/>
        <w:spacing w:line="276" w:lineRule="auto"/>
        <w:ind w:left="1416" w:firstLine="708"/>
        <w:rPr>
          <w:b/>
          <w:szCs w:val="24"/>
        </w:rPr>
      </w:pPr>
      <w:r>
        <w:rPr>
          <w:b/>
          <w:szCs w:val="24"/>
        </w:rPr>
        <w:t xml:space="preserve">zastoupené </w:t>
      </w:r>
      <w:r w:rsidR="008770A3">
        <w:rPr>
          <w:b/>
          <w:szCs w:val="24"/>
        </w:rPr>
        <w:t>xxxxx</w:t>
      </w:r>
      <w:r>
        <w:rPr>
          <w:b/>
          <w:szCs w:val="24"/>
        </w:rPr>
        <w:t>, ředitelem</w:t>
      </w:r>
    </w:p>
    <w:p w14:paraId="42435C8C" w14:textId="77777777" w:rsidR="005532DF" w:rsidRDefault="00D513A4">
      <w:pPr>
        <w:pStyle w:val="Zkladntext"/>
        <w:spacing w:line="276" w:lineRule="auto"/>
        <w:ind w:left="1416" w:firstLine="708"/>
        <w:rPr>
          <w:b/>
          <w:szCs w:val="24"/>
        </w:rPr>
      </w:pPr>
      <w:r>
        <w:rPr>
          <w:b/>
          <w:szCs w:val="24"/>
        </w:rPr>
        <w:t>IČO: 638 39 172</w:t>
      </w:r>
    </w:p>
    <w:p w14:paraId="2D42480B" w14:textId="77777777" w:rsidR="005532DF" w:rsidRDefault="00D513A4">
      <w:pPr>
        <w:pStyle w:val="Zkladntext"/>
        <w:spacing w:line="276" w:lineRule="auto"/>
        <w:ind w:left="2124"/>
        <w:rPr>
          <w:b/>
          <w:szCs w:val="24"/>
        </w:rPr>
      </w:pPr>
      <w:r>
        <w:rPr>
          <w:b/>
          <w:szCs w:val="24"/>
        </w:rPr>
        <w:t>zapsáno v spolkovém rejstříku vedeném Městským soudem v Praze,</w:t>
      </w:r>
      <w:r>
        <w:rPr>
          <w:b/>
          <w:szCs w:val="24"/>
        </w:rPr>
        <w:br/>
        <w:t>pod sp. zn. L 58848</w:t>
      </w:r>
    </w:p>
    <w:p w14:paraId="62D29806" w14:textId="77777777" w:rsidR="005532DF" w:rsidRDefault="00D513A4">
      <w:pPr>
        <w:pStyle w:val="Zkladntext"/>
        <w:spacing w:line="276" w:lineRule="auto"/>
        <w:ind w:left="1416" w:firstLine="708"/>
        <w:rPr>
          <w:szCs w:val="24"/>
        </w:rPr>
      </w:pPr>
      <w:r>
        <w:rPr>
          <w:bCs/>
          <w:szCs w:val="24"/>
        </w:rPr>
        <w:t>(dále jen „nájemce“)</w:t>
      </w:r>
    </w:p>
    <w:p w14:paraId="441F09B4" w14:textId="77777777" w:rsidR="005532DF" w:rsidRDefault="005532DF">
      <w:pPr>
        <w:jc w:val="both"/>
      </w:pPr>
    </w:p>
    <w:p w14:paraId="75C40AF7" w14:textId="77777777" w:rsidR="005532DF" w:rsidRDefault="00D513A4">
      <w:pPr>
        <w:ind w:left="1416" w:firstLine="708"/>
        <w:jc w:val="both"/>
        <w:rPr>
          <w:bCs/>
        </w:rPr>
      </w:pPr>
      <w:r>
        <w:rPr>
          <w:bCs/>
        </w:rPr>
        <w:t xml:space="preserve">na straně druhé </w:t>
      </w:r>
    </w:p>
    <w:p w14:paraId="7CE597FE" w14:textId="77777777" w:rsidR="005532DF" w:rsidRDefault="005532DF">
      <w:pPr>
        <w:ind w:left="1416" w:firstLine="708"/>
        <w:jc w:val="both"/>
        <w:rPr>
          <w:bCs/>
        </w:rPr>
      </w:pPr>
    </w:p>
    <w:p w14:paraId="0F04EBA1" w14:textId="77777777" w:rsidR="005532DF" w:rsidRDefault="005532DF">
      <w:pPr>
        <w:ind w:left="1416" w:firstLine="708"/>
        <w:jc w:val="both"/>
        <w:rPr>
          <w:bCs/>
        </w:rPr>
      </w:pPr>
    </w:p>
    <w:p w14:paraId="4AD038CF" w14:textId="77777777" w:rsidR="005532DF" w:rsidRDefault="00D513A4">
      <w:r>
        <w:t>Pronajímatel a nájemce samostatně dále jen „</w:t>
      </w:r>
      <w:r>
        <w:rPr>
          <w:b/>
        </w:rPr>
        <w:t>smluvní strana</w:t>
      </w:r>
      <w:r>
        <w:t>“, společně pak „</w:t>
      </w:r>
      <w:r>
        <w:rPr>
          <w:b/>
        </w:rPr>
        <w:t>smluvní strany</w:t>
      </w:r>
      <w:r>
        <w:t>“</w:t>
      </w:r>
    </w:p>
    <w:p w14:paraId="31203551" w14:textId="77777777" w:rsidR="005532DF" w:rsidRDefault="005532DF">
      <w:pPr>
        <w:ind w:left="1416" w:firstLine="708"/>
        <w:jc w:val="both"/>
        <w:rPr>
          <w:bCs/>
        </w:rPr>
      </w:pPr>
    </w:p>
    <w:p w14:paraId="3BAA2F48" w14:textId="706FD837" w:rsidR="005532DF" w:rsidRDefault="00D513A4">
      <w:pPr>
        <w:jc w:val="both"/>
        <w:outlineLvl w:val="0"/>
      </w:pPr>
      <w:r>
        <w:t>uzavírají následující dodatek č. 6 ke smlouvě o nájmu prostor, kterou smluvní strany mezi sebou uzavřely dne 31. 8. 2017, interní číslo smlouvy pronajímatele 17</w:t>
      </w:r>
      <w:r w:rsidR="00680567">
        <w:t xml:space="preserve"> </w:t>
      </w:r>
      <w:r>
        <w:t>62 962 017, ID smlouvy v registru smluv 2817894 ve znění následně uzavřených dodatků (dále jen „předmětná smlouva“).</w:t>
      </w:r>
    </w:p>
    <w:p w14:paraId="0AE4A23E" w14:textId="77777777" w:rsidR="005532DF" w:rsidRDefault="005532DF">
      <w:pPr>
        <w:jc w:val="both"/>
        <w:outlineLvl w:val="0"/>
      </w:pPr>
    </w:p>
    <w:p w14:paraId="0030EA23" w14:textId="77777777" w:rsidR="005532DF" w:rsidRDefault="00D513A4">
      <w:pPr>
        <w:jc w:val="center"/>
        <w:outlineLvl w:val="0"/>
        <w:rPr>
          <w:b/>
        </w:rPr>
      </w:pPr>
      <w:r>
        <w:rPr>
          <w:b/>
        </w:rPr>
        <w:t>I.</w:t>
      </w:r>
      <w:r>
        <w:rPr>
          <w:b/>
        </w:rPr>
        <w:tab/>
        <w:t>Úvodní ujednání</w:t>
      </w:r>
    </w:p>
    <w:p w14:paraId="6F92EA5F" w14:textId="77777777" w:rsidR="005532DF" w:rsidRDefault="005532DF">
      <w:pPr>
        <w:jc w:val="center"/>
        <w:outlineLvl w:val="0"/>
        <w:rPr>
          <w:b/>
        </w:rPr>
      </w:pPr>
    </w:p>
    <w:p w14:paraId="72363E6A" w14:textId="77777777" w:rsidR="005532DF" w:rsidRDefault="00D513A4">
      <w:pPr>
        <w:pStyle w:val="Odstavecseseznamem"/>
        <w:numPr>
          <w:ilvl w:val="0"/>
          <w:numId w:val="1"/>
        </w:numPr>
        <w:ind w:left="426" w:hanging="426"/>
        <w:jc w:val="both"/>
        <w:outlineLvl w:val="0"/>
      </w:pPr>
      <w:r>
        <w:t>Pronajímatel je vlastníkem budovy č. p. 1903, jež je součástí pozemku parc. č. 586, v katastrálním území Dejvice, obec Praha (dále jen „předmětná budova“). Předmětná budova je zapsána v katastru nemovitostí vedeném Katastrálním úřadem pro hlavní město Prahu, Katastrální pracoviště Praha, na listu vlastnictví č. 3248, pro obec Praha.</w:t>
      </w:r>
    </w:p>
    <w:p w14:paraId="26055322" w14:textId="77777777" w:rsidR="005532DF" w:rsidRDefault="00D513A4">
      <w:pPr>
        <w:pStyle w:val="Odstavecseseznamem"/>
        <w:numPr>
          <w:ilvl w:val="0"/>
          <w:numId w:val="1"/>
        </w:numPr>
        <w:spacing w:before="240"/>
        <w:ind w:left="425" w:hanging="425"/>
        <w:contextualSpacing w:val="0"/>
        <w:jc w:val="both"/>
        <w:outlineLvl w:val="0"/>
      </w:pPr>
      <w:r>
        <w:t>Pronajímatel pronajal nájemci prostory v předmětné budově, jejichž bližší specifikace a výměra je uvedena v Příloze č. 1 předmětné smlouvy (dále jen „předmět nájmu“), a to za účelem zajištění činností naplňujících cíle nájemce, a to na dobu určitou do 31. srpna 2027 (dále jen „doba nájmu“).</w:t>
      </w:r>
    </w:p>
    <w:p w14:paraId="3553051C" w14:textId="77777777" w:rsidR="005532DF" w:rsidRDefault="00D513A4">
      <w:pPr>
        <w:pStyle w:val="Odstavecseseznamem"/>
        <w:numPr>
          <w:ilvl w:val="0"/>
          <w:numId w:val="1"/>
        </w:numPr>
        <w:spacing w:before="240"/>
        <w:ind w:left="425" w:hanging="425"/>
        <w:contextualSpacing w:val="0"/>
        <w:jc w:val="both"/>
        <w:outlineLvl w:val="0"/>
      </w:pPr>
      <w:r>
        <w:t>Předmětem tohoto dodatku č. 6 je úprava rozsahu předmětu nájmu, úprava výše nájemného, přístupu do předmětných prostor a</w:t>
      </w:r>
      <w:r w:rsidR="00726798">
        <w:t xml:space="preserve"> </w:t>
      </w:r>
      <w:r>
        <w:t>dalších podmínek nájmu, a to dle dohody smluvních stran, způsobem a za podmínek uvedených v čl. II tohoto dodatku č. 6.</w:t>
      </w:r>
    </w:p>
    <w:p w14:paraId="4CF7E122" w14:textId="77777777" w:rsidR="005532DF" w:rsidRDefault="005532DF">
      <w:pPr>
        <w:spacing w:before="240"/>
        <w:jc w:val="center"/>
        <w:outlineLvl w:val="0"/>
        <w:rPr>
          <w:b/>
        </w:rPr>
      </w:pPr>
    </w:p>
    <w:p w14:paraId="5C84A6A6" w14:textId="77777777" w:rsidR="005532DF" w:rsidRDefault="00D513A4">
      <w:pPr>
        <w:spacing w:before="240"/>
        <w:jc w:val="center"/>
        <w:outlineLvl w:val="0"/>
        <w:rPr>
          <w:b/>
        </w:rPr>
      </w:pPr>
      <w:r>
        <w:rPr>
          <w:b/>
        </w:rPr>
        <w:lastRenderedPageBreak/>
        <w:t>II. Změny předmětné smlouvy</w:t>
      </w:r>
    </w:p>
    <w:p w14:paraId="67FA0B37" w14:textId="77777777" w:rsidR="005532DF" w:rsidRDefault="00D513A4">
      <w:pPr>
        <w:pStyle w:val="Odstavecseseznamem"/>
        <w:numPr>
          <w:ilvl w:val="0"/>
          <w:numId w:val="2"/>
        </w:numPr>
        <w:spacing w:before="240"/>
        <w:ind w:left="426" w:hanging="426"/>
        <w:contextualSpacing w:val="0"/>
        <w:jc w:val="both"/>
        <w:outlineLvl w:val="0"/>
        <w:rPr>
          <w:b/>
        </w:rPr>
      </w:pPr>
      <w:r>
        <w:t xml:space="preserve">Znění ustanovení čl. IV odst. 1) bod a) předmětné smlouvy se vypouští a nahrazuje následujícím zněním: </w:t>
      </w:r>
    </w:p>
    <w:p w14:paraId="7E8D1FCF" w14:textId="77777777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t>„</w:t>
      </w:r>
      <w:r>
        <w:rPr>
          <w:i/>
        </w:rPr>
        <w:t>1)</w:t>
      </w:r>
      <w:r>
        <w:t xml:space="preserve"> </w:t>
      </w:r>
      <w:r>
        <w:rPr>
          <w:i/>
        </w:rPr>
        <w:t xml:space="preserve">Nájemce se tímto zavazuje, s účinností od </w:t>
      </w:r>
      <w:r w:rsidRPr="00B225DE">
        <w:rPr>
          <w:i/>
        </w:rPr>
        <w:t>1</w:t>
      </w:r>
      <w:r w:rsidR="009B4AC8">
        <w:rPr>
          <w:i/>
        </w:rPr>
        <w:t>5</w:t>
      </w:r>
      <w:r w:rsidRPr="00B225DE">
        <w:rPr>
          <w:i/>
        </w:rPr>
        <w:t>. 2. 2024</w:t>
      </w:r>
      <w:r>
        <w:rPr>
          <w:i/>
        </w:rPr>
        <w:t>, hradit pronajímateli:</w:t>
      </w:r>
    </w:p>
    <w:p w14:paraId="070A3872" w14:textId="55E0B699" w:rsidR="005532DF" w:rsidRDefault="00D513A4">
      <w:pPr>
        <w:pStyle w:val="Odstavecseseznamem"/>
        <w:numPr>
          <w:ilvl w:val="0"/>
          <w:numId w:val="4"/>
        </w:numPr>
        <w:spacing w:before="240"/>
        <w:contextualSpacing w:val="0"/>
        <w:jc w:val="both"/>
        <w:outlineLvl w:val="0"/>
        <w:rPr>
          <w:i/>
        </w:rPr>
      </w:pPr>
      <w:r>
        <w:rPr>
          <w:i/>
        </w:rPr>
        <w:t xml:space="preserve">nájemné v paušální výši </w:t>
      </w:r>
      <w:r w:rsidR="00347E75">
        <w:rPr>
          <w:i/>
        </w:rPr>
        <w:t>135983,11</w:t>
      </w:r>
      <w:r>
        <w:rPr>
          <w:i/>
        </w:rPr>
        <w:t xml:space="preserve"> Kč (slovy: jedno</w:t>
      </w:r>
      <w:r w:rsidR="008861B7">
        <w:rPr>
          <w:i/>
        </w:rPr>
        <w:t xml:space="preserve"> </w:t>
      </w:r>
      <w:r>
        <w:rPr>
          <w:i/>
        </w:rPr>
        <w:t xml:space="preserve">sto </w:t>
      </w:r>
      <w:r w:rsidR="00347E75">
        <w:rPr>
          <w:i/>
        </w:rPr>
        <w:t>tři</w:t>
      </w:r>
      <w:r>
        <w:rPr>
          <w:i/>
        </w:rPr>
        <w:t xml:space="preserve">cet </w:t>
      </w:r>
      <w:r w:rsidR="00347E75">
        <w:rPr>
          <w:i/>
        </w:rPr>
        <w:t>pět</w:t>
      </w:r>
      <w:r>
        <w:rPr>
          <w:i/>
        </w:rPr>
        <w:t xml:space="preserve"> tisíc </w:t>
      </w:r>
      <w:r w:rsidR="00347E75">
        <w:rPr>
          <w:i/>
        </w:rPr>
        <w:t>devět</w:t>
      </w:r>
      <w:r w:rsidR="008861B7">
        <w:rPr>
          <w:i/>
        </w:rPr>
        <w:t xml:space="preserve"> </w:t>
      </w:r>
      <w:r>
        <w:rPr>
          <w:i/>
        </w:rPr>
        <w:t>set osm</w:t>
      </w:r>
      <w:r w:rsidR="00347E75">
        <w:rPr>
          <w:i/>
        </w:rPr>
        <w:t>desát tři</w:t>
      </w:r>
      <w:r>
        <w:rPr>
          <w:i/>
        </w:rPr>
        <w:t xml:space="preserve"> korun českých </w:t>
      </w:r>
      <w:r w:rsidR="00347E75">
        <w:rPr>
          <w:i/>
        </w:rPr>
        <w:t>jedenáct</w:t>
      </w:r>
      <w:r>
        <w:rPr>
          <w:i/>
        </w:rPr>
        <w:t xml:space="preserve"> haléřů) bez DPH měsíčně; k nájemnému bude připočtena DPH v souladu s platnými právními předpisy;</w:t>
      </w:r>
    </w:p>
    <w:p w14:paraId="2E2424CA" w14:textId="77777777" w:rsidR="005532DF" w:rsidRPr="006C4F7A" w:rsidRDefault="00D513A4">
      <w:pPr>
        <w:pStyle w:val="Odstavecseseznamem"/>
        <w:numPr>
          <w:ilvl w:val="0"/>
          <w:numId w:val="2"/>
        </w:numPr>
        <w:spacing w:before="240"/>
        <w:ind w:left="426" w:hanging="426"/>
        <w:contextualSpacing w:val="0"/>
        <w:jc w:val="both"/>
        <w:outlineLvl w:val="0"/>
        <w:rPr>
          <w:i/>
        </w:rPr>
      </w:pPr>
      <w:r>
        <w:t xml:space="preserve">Znění ustanovení čl. V odst. 7) předmětné smlouvy se vypouští a nahrazuje následujícím </w:t>
      </w:r>
      <w:r w:rsidRPr="006C4F7A">
        <w:t>zněním:</w:t>
      </w:r>
    </w:p>
    <w:p w14:paraId="3BA415C7" w14:textId="4BD2B734" w:rsidR="005532DF" w:rsidRPr="006C4F7A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 w:rsidRPr="006C4F7A">
        <w:rPr>
          <w:i/>
        </w:rPr>
        <w:t xml:space="preserve">„7) Pronajímatel zabezpečuje dodávku tepla, elektrické energie s garantovaným příkonem pro sály ve výši 260kW do </w:t>
      </w:r>
      <w:r w:rsidR="00D6785D" w:rsidRPr="006C4F7A">
        <w:rPr>
          <w:i/>
        </w:rPr>
        <w:t xml:space="preserve">místnosti označené číslem 95 a budovy </w:t>
      </w:r>
      <w:r w:rsidR="0027338B">
        <w:rPr>
          <w:i/>
        </w:rPr>
        <w:t xml:space="preserve">v 1. NP </w:t>
      </w:r>
      <w:r w:rsidR="00D6785D" w:rsidRPr="006C4F7A">
        <w:rPr>
          <w:i/>
        </w:rPr>
        <w:t xml:space="preserve">na </w:t>
      </w:r>
      <w:r w:rsidR="0027338B">
        <w:rPr>
          <w:i/>
        </w:rPr>
        <w:t>dvoře</w:t>
      </w:r>
      <w:r w:rsidR="00D6785D" w:rsidRPr="006C4F7A">
        <w:rPr>
          <w:i/>
        </w:rPr>
        <w:t xml:space="preserve"> předmětné </w:t>
      </w:r>
      <w:proofErr w:type="gramStart"/>
      <w:r w:rsidR="00D6785D" w:rsidRPr="006C4F7A">
        <w:rPr>
          <w:i/>
        </w:rPr>
        <w:t>budovy</w:t>
      </w:r>
      <w:proofErr w:type="gramEnd"/>
      <w:r w:rsidR="00D6785D" w:rsidRPr="006C4F7A">
        <w:rPr>
          <w:i/>
        </w:rPr>
        <w:t xml:space="preserve"> v níž se nachází záložní zdroj (diesel agregát) nájemce </w:t>
      </w:r>
      <w:r w:rsidRPr="006C4F7A">
        <w:rPr>
          <w:i/>
        </w:rPr>
        <w:t>a vody do předmětných prostor, dále se zavazuje umožnit nájemci používání stávajících rozvodů a sítí, nacházejících se v předmětných prostorech. Pronajímatel zabezpečí, aby nájemce, jeho návštěvy a jeho zaměstnanci mohli vstupovat do předmětné budovy, a to dle provozních předpisů budovy. Povolané osoby nájemce obsluhující serverovnu a zařízení nájemce jsou oprávněny do předmětné budovy vstupovat v režimu 24/7, a to prostřednictvím vrátnice předmětné budovy na adrese Technická 3.“</w:t>
      </w:r>
    </w:p>
    <w:p w14:paraId="20E43635" w14:textId="77777777" w:rsidR="005532DF" w:rsidRDefault="00D513A4">
      <w:pPr>
        <w:pStyle w:val="Odstavecseseznamem"/>
        <w:numPr>
          <w:ilvl w:val="0"/>
          <w:numId w:val="2"/>
        </w:numPr>
        <w:spacing w:before="240"/>
        <w:ind w:left="426" w:hanging="426"/>
        <w:contextualSpacing w:val="0"/>
        <w:jc w:val="both"/>
        <w:outlineLvl w:val="0"/>
        <w:rPr>
          <w:i/>
        </w:rPr>
      </w:pPr>
      <w:r w:rsidRPr="006C4F7A">
        <w:t>Znění</w:t>
      </w:r>
      <w:r>
        <w:t xml:space="preserve"> ustanovení čl. V odst. 8) předmětné smlouvy se vypouští a nahrazuje následujícím zněním:</w:t>
      </w:r>
    </w:p>
    <w:p w14:paraId="6E004A98" w14:textId="7A0067EF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t>„8) Nájemce se zavazuje umožnit pronajímateli, popř. jím zmocněnému zástupci a technickým pracovníkům pronajímatele, na základě jejich předchozí telefonické žádosti</w:t>
      </w:r>
      <w:r w:rsidR="00144DAE">
        <w:rPr>
          <w:i/>
        </w:rPr>
        <w:t xml:space="preserve"> na čísle </w:t>
      </w:r>
      <w:r w:rsidR="00D8310B">
        <w:rPr>
          <w:i/>
        </w:rPr>
        <w:t>xxxxx</w:t>
      </w:r>
      <w:r>
        <w:rPr>
          <w:i/>
        </w:rPr>
        <w:t xml:space="preserve">, přístup do předmětných prostor. Nájemce se zavazuje zpřístupnit předmětné prostory </w:t>
      </w:r>
      <w:r w:rsidR="00D8310B">
        <w:rPr>
          <w:i/>
        </w:rPr>
        <w:t xml:space="preserve">                      </w:t>
      </w:r>
      <w:r>
        <w:rPr>
          <w:i/>
        </w:rPr>
        <w:t xml:space="preserve">bez zbytečného odkladu v případě havárie anebo mimořádné situace v předmětných prostorách. </w:t>
      </w:r>
    </w:p>
    <w:p w14:paraId="1C3AA407" w14:textId="77777777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t xml:space="preserve">Nebude-li možné bez zbytečného odkladu zpřístupnit prostory s přítomností pověřené osoby nájemce, je pronajímatel, případně pověřená osoba pronajímatele oprávněna do předmětných prostor vstoupit a učinit kroky nezbytně nutné k ochraně majetku smluvních stran. </w:t>
      </w:r>
    </w:p>
    <w:p w14:paraId="10B36F4C" w14:textId="77777777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t xml:space="preserve">K tomuto účelu slouží 1 klíč a jedna vstupní karta od předmětných prostor, u nichž je pronajímatel povinen zajistit bezpečnost tak, aby nedošlo k jejich ztrátě či zneužití. Klíč a vstupní karta bude nájemcem uložena na vrátnici Technická 3. </w:t>
      </w:r>
    </w:p>
    <w:p w14:paraId="4EC1666A" w14:textId="73EB3329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t xml:space="preserve">V případě každého vstupu do předmětných prostor bez přítomnosti nájemce je tuto skutečnost pronajímatel povinen oznámit </w:t>
      </w:r>
      <w:bookmarkStart w:id="0" w:name="_Hlk157532954"/>
      <w:r w:rsidR="00261FD5">
        <w:rPr>
          <w:i/>
        </w:rPr>
        <w:t xml:space="preserve">na </w:t>
      </w:r>
      <w:r w:rsidR="006A1EBB">
        <w:rPr>
          <w:i/>
        </w:rPr>
        <w:t xml:space="preserve">čísle </w:t>
      </w:r>
      <w:r w:rsidR="00DE6949">
        <w:rPr>
          <w:i/>
        </w:rPr>
        <w:t>xxxxx</w:t>
      </w:r>
      <w:r w:rsidR="003E13DE">
        <w:rPr>
          <w:i/>
        </w:rPr>
        <w:t xml:space="preserve"> a na e-mail:</w:t>
      </w:r>
      <w:r w:rsidR="00DE6949">
        <w:rPr>
          <w:i/>
        </w:rPr>
        <w:t xml:space="preserve"> xxxxx</w:t>
      </w:r>
      <w:bookmarkEnd w:id="0"/>
      <w:r w:rsidR="00261FD5">
        <w:rPr>
          <w:i/>
        </w:rPr>
        <w:t xml:space="preserve"> a</w:t>
      </w:r>
      <w:r w:rsidR="00DE6949">
        <w:rPr>
          <w:i/>
        </w:rPr>
        <w:t xml:space="preserve">                                                                            </w:t>
      </w:r>
      <w:r w:rsidR="00261FD5">
        <w:rPr>
          <w:i/>
        </w:rPr>
        <w:t xml:space="preserve"> </w:t>
      </w:r>
      <w:r>
        <w:rPr>
          <w:i/>
        </w:rPr>
        <w:t xml:space="preserve">bez zbytečného odkladu nájemci a sdělit informace minimálně v následujícím rozsahu: </w:t>
      </w:r>
    </w:p>
    <w:p w14:paraId="6C82C600" w14:textId="77777777" w:rsidR="005532DF" w:rsidRDefault="00D513A4">
      <w:pPr>
        <w:pStyle w:val="Odstavecseseznamem"/>
        <w:numPr>
          <w:ilvl w:val="0"/>
          <w:numId w:val="5"/>
        </w:numPr>
        <w:spacing w:before="240"/>
        <w:contextualSpacing w:val="0"/>
        <w:jc w:val="both"/>
        <w:outlineLvl w:val="0"/>
        <w:rPr>
          <w:i/>
        </w:rPr>
      </w:pPr>
      <w:r>
        <w:rPr>
          <w:i/>
        </w:rPr>
        <w:t xml:space="preserve">důvod vstupu a provedená opatření/zásahy; </w:t>
      </w:r>
    </w:p>
    <w:p w14:paraId="6FF2D181" w14:textId="77777777" w:rsidR="005532DF" w:rsidRDefault="00D513A4">
      <w:pPr>
        <w:pStyle w:val="Odstavecseseznamem"/>
        <w:numPr>
          <w:ilvl w:val="0"/>
          <w:numId w:val="5"/>
        </w:numPr>
        <w:spacing w:before="240"/>
        <w:contextualSpacing w:val="0"/>
        <w:jc w:val="both"/>
        <w:outlineLvl w:val="0"/>
        <w:rPr>
          <w:i/>
        </w:rPr>
      </w:pPr>
      <w:r>
        <w:rPr>
          <w:i/>
        </w:rPr>
        <w:t>datum a čas vstupu;</w:t>
      </w:r>
    </w:p>
    <w:p w14:paraId="515C2418" w14:textId="77777777" w:rsidR="005532DF" w:rsidRDefault="00D513A4">
      <w:pPr>
        <w:pStyle w:val="Odstavecseseznamem"/>
        <w:numPr>
          <w:ilvl w:val="0"/>
          <w:numId w:val="5"/>
        </w:numPr>
        <w:spacing w:before="240"/>
        <w:contextualSpacing w:val="0"/>
        <w:jc w:val="both"/>
        <w:outlineLvl w:val="0"/>
        <w:rPr>
          <w:i/>
        </w:rPr>
      </w:pPr>
      <w:r>
        <w:rPr>
          <w:i/>
        </w:rPr>
        <w:t xml:space="preserve">datum a čas opuštění prostor (ukončení vstupu); </w:t>
      </w:r>
    </w:p>
    <w:p w14:paraId="56E18BA7" w14:textId="77777777" w:rsidR="005532DF" w:rsidRDefault="00D513A4">
      <w:pPr>
        <w:pStyle w:val="Odstavecseseznamem"/>
        <w:numPr>
          <w:ilvl w:val="0"/>
          <w:numId w:val="5"/>
        </w:numPr>
        <w:spacing w:before="240"/>
        <w:contextualSpacing w:val="0"/>
        <w:jc w:val="both"/>
        <w:outlineLvl w:val="0"/>
        <w:rPr>
          <w:i/>
        </w:rPr>
      </w:pPr>
      <w:r>
        <w:rPr>
          <w:i/>
        </w:rPr>
        <w:t xml:space="preserve">osoba/osoby vstupující do prostor; </w:t>
      </w:r>
    </w:p>
    <w:p w14:paraId="25B764D4" w14:textId="77777777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lastRenderedPageBreak/>
        <w:t>Nájemce je, bez zbytečného prodlení, povinen písemně oznámit pronajímateli havárii či potřebu oprav předmětných prostor. Smluvní strany se dohodly v souladu s ustanovením § 7a, odstavce 9 zákona č. 406/2000 Sb., o hospodaření energií, že se průkaz energetické náročnosti neopatřuje.“</w:t>
      </w:r>
    </w:p>
    <w:p w14:paraId="07A3E6B8" w14:textId="77777777" w:rsidR="005532DF" w:rsidRDefault="00D513A4">
      <w:pPr>
        <w:pStyle w:val="Odstavecseseznamem"/>
        <w:numPr>
          <w:ilvl w:val="0"/>
          <w:numId w:val="2"/>
        </w:numPr>
        <w:spacing w:before="240" w:after="240"/>
        <w:ind w:left="426" w:hanging="426"/>
        <w:contextualSpacing w:val="0"/>
        <w:jc w:val="both"/>
        <w:outlineLvl w:val="0"/>
      </w:pPr>
      <w:r>
        <w:t>Znění ustanovení čl. V odst.10) předmětné smlouvy se vypouští a nahrazuje následujícím zněním:</w:t>
      </w:r>
    </w:p>
    <w:p w14:paraId="35D6E22F" w14:textId="77777777" w:rsidR="005532DF" w:rsidRDefault="00D513A4">
      <w:pPr>
        <w:pStyle w:val="Odstavecseseznamem"/>
        <w:spacing w:before="240" w:after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t>„10) V rámci požární bezpečnosti objektu bude pronajímatel zabezpečovat provedení preventivních požárních prohlídek ve všech prostorech objektu bez ohledu na jednotlivé prostory nájemců, dále bude v rámci systémového přístupu zabezpečovat kontroly, prohlídky, revize a odstraňování zjištěných nedostatků u požárně bezpečnostních zařízení a v oblasti řešení podmínek bezpečné evakuace osob v souladu s požárním evakuačním plánem objektu. V případě požárního poplachu je pronajímatel povinen zasáhnout a informovat o tom nájemce.“</w:t>
      </w:r>
    </w:p>
    <w:p w14:paraId="0FAFE78A" w14:textId="77777777" w:rsidR="005532DF" w:rsidRDefault="00D513A4">
      <w:pPr>
        <w:pStyle w:val="Odstavecseseznamem"/>
        <w:numPr>
          <w:ilvl w:val="0"/>
          <w:numId w:val="2"/>
        </w:numPr>
        <w:spacing w:before="240" w:after="240"/>
        <w:ind w:left="426" w:hanging="426"/>
        <w:contextualSpacing w:val="0"/>
        <w:jc w:val="both"/>
        <w:outlineLvl w:val="0"/>
      </w:pPr>
      <w:r>
        <w:t>Za ustanovení čl. V odst. 12) předmětné smlouvy se vkládá další odst. č. 13) s následujícím zněním:</w:t>
      </w:r>
    </w:p>
    <w:p w14:paraId="6A525107" w14:textId="2793DEEB" w:rsidR="005532DF" w:rsidRDefault="00D513A4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  <w:r>
        <w:rPr>
          <w:i/>
        </w:rPr>
        <w:t xml:space="preserve">„13) Nájemce je oprávněn za účelem servisu a obsluhy zařízení umístěných v předmětných prostorech, na základě předložené žádosti pronajímateli, přistupovat k elektrickým rozvaděčům nacházejícím se naproti místnosti označené </w:t>
      </w:r>
      <w:proofErr w:type="gramStart"/>
      <w:r>
        <w:rPr>
          <w:i/>
        </w:rPr>
        <w:t>81C</w:t>
      </w:r>
      <w:proofErr w:type="gramEnd"/>
      <w:r>
        <w:rPr>
          <w:i/>
        </w:rPr>
        <w:t xml:space="preserve"> v místnosti 5A dle Přílohy 1 této smlouvy. </w:t>
      </w:r>
      <w:bookmarkStart w:id="1" w:name="_Hlk157533037"/>
      <w:r>
        <w:rPr>
          <w:i/>
        </w:rPr>
        <w:t xml:space="preserve">Za tímto účelem má nájemce </w:t>
      </w:r>
      <w:r w:rsidR="003334BD">
        <w:rPr>
          <w:i/>
        </w:rPr>
        <w:t>zapůjčenu kopii klíčů</w:t>
      </w:r>
      <w:r>
        <w:rPr>
          <w:i/>
        </w:rPr>
        <w:t>. Zapůjčené klíče nesmí být vynášeny mimo předmětnou budovu.</w:t>
      </w:r>
      <w:r w:rsidR="003334BD">
        <w:rPr>
          <w:i/>
        </w:rPr>
        <w:t xml:space="preserve"> Nájemce je povinen </w:t>
      </w:r>
      <w:r w:rsidR="003E13DE">
        <w:rPr>
          <w:i/>
        </w:rPr>
        <w:t xml:space="preserve">u kopie </w:t>
      </w:r>
      <w:r w:rsidR="003334BD">
        <w:rPr>
          <w:i/>
        </w:rPr>
        <w:t>klíč</w:t>
      </w:r>
      <w:r w:rsidR="003E13DE">
        <w:rPr>
          <w:i/>
        </w:rPr>
        <w:t>ů</w:t>
      </w:r>
      <w:r w:rsidR="003334BD">
        <w:rPr>
          <w:i/>
        </w:rPr>
        <w:t xml:space="preserve"> zajistit bezpečnost tak, aby nedošlo k jejich ztrátě či zneužití</w:t>
      </w:r>
      <w:r w:rsidR="00BE4F2F" w:rsidRPr="00BE4F2F">
        <w:rPr>
          <w:i/>
        </w:rPr>
        <w:t>.</w:t>
      </w:r>
      <w:bookmarkEnd w:id="1"/>
    </w:p>
    <w:p w14:paraId="72FB66B6" w14:textId="77777777" w:rsidR="005532DF" w:rsidRDefault="00D513A4">
      <w:pPr>
        <w:pStyle w:val="Odstavecseseznamem"/>
        <w:numPr>
          <w:ilvl w:val="0"/>
          <w:numId w:val="2"/>
        </w:numPr>
        <w:spacing w:before="240"/>
        <w:ind w:left="426" w:hanging="426"/>
        <w:contextualSpacing w:val="0"/>
        <w:jc w:val="both"/>
        <w:outlineLvl w:val="0"/>
        <w:rPr>
          <w:i/>
        </w:rPr>
      </w:pPr>
      <w:r>
        <w:t>Znění přílohy č. 1 předmětné smlouvy se vypouští a nahrazuje zněním, které tvoří přílohu č. 1 tohoto dodatku č. 6.</w:t>
      </w:r>
    </w:p>
    <w:p w14:paraId="31A046E9" w14:textId="77777777" w:rsidR="005532DF" w:rsidRDefault="005532DF" w:rsidP="00726798">
      <w:pPr>
        <w:pStyle w:val="Odstavecseseznamem"/>
        <w:spacing w:before="240"/>
        <w:ind w:left="426"/>
        <w:contextualSpacing w:val="0"/>
        <w:jc w:val="both"/>
        <w:outlineLvl w:val="0"/>
        <w:rPr>
          <w:i/>
        </w:rPr>
      </w:pPr>
    </w:p>
    <w:p w14:paraId="6CCD169C" w14:textId="77777777" w:rsidR="005532DF" w:rsidRDefault="00D513A4" w:rsidP="00726798">
      <w:pPr>
        <w:jc w:val="center"/>
        <w:outlineLvl w:val="0"/>
        <w:rPr>
          <w:b/>
        </w:rPr>
      </w:pPr>
      <w:r>
        <w:rPr>
          <w:b/>
        </w:rPr>
        <w:t>III. Ostatní ujednání</w:t>
      </w:r>
    </w:p>
    <w:p w14:paraId="12E940D5" w14:textId="77777777" w:rsidR="005532DF" w:rsidRDefault="005532DF" w:rsidP="00726798">
      <w:pPr>
        <w:pStyle w:val="Odstavecseseznamem"/>
        <w:spacing w:before="240"/>
        <w:ind w:left="0"/>
        <w:contextualSpacing w:val="0"/>
        <w:jc w:val="both"/>
        <w:outlineLvl w:val="0"/>
        <w:rPr>
          <w:i/>
        </w:rPr>
      </w:pPr>
    </w:p>
    <w:p w14:paraId="1968DD0F" w14:textId="4F0C7186" w:rsidR="005532DF" w:rsidRDefault="009B4AC8" w:rsidP="007E6673">
      <w:pPr>
        <w:pStyle w:val="Odstavecseseznamem"/>
        <w:numPr>
          <w:ilvl w:val="0"/>
          <w:numId w:val="6"/>
        </w:numPr>
        <w:spacing w:before="240" w:after="240"/>
        <w:ind w:left="426" w:hanging="426"/>
        <w:contextualSpacing w:val="0"/>
        <w:jc w:val="both"/>
        <w:outlineLvl w:val="0"/>
      </w:pPr>
      <w:r>
        <w:t>Bez zbytečného odkladu p</w:t>
      </w:r>
      <w:r w:rsidR="00D32E0A">
        <w:t>o</w:t>
      </w:r>
      <w:r w:rsidR="00D513A4">
        <w:t> </w:t>
      </w:r>
      <w:r>
        <w:t xml:space="preserve">nabytí účinnosti </w:t>
      </w:r>
      <w:r w:rsidR="00D513A4">
        <w:t>tohoto dodatku č. 6</w:t>
      </w:r>
      <w:r w:rsidR="00B70257">
        <w:t xml:space="preserve"> </w:t>
      </w:r>
      <w:r w:rsidR="00D32E0A">
        <w:t xml:space="preserve">převede </w:t>
      </w:r>
      <w:r w:rsidR="00D513A4">
        <w:t xml:space="preserve">nájemce bezúplatně na pronajímatele vlastnické právo ke klimatizačním zařízením nacházejícím se </w:t>
      </w:r>
      <w:r w:rsidR="00D513A4" w:rsidRPr="00616955">
        <w:t>v části předmětu nájmu, o kterou je předmět nájmu redukován tímto dodatkem č. 6. Popis a specifikace klimatizačních zař</w:t>
      </w:r>
      <w:r w:rsidR="00D513A4">
        <w:t xml:space="preserve">ízení </w:t>
      </w:r>
      <w:r w:rsidR="00D32E0A">
        <w:t>bude uveden v předávacím protokolu</w:t>
      </w:r>
      <w:r w:rsidR="00D513A4">
        <w:t xml:space="preserve">. Nájemce u každého zařízení uvede jeho zůstatkovou účetní hodnotu pro evidenční účely pronajímatele. Nájemce současně </w:t>
      </w:r>
      <w:r w:rsidR="00D32E0A">
        <w:t xml:space="preserve">při podpisu předávacího </w:t>
      </w:r>
      <w:r w:rsidR="00D513A4">
        <w:t xml:space="preserve">předá klimatizační zařízení vč. servisních knížek a obslužných manuálů pronajímateli a předvede jejich funkčnost a bezvadnost. </w:t>
      </w:r>
      <w:r w:rsidR="00D32E0A">
        <w:t xml:space="preserve">V případě nefunkčních zařízení nájemce tyto na své náklady odstraní v dohodnuté lhůtě v souladu s </w:t>
      </w:r>
      <w:r>
        <w:t xml:space="preserve">předmětnou </w:t>
      </w:r>
      <w:r w:rsidR="00D32E0A">
        <w:t>smlouvou.</w:t>
      </w:r>
      <w:r>
        <w:t xml:space="preserve"> Pro zamezení pochybnostem se má za to, že k převodu vlastnického práva dojde ke dni podpisu předávacího protokolu.</w:t>
      </w:r>
    </w:p>
    <w:p w14:paraId="66F54C55" w14:textId="61C34D39" w:rsidR="005532DF" w:rsidRDefault="00D513A4" w:rsidP="00726798">
      <w:pPr>
        <w:pStyle w:val="Odstavecseseznamem"/>
        <w:numPr>
          <w:ilvl w:val="0"/>
          <w:numId w:val="6"/>
        </w:numPr>
        <w:spacing w:before="240" w:after="240"/>
        <w:ind w:left="426" w:hanging="426"/>
        <w:contextualSpacing w:val="0"/>
        <w:jc w:val="both"/>
        <w:outlineLvl w:val="0"/>
      </w:pPr>
      <w:r>
        <w:t>V souvislosti s redukcí předmětných prostor smluvní strany prohlašují, že jsou si vědomy a že souhlasí s tím, že interní klimatizační jednotka nájemce v místnostech 84 a 85a je napojena na externí klimatizační jednotku pronajímatele obsluhující klimatizace v místnostech 52-86 a interní klimatizační jednotka pronajímatele v místnosti 87 je napojena na externí klimatizační jednotku nájemce obsluhující místnosti 87-91 a zavazují se si v případě potřeby poskytnout potřebnou součinnost</w:t>
      </w:r>
      <w:bookmarkStart w:id="2" w:name="_Hlk157533088"/>
      <w:r w:rsidR="009B4AC8">
        <w:t>. V této souvislosti</w:t>
      </w:r>
      <w:r w:rsidR="009A68F9">
        <w:t xml:space="preserve"> se pronajímatel zavazuje na </w:t>
      </w:r>
      <w:r w:rsidR="009B4AC8">
        <w:t xml:space="preserve">předchozí </w:t>
      </w:r>
      <w:r w:rsidR="009A68F9">
        <w:t xml:space="preserve">žádost </w:t>
      </w:r>
      <w:r w:rsidR="009A68F9">
        <w:lastRenderedPageBreak/>
        <w:t xml:space="preserve">nájemce umožnit </w:t>
      </w:r>
      <w:r w:rsidR="009A68F9" w:rsidRPr="00086330">
        <w:t>vstup na střechu předmětné budovy skrz místnost 87 za účelem servisu a obsluhy venkovních částí klimatizací</w:t>
      </w:r>
      <w:r w:rsidR="009B4AC8">
        <w:t xml:space="preserve"> uvedených v tomto odstavci</w:t>
      </w:r>
      <w:r w:rsidR="009A68F9" w:rsidRPr="00086330">
        <w:t>.</w:t>
      </w:r>
      <w:bookmarkEnd w:id="2"/>
    </w:p>
    <w:p w14:paraId="6B7E4872" w14:textId="77777777" w:rsidR="005532DF" w:rsidRDefault="005532DF">
      <w:pPr>
        <w:pStyle w:val="Odstavecseseznamem"/>
        <w:spacing w:before="240"/>
        <w:ind w:left="426"/>
        <w:contextualSpacing w:val="0"/>
        <w:jc w:val="both"/>
        <w:outlineLvl w:val="0"/>
        <w:rPr>
          <w:b/>
        </w:rPr>
      </w:pPr>
    </w:p>
    <w:p w14:paraId="66AE2902" w14:textId="77777777" w:rsidR="005532DF" w:rsidRDefault="00D513A4">
      <w:pPr>
        <w:jc w:val="center"/>
        <w:outlineLvl w:val="0"/>
        <w:rPr>
          <w:b/>
        </w:rPr>
      </w:pPr>
      <w:r>
        <w:rPr>
          <w:b/>
        </w:rPr>
        <w:t>IV. Závěrečná ujednání</w:t>
      </w:r>
    </w:p>
    <w:p w14:paraId="42682BA3" w14:textId="77777777" w:rsidR="005532DF" w:rsidRDefault="00D513A4">
      <w:pPr>
        <w:pStyle w:val="Odstavecseseznamem"/>
        <w:numPr>
          <w:ilvl w:val="0"/>
          <w:numId w:val="3"/>
        </w:numPr>
        <w:spacing w:before="240"/>
        <w:ind w:left="426" w:hanging="426"/>
        <w:contextualSpacing w:val="0"/>
        <w:jc w:val="both"/>
        <w:outlineLvl w:val="0"/>
      </w:pPr>
      <w:r>
        <w:t>Ostatní ustanovení předmětné smlouvy, která nejsou tímto dodatkem č. 6 dotčena, zůstávají nezměněna v platnosti a účinnosti.</w:t>
      </w:r>
    </w:p>
    <w:p w14:paraId="315ED3FF" w14:textId="77777777" w:rsidR="005532DF" w:rsidRDefault="00D513A4">
      <w:pPr>
        <w:pStyle w:val="Odstavecseseznamem"/>
        <w:numPr>
          <w:ilvl w:val="0"/>
          <w:numId w:val="3"/>
        </w:numPr>
        <w:spacing w:before="240"/>
        <w:ind w:left="426" w:hanging="426"/>
        <w:contextualSpacing w:val="0"/>
        <w:jc w:val="both"/>
        <w:outlineLvl w:val="0"/>
      </w:pPr>
      <w:r>
        <w:t>Smluvní strany berou na vědomí, že tento dodatek č. 6 naplňuje požadavky uvedené v zákoně č. 340/2015 Sb., o zvláštních podmínkách účinnosti některých smluv, uveřejňování těchto smluv a o registru smluv (zákon o registru smluv), ve znění pozdějších předpisů, a podléhá tímto povinnosti uveřejnění v registru smluv dle uvedeného zákona (dále jen „registr smluv“), a s tímto uveřejněním v zákonném rozsahu souhlasí. V registru smluv nebudou uveřejněny informace, které nelze poskytnout v souladu s předpisy upravujícími svobodný přístup k informacím (zejm. zákon č. 106/1999 Sb.), stejně jako obchodní tajemství smluvních stran. Zveřejnění dodatku č. 6 v registru smluv zajistí pronajímatel zajistí informování nájemce o zveřejnění dodatku č. 6 v registru smluv do datové schránky nájemce.</w:t>
      </w:r>
    </w:p>
    <w:p w14:paraId="1DF7B7ED" w14:textId="77777777" w:rsidR="005532DF" w:rsidRDefault="00D513A4">
      <w:pPr>
        <w:pStyle w:val="Odstavecseseznamem"/>
        <w:numPr>
          <w:ilvl w:val="0"/>
          <w:numId w:val="3"/>
        </w:numPr>
        <w:spacing w:before="240"/>
        <w:ind w:left="426" w:hanging="426"/>
        <w:contextualSpacing w:val="0"/>
        <w:jc w:val="both"/>
        <w:outlineLvl w:val="0"/>
      </w:pPr>
      <w:r>
        <w:t>Tento dodatek č. 6 je uzavřen a nabývá platnosti dnem podpisu oprávněnými zástupci obou smluvních stran a účinnosti dnem 1</w:t>
      </w:r>
      <w:r w:rsidR="00025E95">
        <w:t>5</w:t>
      </w:r>
      <w:r>
        <w:t>. 2. 2024, resp. dnem uveřejnění dodatku v registru smluv, a to dnem, který nastane později.</w:t>
      </w:r>
    </w:p>
    <w:p w14:paraId="4357D437" w14:textId="77777777" w:rsidR="005532DF" w:rsidRDefault="00D513A4">
      <w:pPr>
        <w:pStyle w:val="Odstavecseseznamem"/>
        <w:numPr>
          <w:ilvl w:val="0"/>
          <w:numId w:val="3"/>
        </w:numPr>
        <w:spacing w:before="240"/>
        <w:ind w:left="426" w:hanging="426"/>
        <w:contextualSpacing w:val="0"/>
        <w:jc w:val="both"/>
        <w:outlineLvl w:val="0"/>
      </w:pPr>
      <w:r>
        <w:t>Tento dodatek č. 6 je vyhotoven v elektronické formě a zástupci smluvních stran podepsán digitálními podpisy založenými na kvalifikovaných certifikátech. Každá ze smluvních stran obdrží oboustranně podepsané elektronické vyhotovení tohoto dodatku č. 6.</w:t>
      </w:r>
    </w:p>
    <w:p w14:paraId="1B752902" w14:textId="6A206F79" w:rsidR="005532DF" w:rsidRDefault="00D513A4">
      <w:pPr>
        <w:pStyle w:val="Odstavecseseznamem"/>
        <w:numPr>
          <w:ilvl w:val="0"/>
          <w:numId w:val="3"/>
        </w:numPr>
        <w:spacing w:before="240"/>
        <w:ind w:left="426" w:hanging="426"/>
        <w:contextualSpacing w:val="0"/>
        <w:jc w:val="both"/>
        <w:outlineLvl w:val="0"/>
      </w:pPr>
      <w:r>
        <w:t xml:space="preserve">Smluvní strany tohoto dodatku č. 6 prohlašují, že tento dodatek č. 6 odpovídá jejich svobodné a pravé vůli, </w:t>
      </w:r>
      <w:r w:rsidR="00B32C04">
        <w:t>ž</w:t>
      </w:r>
      <w:r>
        <w:t>e jej neuzavřely v tísni ani za nápadně nevýhodných podmínek, že si jej po jeho sepsání řádně přečetly na důkaz souhlasu s jeho obsahem připojují podpisy svých oprávněných zástupců.</w:t>
      </w:r>
    </w:p>
    <w:p w14:paraId="78B30232" w14:textId="77777777" w:rsidR="005532DF" w:rsidRDefault="005532DF">
      <w:pPr>
        <w:pStyle w:val="Zkladntext"/>
        <w:widowControl w:val="0"/>
        <w:spacing w:line="276" w:lineRule="auto"/>
      </w:pPr>
    </w:p>
    <w:p w14:paraId="06683B84" w14:textId="77777777" w:rsidR="005532DF" w:rsidRDefault="005532DF">
      <w:pPr>
        <w:pStyle w:val="Zkladntext"/>
      </w:pPr>
    </w:p>
    <w:p w14:paraId="67BFFA76" w14:textId="77777777" w:rsidR="005532DF" w:rsidRDefault="005532DF">
      <w:pPr>
        <w:pStyle w:val="Zkladntext"/>
      </w:pPr>
    </w:p>
    <w:p w14:paraId="4AF873F5" w14:textId="77777777" w:rsidR="005532DF" w:rsidRDefault="005532DF">
      <w:pPr>
        <w:pStyle w:val="Zkladntext"/>
      </w:pPr>
    </w:p>
    <w:p w14:paraId="388557D8" w14:textId="73F919F9" w:rsidR="005532DF" w:rsidRDefault="00D513A4">
      <w:pPr>
        <w:pStyle w:val="Zkladntext"/>
      </w:pPr>
      <w:r>
        <w:t xml:space="preserve">V Praze dne </w:t>
      </w:r>
      <w:r w:rsidR="003613CD">
        <w:t>15.2.2024</w:t>
      </w:r>
      <w:r>
        <w:tab/>
      </w:r>
      <w:r>
        <w:tab/>
      </w:r>
      <w:r>
        <w:tab/>
      </w:r>
      <w:r>
        <w:tab/>
      </w:r>
      <w:r w:rsidR="003613CD">
        <w:t xml:space="preserve">          </w:t>
      </w:r>
      <w:r>
        <w:t xml:space="preserve">V Praze dne </w:t>
      </w:r>
      <w:r w:rsidR="003613CD">
        <w:t>15.2.2024</w:t>
      </w:r>
    </w:p>
    <w:p w14:paraId="6E87CB23" w14:textId="77777777" w:rsidR="005532DF" w:rsidRDefault="005532DF">
      <w:pPr>
        <w:pStyle w:val="Zkladntext"/>
      </w:pPr>
    </w:p>
    <w:p w14:paraId="6A88FD77" w14:textId="77777777" w:rsidR="005532DF" w:rsidRDefault="00D513A4">
      <w:pPr>
        <w:pStyle w:val="Zkladntext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 w14:paraId="2470B2E5" w14:textId="77777777" w:rsidR="005532DF" w:rsidRDefault="005532DF">
      <w:pPr>
        <w:pStyle w:val="Zkladntext"/>
      </w:pPr>
    </w:p>
    <w:p w14:paraId="128BCDEA" w14:textId="77777777" w:rsidR="005532DF" w:rsidRDefault="005532DF">
      <w:pPr>
        <w:pStyle w:val="Zkladntext"/>
      </w:pPr>
    </w:p>
    <w:p w14:paraId="186751DE" w14:textId="77777777" w:rsidR="005532DF" w:rsidRDefault="005532DF">
      <w:pPr>
        <w:pStyle w:val="Zkladntext"/>
      </w:pPr>
    </w:p>
    <w:p w14:paraId="4EBC6C8B" w14:textId="77777777" w:rsidR="005532DF" w:rsidRDefault="00D513A4">
      <w:pPr>
        <w:pStyle w:val="Zkladntext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2D9CE17F" w14:textId="3CDF9FE7" w:rsidR="005532DF" w:rsidRDefault="003613CD">
      <w:pPr>
        <w:pStyle w:val="Zkladntext"/>
      </w:pPr>
      <w:r>
        <w:t>xxxxx</w:t>
      </w:r>
      <w:r w:rsidR="00D513A4">
        <w:tab/>
      </w:r>
      <w:r w:rsidR="00D513A4">
        <w:tab/>
      </w:r>
      <w:r w:rsidR="00D513A4">
        <w:tab/>
      </w:r>
      <w:r w:rsidR="00D513A4">
        <w:tab/>
      </w:r>
      <w:r>
        <w:t xml:space="preserve">                                               xxxxx</w:t>
      </w:r>
    </w:p>
    <w:p w14:paraId="7683862C" w14:textId="77777777" w:rsidR="005532DF" w:rsidRDefault="00D513A4">
      <w:pPr>
        <w:pStyle w:val="Zkladntext"/>
      </w:pPr>
      <w:r>
        <w:t>rektor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2EBF394D" w14:textId="77777777" w:rsidR="005532DF" w:rsidRDefault="005532DF">
      <w:pPr>
        <w:pStyle w:val="Zkladntext"/>
      </w:pPr>
    </w:p>
    <w:p w14:paraId="7906076D" w14:textId="77777777" w:rsidR="005532DF" w:rsidRDefault="005532DF">
      <w:pPr>
        <w:jc w:val="both"/>
      </w:pPr>
    </w:p>
    <w:p w14:paraId="7757D33C" w14:textId="77777777" w:rsidR="005532DF" w:rsidRDefault="005532DF">
      <w:pPr>
        <w:jc w:val="both"/>
      </w:pPr>
    </w:p>
    <w:p w14:paraId="7F4FA1B3" w14:textId="77777777" w:rsidR="005532DF" w:rsidRDefault="00D513A4">
      <w:pPr>
        <w:spacing w:after="200" w:line="276" w:lineRule="auto"/>
      </w:pPr>
      <w:r>
        <w:br w:type="page"/>
      </w:r>
    </w:p>
    <w:p w14:paraId="2CFB4870" w14:textId="77777777" w:rsidR="005532DF" w:rsidRDefault="00D513A4">
      <w:r>
        <w:lastRenderedPageBreak/>
        <w:t>Příloha č. 1:</w:t>
      </w:r>
    </w:p>
    <w:p w14:paraId="3F16C6A1" w14:textId="77777777" w:rsidR="005532DF" w:rsidRDefault="00D513A4">
      <w:pPr>
        <w:ind w:left="284" w:hanging="284"/>
        <w:rPr>
          <w:b/>
        </w:rPr>
      </w:pPr>
      <w:r>
        <w:rPr>
          <w:b/>
        </w:rPr>
        <w:t>a)</w:t>
      </w:r>
      <w:r>
        <w:rPr>
          <w:b/>
        </w:rPr>
        <w:tab/>
        <w:t>Výpočet výše nájemného - čl. IV, bod 1, písm. a) Smlouvy</w:t>
      </w:r>
    </w:p>
    <w:tbl>
      <w:tblPr>
        <w:tblW w:w="680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204"/>
        <w:gridCol w:w="1000"/>
        <w:gridCol w:w="2121"/>
        <w:gridCol w:w="560"/>
      </w:tblGrid>
      <w:tr w:rsidR="005532DF" w14:paraId="3C2D00ED" w14:textId="77777777">
        <w:trPr>
          <w:trHeight w:val="71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CEF570" w14:textId="77777777" w:rsidR="005532DF" w:rsidRDefault="00D513A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Podlaží</w:t>
            </w:r>
          </w:p>
        </w:tc>
        <w:tc>
          <w:tcPr>
            <w:tcW w:w="2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AB98F" w14:textId="77777777" w:rsidR="005532DF" w:rsidRDefault="00D513A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Číslo místnosti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9D5DB1" w14:textId="77777777" w:rsidR="005532DF" w:rsidRDefault="00D513A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Plocha (m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2038BA" w14:textId="77777777" w:rsidR="005532DF" w:rsidRDefault="00D513A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 místnosti</w:t>
            </w:r>
          </w:p>
        </w:tc>
      </w:tr>
      <w:tr w:rsidR="005532DF" w14:paraId="1C16E985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5745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BD5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B4-84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AE0B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AF3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AFCB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78ADF4B4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6703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B3C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B4-85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DE3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57,49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9ECC2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chodba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881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532DF" w14:paraId="08975D7D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A47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1612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B4-85a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6F07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4C1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D5F1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4B556CD0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3D35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E7F5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B4-88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635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E96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163A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08123D15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34D1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F3D1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B4-89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741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24,55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588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CEC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722B1EEF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015B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D8C7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002B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25,28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E3C19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7A0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6D02ECA6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AB56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ED7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B4-90a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C55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B0D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08F1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0589CBB9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9A1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D1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B4-90b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0C50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93D8B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zasedačka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C73A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2DF" w14:paraId="228F9F4B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2EE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44B0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B4-90c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D594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51,99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46B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zasedačka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A570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2DF" w14:paraId="6F2B9915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BF6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FDB4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B4-91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C539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17,17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E597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kancelář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8915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32DF" w14:paraId="6157B025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AC24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E879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B4-92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4C7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2BDA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šatna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3F3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532DF" w14:paraId="03AAECBF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62F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852A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5C7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5AF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kuchyň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44E4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532DF" w14:paraId="2883321B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010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03E3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FFA5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3129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servrovna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D207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532DF" w14:paraId="70000F42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0E4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674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F22D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59,74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9646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servrovna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9A72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532DF" w14:paraId="695C8898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87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EAC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B4-96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C34B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BE1A6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lab./server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8023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532DF" w14:paraId="33536D37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0CCE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0FA8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B4-97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6B2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19,23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CB09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chodba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CD64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532DF" w14:paraId="1020B176" w14:textId="77777777">
        <w:trPr>
          <w:trHeight w:val="227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A26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1.NP</w:t>
            </w:r>
          </w:p>
        </w:tc>
        <w:tc>
          <w:tcPr>
            <w:tcW w:w="2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52CB" w14:textId="77777777" w:rsidR="005532DF" w:rsidRDefault="005532D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00BF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98C5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dvůr - techn. místnost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A14C" w14:textId="77777777" w:rsidR="005532DF" w:rsidRDefault="00D513A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 w14:paraId="5144AEF8" w14:textId="77777777" w:rsidR="005532DF" w:rsidRDefault="005532DF"/>
    <w:p w14:paraId="52F93549" w14:textId="54E7281E" w:rsidR="005532DF" w:rsidRDefault="00D513A4">
      <w:pPr>
        <w:rPr>
          <w:b/>
        </w:rPr>
      </w:pPr>
      <w:r>
        <w:rPr>
          <w:b/>
        </w:rPr>
        <w:t xml:space="preserve">Základní sazba nájemného (ZSN) k 1. 2. 2024: </w:t>
      </w:r>
      <w:r w:rsidR="00347E75">
        <w:rPr>
          <w:b/>
        </w:rPr>
        <w:t>401</w:t>
      </w:r>
      <w:r>
        <w:rPr>
          <w:b/>
        </w:rPr>
        <w:t xml:space="preserve"> Kč/m</w:t>
      </w:r>
      <w:r>
        <w:rPr>
          <w:b/>
          <w:vertAlign w:val="superscript"/>
        </w:rPr>
        <w:t>2</w:t>
      </w:r>
      <w:r>
        <w:rPr>
          <w:b/>
        </w:rPr>
        <w:t>/měsíc</w:t>
      </w:r>
    </w:p>
    <w:tbl>
      <w:tblPr>
        <w:tblW w:w="88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977"/>
        <w:gridCol w:w="1345"/>
        <w:gridCol w:w="1207"/>
        <w:gridCol w:w="1416"/>
        <w:gridCol w:w="1485"/>
      </w:tblGrid>
      <w:tr w:rsidR="005532DF" w14:paraId="03605703" w14:textId="77777777">
        <w:trPr>
          <w:trHeight w:val="60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7E1F84" w14:textId="77777777" w:rsidR="005532DF" w:rsidRDefault="00D513A4">
            <w:pPr>
              <w:widowControl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Typ místnosti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8BD74F" w14:textId="77777777" w:rsidR="005532DF" w:rsidRDefault="00D513A4">
            <w:pPr>
              <w:widowControl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Plocha</w:t>
            </w:r>
            <w:r>
              <w:rPr>
                <w:rFonts w:ascii="Calibri" w:hAnsi="Calibri"/>
                <w:b/>
                <w:color w:val="000000"/>
              </w:rPr>
              <w:br/>
              <w:t>(m</w:t>
            </w:r>
            <w:r>
              <w:rPr>
                <w:rFonts w:ascii="Calibri" w:hAnsi="Calibri"/>
                <w:b/>
                <w:color w:val="000000"/>
                <w:vertAlign w:val="superscript"/>
              </w:rPr>
              <w:t>2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FA8B2" w14:textId="77777777" w:rsidR="005532DF" w:rsidRDefault="00D513A4">
            <w:pPr>
              <w:widowControl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Koeficient ZSN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879AF1" w14:textId="77777777" w:rsidR="005532DF" w:rsidRDefault="00D513A4">
            <w:pPr>
              <w:widowControl w:val="0"/>
              <w:ind w:left="-70" w:right="-7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Použitá sazba nájemného (Kč/m</w:t>
            </w:r>
            <w:r>
              <w:rPr>
                <w:rFonts w:ascii="Calibri" w:hAnsi="Calibri"/>
                <w:b/>
                <w:color w:val="000000"/>
                <w:vertAlign w:val="superscript"/>
              </w:rPr>
              <w:t>2</w:t>
            </w:r>
            <w:r>
              <w:rPr>
                <w:rFonts w:ascii="Calibri" w:hAnsi="Calibri"/>
                <w:b/>
                <w:color w:val="000000"/>
              </w:rPr>
              <w:t>/měsíc)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4FE711" w14:textId="77777777" w:rsidR="005532DF" w:rsidRDefault="00D513A4">
            <w:pPr>
              <w:widowControl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Nájemné (zaokrouhleno na celé Kč/měsíc)</w:t>
            </w:r>
          </w:p>
        </w:tc>
      </w:tr>
      <w:tr w:rsidR="005532DF" w14:paraId="74BD18A7" w14:textId="77777777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CDC8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3445" w14:textId="77777777" w:rsidR="005532DF" w:rsidRDefault="00D513A4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Kancelář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00E7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132,80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5C7C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CE38" w14:textId="42FADE91" w:rsidR="005532DF" w:rsidRDefault="00347E75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</w:t>
            </w:r>
            <w:r w:rsidR="00D513A4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3DFD" w14:textId="2D392815" w:rsidR="005532DF" w:rsidRDefault="00347E75">
            <w:pPr>
              <w:widowControl w:val="0"/>
              <w:ind w:right="22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53 252,80</w:t>
            </w:r>
          </w:p>
        </w:tc>
      </w:tr>
      <w:tr w:rsidR="005532DF" w14:paraId="6FDBB127" w14:textId="77777777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C7B7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737F" w14:textId="77777777" w:rsidR="005532DF" w:rsidRDefault="00D513A4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zasedací místnost, učebna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BBEF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8FC7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7181" w14:textId="04C38B71" w:rsidR="005532DF" w:rsidRDefault="00347E75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</w:t>
            </w:r>
            <w:r w:rsidR="00D513A4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1BC9" w14:textId="5CC93169" w:rsidR="005532DF" w:rsidRDefault="00347E75">
            <w:pPr>
              <w:widowControl w:val="0"/>
              <w:ind w:right="22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31 679,00</w:t>
            </w:r>
          </w:p>
        </w:tc>
      </w:tr>
      <w:tr w:rsidR="005532DF" w14:paraId="747D0DA8" w14:textId="77777777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1BC7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8FD0" w14:textId="77777777" w:rsidR="005532DF" w:rsidRDefault="00D513A4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laboratoř, servrovna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F554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120,30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7E63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AB3A" w14:textId="2D796E4D" w:rsidR="005532DF" w:rsidRDefault="00347E75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</w:t>
            </w:r>
            <w:r w:rsidR="00D513A4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B54D" w14:textId="0007A79C" w:rsidR="005532DF" w:rsidRDefault="00347E75">
            <w:pPr>
              <w:widowControl w:val="0"/>
              <w:ind w:right="22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  <w:r w:rsidR="00103F4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240,30</w:t>
            </w:r>
          </w:p>
        </w:tc>
      </w:tr>
      <w:tr w:rsidR="005532DF" w14:paraId="73ABC3A7" w14:textId="77777777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D931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340D" w14:textId="77777777" w:rsidR="005532DF" w:rsidRDefault="00D513A4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sklad, půda, vrátnice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84F3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6142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C191" w14:textId="79C3C638" w:rsidR="005532DF" w:rsidRDefault="005532DF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D868" w14:textId="77777777" w:rsidR="005532DF" w:rsidRDefault="00D513A4">
            <w:pPr>
              <w:widowControl w:val="0"/>
              <w:ind w:right="22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532DF" w14:paraId="7D6C892B" w14:textId="77777777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CE83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4059" w14:textId="77777777" w:rsidR="005532DF" w:rsidRDefault="00D513A4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WC, kuchyňka, šatna, sprcha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581F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12,80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632B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5485" w14:textId="66985923" w:rsidR="005532DF" w:rsidRDefault="00347E75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3B5E" w14:textId="7DA08B39" w:rsidR="005532DF" w:rsidRDefault="00347E75">
            <w:pPr>
              <w:widowControl w:val="0"/>
              <w:ind w:right="22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256,64</w:t>
            </w:r>
          </w:p>
        </w:tc>
      </w:tr>
      <w:tr w:rsidR="005532DF" w14:paraId="6AAD1A14" w14:textId="77777777">
        <w:trPr>
          <w:trHeight w:val="30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38EC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8AC8" w14:textId="77777777" w:rsidR="005532DF" w:rsidRDefault="00D513A4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chodba, předsíň, schody, dvůr</w:t>
            </w: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D45A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554A" w14:textId="77777777" w:rsidR="005532DF" w:rsidRDefault="00D513A4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D47F" w14:textId="1309FF0C" w:rsidR="005532DF" w:rsidRDefault="00347E75">
            <w:pPr>
              <w:widowControl w:val="0"/>
              <w:ind w:right="284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D318" w14:textId="2B845D3E" w:rsidR="005532DF" w:rsidRDefault="00347E75">
            <w:pPr>
              <w:widowControl w:val="0"/>
              <w:ind w:right="22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23F1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554,37</w:t>
            </w:r>
          </w:p>
        </w:tc>
      </w:tr>
      <w:tr w:rsidR="005532DF" w14:paraId="545AF85E" w14:textId="77777777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CE73B8" w14:textId="77777777" w:rsidR="005532DF" w:rsidRDefault="00D513A4">
            <w:pPr>
              <w:widowControl w:val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Celkem</w:t>
            </w:r>
          </w:p>
        </w:tc>
        <w:tc>
          <w:tcPr>
            <w:tcW w:w="13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3A1663" w14:textId="77777777" w:rsidR="005532DF" w:rsidRDefault="00D513A4">
            <w:pPr>
              <w:widowControl w:val="0"/>
              <w:ind w:right="284"/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469,60</w:t>
            </w:r>
          </w:p>
        </w:tc>
        <w:tc>
          <w:tcPr>
            <w:tcW w:w="12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79A4D1" w14:textId="77777777" w:rsidR="005532DF" w:rsidRDefault="005532DF">
            <w:pPr>
              <w:widowControl w:val="0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B49906" w14:textId="77777777" w:rsidR="005532DF" w:rsidRDefault="005532DF">
            <w:pPr>
              <w:widowControl w:val="0"/>
              <w:ind w:right="284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5F76BC" w14:textId="70AEEFBA" w:rsidR="005532DF" w:rsidRDefault="00347E75">
            <w:pPr>
              <w:widowControl w:val="0"/>
              <w:ind w:right="227"/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135</w:t>
            </w:r>
            <w:r w:rsidR="00823F14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983,11</w:t>
            </w:r>
          </w:p>
        </w:tc>
      </w:tr>
    </w:tbl>
    <w:p w14:paraId="40F70178" w14:textId="77777777" w:rsidR="005532DF" w:rsidRDefault="005532DF"/>
    <w:p w14:paraId="5F0031D5" w14:textId="77777777" w:rsidR="005532DF" w:rsidRDefault="005532DF"/>
    <w:p w14:paraId="25849F08" w14:textId="77777777" w:rsidR="005532DF" w:rsidRDefault="005532DF">
      <w:pPr>
        <w:ind w:left="284" w:hanging="284"/>
        <w:rPr>
          <w:b/>
        </w:rPr>
      </w:pPr>
    </w:p>
    <w:p w14:paraId="6BD5C9E6" w14:textId="77777777" w:rsidR="005532DF" w:rsidRDefault="005532DF">
      <w:pPr>
        <w:ind w:left="284" w:hanging="284"/>
        <w:rPr>
          <w:b/>
        </w:rPr>
      </w:pPr>
    </w:p>
    <w:p w14:paraId="03AF6E26" w14:textId="77777777" w:rsidR="005532DF" w:rsidRDefault="005532DF">
      <w:pPr>
        <w:ind w:left="284" w:hanging="284"/>
        <w:rPr>
          <w:b/>
        </w:rPr>
      </w:pPr>
    </w:p>
    <w:p w14:paraId="7C21695D" w14:textId="77777777" w:rsidR="005532DF" w:rsidRDefault="005532DF">
      <w:pPr>
        <w:ind w:left="284" w:hanging="284"/>
        <w:rPr>
          <w:b/>
        </w:rPr>
      </w:pPr>
    </w:p>
    <w:p w14:paraId="28D41284" w14:textId="77777777" w:rsidR="005532DF" w:rsidRDefault="00D513A4">
      <w:r>
        <w:br w:type="page"/>
      </w:r>
    </w:p>
    <w:p w14:paraId="6AD723FF" w14:textId="77777777" w:rsidR="005532DF" w:rsidRDefault="00D513A4">
      <w:pPr>
        <w:rPr>
          <w:b/>
        </w:rPr>
      </w:pPr>
      <w:r>
        <w:rPr>
          <w:b/>
        </w:rPr>
        <w:lastRenderedPageBreak/>
        <w:t>Půdorys předmětu nájmu</w:t>
      </w:r>
    </w:p>
    <w:p w14:paraId="5A8CE9DE" w14:textId="77777777" w:rsidR="005532DF" w:rsidRDefault="005532DF"/>
    <w:p w14:paraId="6AF4C9C7" w14:textId="77777777" w:rsidR="005532DF" w:rsidRDefault="00D513A4">
      <w:r>
        <w:rPr>
          <w:noProof/>
        </w:rPr>
        <w:drawing>
          <wp:inline distT="0" distB="0" distL="0" distR="0" wp14:anchorId="6DA55C42" wp14:editId="7BD150A0">
            <wp:extent cx="5941060" cy="236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D938" w14:textId="77777777" w:rsidR="005532DF" w:rsidRDefault="005532DF">
      <w:pPr>
        <w:jc w:val="both"/>
      </w:pPr>
    </w:p>
    <w:p w14:paraId="7EB311FB" w14:textId="77777777" w:rsidR="005532DF" w:rsidRDefault="00D513A4">
      <w:pPr>
        <w:spacing w:after="200" w:line="276" w:lineRule="auto"/>
      </w:pPr>
      <w:r>
        <w:br w:type="page"/>
      </w:r>
    </w:p>
    <w:p w14:paraId="254F48B7" w14:textId="77777777" w:rsidR="005532DF" w:rsidRDefault="005532DF">
      <w:pPr>
        <w:jc w:val="both"/>
      </w:pPr>
    </w:p>
    <w:sectPr w:rsidR="005532DF">
      <w:pgSz w:w="11906" w:h="16838"/>
      <w:pgMar w:top="1134" w:right="1416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EE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53E"/>
    <w:multiLevelType w:val="multilevel"/>
    <w:tmpl w:val="3B06A5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1F5771"/>
    <w:multiLevelType w:val="multilevel"/>
    <w:tmpl w:val="99BA094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CB87882"/>
    <w:multiLevelType w:val="multilevel"/>
    <w:tmpl w:val="B8C6F6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C27F14"/>
    <w:multiLevelType w:val="multilevel"/>
    <w:tmpl w:val="FBA6C08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39F662DD"/>
    <w:multiLevelType w:val="multilevel"/>
    <w:tmpl w:val="EE7255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EE2144"/>
    <w:multiLevelType w:val="multilevel"/>
    <w:tmpl w:val="E774D5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DDC2825"/>
    <w:multiLevelType w:val="multilevel"/>
    <w:tmpl w:val="97DC4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DF"/>
    <w:rsid w:val="0002503D"/>
    <w:rsid w:val="00025E95"/>
    <w:rsid w:val="00086330"/>
    <w:rsid w:val="00103F45"/>
    <w:rsid w:val="00114D50"/>
    <w:rsid w:val="00144DAE"/>
    <w:rsid w:val="00261FD5"/>
    <w:rsid w:val="0027338B"/>
    <w:rsid w:val="003334BD"/>
    <w:rsid w:val="00344A93"/>
    <w:rsid w:val="00347E75"/>
    <w:rsid w:val="003613CD"/>
    <w:rsid w:val="003E13D5"/>
    <w:rsid w:val="003E13DE"/>
    <w:rsid w:val="005532DF"/>
    <w:rsid w:val="005814A7"/>
    <w:rsid w:val="005A7B2B"/>
    <w:rsid w:val="00616955"/>
    <w:rsid w:val="00645763"/>
    <w:rsid w:val="00680567"/>
    <w:rsid w:val="006A0905"/>
    <w:rsid w:val="006A1EBB"/>
    <w:rsid w:val="006C4F7A"/>
    <w:rsid w:val="00726798"/>
    <w:rsid w:val="007E6673"/>
    <w:rsid w:val="00823F14"/>
    <w:rsid w:val="008770A3"/>
    <w:rsid w:val="008861B7"/>
    <w:rsid w:val="008E0893"/>
    <w:rsid w:val="009A68F9"/>
    <w:rsid w:val="009B4AC8"/>
    <w:rsid w:val="009D273F"/>
    <w:rsid w:val="00A64D2E"/>
    <w:rsid w:val="00B225DE"/>
    <w:rsid w:val="00B32C04"/>
    <w:rsid w:val="00B70257"/>
    <w:rsid w:val="00BE4F2F"/>
    <w:rsid w:val="00D32E0A"/>
    <w:rsid w:val="00D513A4"/>
    <w:rsid w:val="00D6785D"/>
    <w:rsid w:val="00D8310B"/>
    <w:rsid w:val="00D94BCD"/>
    <w:rsid w:val="00DE564F"/>
    <w:rsid w:val="00DE6949"/>
    <w:rsid w:val="00F05937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B76"/>
  <w15:docId w15:val="{54D4BE74-D299-4266-A2D0-9F910B4B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4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C554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qFormat/>
    <w:rsid w:val="00C5549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D666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51">
    <w:name w:val="Font Style51"/>
    <w:qFormat/>
    <w:rsid w:val="00D6660D"/>
    <w:rPr>
      <w:rFonts w:ascii="Arial" w:hAnsi="Arial" w:cs="Arial"/>
      <w:i/>
      <w:iCs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496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496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C49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49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586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C55490"/>
    <w:pPr>
      <w:jc w:val="both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Podnadpis">
    <w:name w:val="Subtitle"/>
    <w:basedOn w:val="Normln"/>
    <w:link w:val="PodnadpisChar"/>
    <w:qFormat/>
    <w:rsid w:val="00C55490"/>
    <w:rPr>
      <w:b/>
      <w:bCs/>
      <w:sz w:val="28"/>
      <w:szCs w:val="20"/>
    </w:rPr>
  </w:style>
  <w:style w:type="paragraph" w:customStyle="1" w:styleId="Zkladntextodsazen21">
    <w:name w:val="Základní text odsazený 21"/>
    <w:basedOn w:val="Normln"/>
    <w:qFormat/>
    <w:rsid w:val="00C55490"/>
    <w:pPr>
      <w:ind w:firstLine="708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D6660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6660D"/>
    <w:pPr>
      <w:spacing w:after="120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496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C49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C4963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1E0836"/>
    <w:pPr>
      <w:spacing w:beforeAutospacing="1" w:afterAutospacing="1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586A7C"/>
    <w:pPr>
      <w:spacing w:after="120" w:line="480" w:lineRule="auto"/>
      <w:ind w:left="283"/>
    </w:pPr>
  </w:style>
  <w:style w:type="table" w:styleId="Mkatabulky">
    <w:name w:val="Table Grid"/>
    <w:basedOn w:val="Normlntabulka"/>
    <w:uiPriority w:val="59"/>
    <w:rsid w:val="0078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61FD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2EF5-05A7-419B-9BFF-2B3B4C50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1563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Čuřík Martin</dc:creator>
  <dc:description/>
  <cp:lastModifiedBy>Maurerova Marketa</cp:lastModifiedBy>
  <cp:revision>26</cp:revision>
  <cp:lastPrinted>2024-01-26T10:52:00Z</cp:lastPrinted>
  <dcterms:created xsi:type="dcterms:W3CDTF">2024-02-15T13:04:00Z</dcterms:created>
  <dcterms:modified xsi:type="dcterms:W3CDTF">2024-02-15T14:05:00Z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bc06edbc9bb39bdef19363ddf6d7a8434ec36120596b2610cf144fd66bf1377b</vt:lpwstr>
  </property>
</Properties>
</file>