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4F" w:rsidRDefault="003D1901">
      <w:pPr>
        <w:pStyle w:val="Bodytext20"/>
        <w:spacing w:after="180"/>
      </w:pPr>
      <w:r>
        <w:rPr>
          <w:rStyle w:val="Bodytext2"/>
        </w:rPr>
        <w:t>Níže uvedeného dne, měsíce a roku uzavřely smluvní strany</w:t>
      </w:r>
    </w:p>
    <w:p w:rsidR="006E564F" w:rsidRDefault="003D1901">
      <w:pPr>
        <w:pStyle w:val="Bodytext20"/>
        <w:ind w:left="1680"/>
      </w:pPr>
      <w:r>
        <w:rPr>
          <w:noProof/>
        </w:rPr>
        <mc:AlternateContent>
          <mc:Choice Requires="wps">
            <w:drawing>
              <wp:anchor distT="0" distB="0" distL="114300" distR="114300" simplePos="0" relativeHeight="125829378" behindDoc="0" locked="0" layoutInCell="1" allowOverlap="1">
                <wp:simplePos x="0" y="0"/>
                <wp:positionH relativeFrom="page">
                  <wp:posOffset>523875</wp:posOffset>
                </wp:positionH>
                <wp:positionV relativeFrom="paragraph">
                  <wp:posOffset>12700</wp:posOffset>
                </wp:positionV>
                <wp:extent cx="966470" cy="237426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966470" cy="2374265"/>
                        </a:xfrm>
                        <a:prstGeom prst="rect">
                          <a:avLst/>
                        </a:prstGeom>
                        <a:noFill/>
                      </wps:spPr>
                      <wps:txbx>
                        <w:txbxContent>
                          <w:p w:rsidR="006E564F" w:rsidRDefault="003D1901">
                            <w:pPr>
                              <w:pStyle w:val="Bodytext20"/>
                              <w:spacing w:after="180"/>
                            </w:pPr>
                            <w:r>
                              <w:rPr>
                                <w:rStyle w:val="Bodytext2"/>
                              </w:rPr>
                              <w:t>na straně jedné:</w:t>
                            </w:r>
                          </w:p>
                          <w:p w:rsidR="006E564F" w:rsidRDefault="003D1901">
                            <w:pPr>
                              <w:pStyle w:val="Bodytext20"/>
                            </w:pPr>
                            <w:r>
                              <w:rPr>
                                <w:rStyle w:val="Bodytext2"/>
                              </w:rPr>
                              <w:t>Zastoupená: Bankovní spojení:</w:t>
                            </w:r>
                          </w:p>
                          <w:p w:rsidR="006E564F" w:rsidRDefault="003D1901">
                            <w:pPr>
                              <w:pStyle w:val="Bodytext20"/>
                            </w:pPr>
                            <w:r>
                              <w:rPr>
                                <w:rStyle w:val="Bodytext2"/>
                              </w:rPr>
                              <w:t>Číslo účtu:</w:t>
                            </w:r>
                          </w:p>
                          <w:p w:rsidR="006E564F" w:rsidRDefault="003D1901">
                            <w:pPr>
                              <w:pStyle w:val="Bodytext20"/>
                            </w:pPr>
                            <w:r>
                              <w:rPr>
                                <w:rStyle w:val="Bodytext2"/>
                              </w:rPr>
                              <w:t>IČ:</w:t>
                            </w:r>
                          </w:p>
                          <w:p w:rsidR="006E564F" w:rsidRDefault="003D1901">
                            <w:pPr>
                              <w:pStyle w:val="Bodytext20"/>
                            </w:pPr>
                            <w:r>
                              <w:rPr>
                                <w:rStyle w:val="Bodytext2"/>
                              </w:rPr>
                              <w:t>DIČ:</w:t>
                            </w:r>
                          </w:p>
                          <w:p w:rsidR="006E564F" w:rsidRDefault="003D1901">
                            <w:pPr>
                              <w:pStyle w:val="Bodytext20"/>
                            </w:pPr>
                            <w:r>
                              <w:rPr>
                                <w:rStyle w:val="Bodytext2"/>
                              </w:rPr>
                              <w:t>Zapsaná:</w:t>
                            </w:r>
                          </w:p>
                          <w:p w:rsidR="006E564F" w:rsidRDefault="003D1901">
                            <w:pPr>
                              <w:pStyle w:val="Bodytext20"/>
                              <w:spacing w:after="180"/>
                            </w:pPr>
                            <w:r>
                              <w:rPr>
                                <w:rStyle w:val="Bodytext2"/>
                              </w:rPr>
                              <w:t>(dále jen „Linde“)</w:t>
                            </w:r>
                          </w:p>
                          <w:p w:rsidR="006E564F" w:rsidRDefault="003D1901">
                            <w:pPr>
                              <w:pStyle w:val="Bodytext20"/>
                              <w:spacing w:after="180"/>
                            </w:pPr>
                            <w:r>
                              <w:rPr>
                                <w:rStyle w:val="Bodytext2"/>
                              </w:rPr>
                              <w:t>na straně druhé:</w:t>
                            </w:r>
                          </w:p>
                          <w:p w:rsidR="006E564F" w:rsidRDefault="003D1901">
                            <w:pPr>
                              <w:pStyle w:val="Bodytext20"/>
                              <w:spacing w:after="180"/>
                            </w:pPr>
                            <w:r>
                              <w:rPr>
                                <w:rStyle w:val="Bodytext2"/>
                              </w:rPr>
                              <w:t>Zastoupená:</w:t>
                            </w:r>
                          </w:p>
                          <w:p w:rsidR="006E564F" w:rsidRDefault="003D1901">
                            <w:pPr>
                              <w:pStyle w:val="Bodytext20"/>
                            </w:pPr>
                            <w:r>
                              <w:rPr>
                                <w:rStyle w:val="Bodytext2"/>
                              </w:rPr>
                              <w:t>Bankovní spojení:</w:t>
                            </w:r>
                          </w:p>
                          <w:p w:rsidR="006E564F" w:rsidRDefault="003D1901">
                            <w:pPr>
                              <w:pStyle w:val="Bodytext20"/>
                            </w:pPr>
                            <w:r>
                              <w:rPr>
                                <w:rStyle w:val="Bodytext2"/>
                              </w:rPr>
                              <w:t>Číslo účtu:</w:t>
                            </w:r>
                          </w:p>
                          <w:p w:rsidR="006E564F" w:rsidRDefault="003D1901">
                            <w:pPr>
                              <w:pStyle w:val="Bodytext20"/>
                            </w:pPr>
                            <w:r>
                              <w:rPr>
                                <w:rStyle w:val="Bodytext2"/>
                              </w:rPr>
                              <w:t>IČ:</w:t>
                            </w:r>
                          </w:p>
                          <w:p w:rsidR="006E564F" w:rsidRDefault="003D1901">
                            <w:pPr>
                              <w:pStyle w:val="Bodytext20"/>
                            </w:pPr>
                            <w:r>
                              <w:rPr>
                                <w:rStyle w:val="Bodytext2"/>
                              </w:rPr>
                              <w:t>DIČ:</w:t>
                            </w:r>
                          </w:p>
                          <w:p w:rsidR="006E564F" w:rsidRDefault="003D1901">
                            <w:pPr>
                              <w:pStyle w:val="Bodytext20"/>
                            </w:pPr>
                            <w:r>
                              <w:rPr>
                                <w:rStyle w:val="Bodytext2"/>
                              </w:rPr>
                              <w:t>Zapsaná:</w:t>
                            </w:r>
                          </w:p>
                          <w:p w:rsidR="006E564F" w:rsidRDefault="003D1901">
                            <w:pPr>
                              <w:pStyle w:val="Bodytext20"/>
                              <w:spacing w:after="180"/>
                            </w:pPr>
                            <w:r>
                              <w:rPr>
                                <w:rStyle w:val="Bodytext2"/>
                              </w:rPr>
                              <w:t>(dále jen „Zákazník“)</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1.25pt;margin-top:1pt;width:76.1pt;height:186.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pngQEAAPwCAAAOAAAAZHJzL2Uyb0RvYy54bWysUsFOwzAMvSPxD1HurFsZA6q1k9A0hIQA&#10;afABWZqskZo4SsLa/T1O1m0IbohL6tju83vPmS963ZKdcF6BKelkNKZEGA61MtuSfryvru4o8YGZ&#10;mrVgREn3wtNFdXkx72whcmigrYUjCGJ80dmSNiHYIss8b4RmfgRWGCxKcJoFvLptVjvWIbpus3w8&#10;nmUduNo64MJ7zC4PRVolfCkFD69SehFIW1LkFtLp0rmJZ1bNWbF1zDaKDzTYH1hopgwOPUEtWWDk&#10;06lfUFpxBx5kGHHQGUipuEgaUM1k/EPNumFWJC1ojrcnm/z/wfKX3ZsjqsbdUWKYxhWlqWQSrems&#10;L7BjbbEn9A/Qx7Yh7zEZFffS6fhFLQTraPL+ZKzoA+GYvJ/NprdY4VjKr2+n+ewmwmTnv63z4VGA&#10;JjEoqcPFJT/Z7tmHQ+uxJQ4zsFJtG/OR4oFKjEK/6Qd+G6j3SLt9MmhXXP0xcMdgMwRHGLQ4cRqe&#10;Q9zh93sadn601RcAAAD//wMAUEsDBBQABgAIAAAAIQB5JaVV3gAAAAgBAAAPAAAAZHJzL2Rvd25y&#10;ZXYueG1sTI/NTsMwEITvSLyDtUjcqENK/0KcqkJwQkKk4cDRibeJ1XgdYrcNb89yguNoRjPf5NvJ&#10;9eKMY7CeFNzPEhBIjTeWWgUf1cvdGkSImozuPaGCbwywLa6vcp0Zf6ESz/vYCi6hkGkFXYxDJmVo&#10;OnQ6zPyAxN7Bj05HlmMrzagvXO56mSbJUjptiRc6PeBTh81xf3IKdp9UPtuvt/q9PJS2qjYJvS6P&#10;St3eTLtHEBGn+BeGX3xGh4KZan8iE0SvYJ0uOKkg5Udsp/OHFYhawXy12IAscvn/QPEDAAD//wMA&#10;UEsBAi0AFAAGAAgAAAAhALaDOJL+AAAA4QEAABMAAAAAAAAAAAAAAAAAAAAAAFtDb250ZW50X1R5&#10;cGVzXS54bWxQSwECLQAUAAYACAAAACEAOP0h/9YAAACUAQAACwAAAAAAAAAAAAAAAAAvAQAAX3Jl&#10;bHMvLnJlbHNQSwECLQAUAAYACAAAACEA9YD6Z4EBAAD8AgAADgAAAAAAAAAAAAAAAAAuAgAAZHJz&#10;L2Uyb0RvYy54bWxQSwECLQAUAAYACAAAACEAeSWlVd4AAAAIAQAADwAAAAAAAAAAAAAAAADbAwAA&#10;ZHJzL2Rvd25yZXYueG1sUEsFBgAAAAAEAAQA8wAAAOYEAAAAAA==&#10;" filled="f" stroked="f">
                <v:textbox inset="0,0,0,0">
                  <w:txbxContent>
                    <w:p w:rsidR="006E564F" w:rsidRDefault="003D1901">
                      <w:pPr>
                        <w:pStyle w:val="Bodytext20"/>
                        <w:spacing w:after="180"/>
                      </w:pPr>
                      <w:r>
                        <w:rPr>
                          <w:rStyle w:val="Bodytext2"/>
                        </w:rPr>
                        <w:t>na straně jedné:</w:t>
                      </w:r>
                    </w:p>
                    <w:p w:rsidR="006E564F" w:rsidRDefault="003D1901">
                      <w:pPr>
                        <w:pStyle w:val="Bodytext20"/>
                      </w:pPr>
                      <w:r>
                        <w:rPr>
                          <w:rStyle w:val="Bodytext2"/>
                        </w:rPr>
                        <w:t>Zastoupená: Bankovní spojení:</w:t>
                      </w:r>
                    </w:p>
                    <w:p w:rsidR="006E564F" w:rsidRDefault="003D1901">
                      <w:pPr>
                        <w:pStyle w:val="Bodytext20"/>
                      </w:pPr>
                      <w:r>
                        <w:rPr>
                          <w:rStyle w:val="Bodytext2"/>
                        </w:rPr>
                        <w:t>Číslo účtu:</w:t>
                      </w:r>
                    </w:p>
                    <w:p w:rsidR="006E564F" w:rsidRDefault="003D1901">
                      <w:pPr>
                        <w:pStyle w:val="Bodytext20"/>
                      </w:pPr>
                      <w:r>
                        <w:rPr>
                          <w:rStyle w:val="Bodytext2"/>
                        </w:rPr>
                        <w:t>IČ:</w:t>
                      </w:r>
                    </w:p>
                    <w:p w:rsidR="006E564F" w:rsidRDefault="003D1901">
                      <w:pPr>
                        <w:pStyle w:val="Bodytext20"/>
                      </w:pPr>
                      <w:r>
                        <w:rPr>
                          <w:rStyle w:val="Bodytext2"/>
                        </w:rPr>
                        <w:t>DIČ:</w:t>
                      </w:r>
                    </w:p>
                    <w:p w:rsidR="006E564F" w:rsidRDefault="003D1901">
                      <w:pPr>
                        <w:pStyle w:val="Bodytext20"/>
                      </w:pPr>
                      <w:r>
                        <w:rPr>
                          <w:rStyle w:val="Bodytext2"/>
                        </w:rPr>
                        <w:t>Zapsaná:</w:t>
                      </w:r>
                    </w:p>
                    <w:p w:rsidR="006E564F" w:rsidRDefault="003D1901">
                      <w:pPr>
                        <w:pStyle w:val="Bodytext20"/>
                        <w:spacing w:after="180"/>
                      </w:pPr>
                      <w:r>
                        <w:rPr>
                          <w:rStyle w:val="Bodytext2"/>
                        </w:rPr>
                        <w:t>(dále jen „Linde“)</w:t>
                      </w:r>
                    </w:p>
                    <w:p w:rsidR="006E564F" w:rsidRDefault="003D1901">
                      <w:pPr>
                        <w:pStyle w:val="Bodytext20"/>
                        <w:spacing w:after="180"/>
                      </w:pPr>
                      <w:r>
                        <w:rPr>
                          <w:rStyle w:val="Bodytext2"/>
                        </w:rPr>
                        <w:t>na straně druhé:</w:t>
                      </w:r>
                    </w:p>
                    <w:p w:rsidR="006E564F" w:rsidRDefault="003D1901">
                      <w:pPr>
                        <w:pStyle w:val="Bodytext20"/>
                        <w:spacing w:after="180"/>
                      </w:pPr>
                      <w:r>
                        <w:rPr>
                          <w:rStyle w:val="Bodytext2"/>
                        </w:rPr>
                        <w:t>Zastoupená:</w:t>
                      </w:r>
                    </w:p>
                    <w:p w:rsidR="006E564F" w:rsidRDefault="003D1901">
                      <w:pPr>
                        <w:pStyle w:val="Bodytext20"/>
                      </w:pPr>
                      <w:r>
                        <w:rPr>
                          <w:rStyle w:val="Bodytext2"/>
                        </w:rPr>
                        <w:t>Bankovní spojení:</w:t>
                      </w:r>
                    </w:p>
                    <w:p w:rsidR="006E564F" w:rsidRDefault="003D1901">
                      <w:pPr>
                        <w:pStyle w:val="Bodytext20"/>
                      </w:pPr>
                      <w:r>
                        <w:rPr>
                          <w:rStyle w:val="Bodytext2"/>
                        </w:rPr>
                        <w:t>Číslo účtu:</w:t>
                      </w:r>
                    </w:p>
                    <w:p w:rsidR="006E564F" w:rsidRDefault="003D1901">
                      <w:pPr>
                        <w:pStyle w:val="Bodytext20"/>
                      </w:pPr>
                      <w:r>
                        <w:rPr>
                          <w:rStyle w:val="Bodytext2"/>
                        </w:rPr>
                        <w:t>IČ:</w:t>
                      </w:r>
                    </w:p>
                    <w:p w:rsidR="006E564F" w:rsidRDefault="003D1901">
                      <w:pPr>
                        <w:pStyle w:val="Bodytext20"/>
                      </w:pPr>
                      <w:r>
                        <w:rPr>
                          <w:rStyle w:val="Bodytext2"/>
                        </w:rPr>
                        <w:t>DIČ:</w:t>
                      </w:r>
                    </w:p>
                    <w:p w:rsidR="006E564F" w:rsidRDefault="003D1901">
                      <w:pPr>
                        <w:pStyle w:val="Bodytext20"/>
                      </w:pPr>
                      <w:r>
                        <w:rPr>
                          <w:rStyle w:val="Bodytext2"/>
                        </w:rPr>
                        <w:t>Zapsaná:</w:t>
                      </w:r>
                    </w:p>
                    <w:p w:rsidR="006E564F" w:rsidRDefault="003D1901">
                      <w:pPr>
                        <w:pStyle w:val="Bodytext20"/>
                        <w:spacing w:after="180"/>
                      </w:pPr>
                      <w:r>
                        <w:rPr>
                          <w:rStyle w:val="Bodytext2"/>
                        </w:rPr>
                        <w:t>(dále jen „Zákazník“)</w:t>
                      </w:r>
                    </w:p>
                  </w:txbxContent>
                </v:textbox>
                <w10:wrap type="square" anchorx="page"/>
              </v:shape>
            </w:pict>
          </mc:Fallback>
        </mc:AlternateContent>
      </w:r>
      <w:r>
        <w:rPr>
          <w:rStyle w:val="Bodytext2"/>
        </w:rPr>
        <w:t xml:space="preserve">Linde </w:t>
      </w:r>
      <w:proofErr w:type="spellStart"/>
      <w:r>
        <w:rPr>
          <w:rStyle w:val="Bodytext2"/>
        </w:rPr>
        <w:t>Gas</w:t>
      </w:r>
      <w:proofErr w:type="spellEnd"/>
      <w:r>
        <w:rPr>
          <w:rStyle w:val="Bodytext2"/>
        </w:rPr>
        <w:t xml:space="preserve"> a.s.</w:t>
      </w:r>
    </w:p>
    <w:p w:rsidR="006E564F" w:rsidRDefault="003D1901">
      <w:pPr>
        <w:pStyle w:val="Bodytext20"/>
        <w:ind w:left="1680"/>
      </w:pPr>
      <w:r>
        <w:rPr>
          <w:rStyle w:val="Bodytext2"/>
        </w:rPr>
        <w:t xml:space="preserve">U </w:t>
      </w:r>
      <w:proofErr w:type="spellStart"/>
      <w:r>
        <w:rPr>
          <w:rStyle w:val="Bodytext2"/>
        </w:rPr>
        <w:t>Technoplynu</w:t>
      </w:r>
      <w:proofErr w:type="spellEnd"/>
      <w:r>
        <w:rPr>
          <w:rStyle w:val="Bodytext2"/>
        </w:rPr>
        <w:t xml:space="preserve"> 1324, 198 00 Praha 9</w:t>
      </w:r>
    </w:p>
    <w:p w:rsidR="006E564F" w:rsidRDefault="00AD4CFB">
      <w:pPr>
        <w:pStyle w:val="Bodytext20"/>
        <w:ind w:left="1680"/>
        <w:jc w:val="both"/>
      </w:pPr>
      <w:r>
        <w:rPr>
          <w:rStyle w:val="Bodytext2"/>
          <w:b/>
          <w:bCs/>
        </w:rPr>
        <w:t>xxxxxxxxxxxxxxxx</w:t>
      </w:r>
      <w:bookmarkStart w:id="0" w:name="_GoBack"/>
      <w:bookmarkEnd w:id="0"/>
      <w:r w:rsidR="003D1901">
        <w:rPr>
          <w:rStyle w:val="Bodytext2"/>
          <w:b/>
          <w:bCs/>
        </w:rPr>
        <w:t>, obchodní zástupce</w:t>
      </w:r>
    </w:p>
    <w:p w:rsidR="006E564F" w:rsidRDefault="003D1901">
      <w:pPr>
        <w:pStyle w:val="Bodytext20"/>
        <w:ind w:left="1680"/>
        <w:jc w:val="both"/>
      </w:pPr>
      <w:r>
        <w:rPr>
          <w:rStyle w:val="Bodytext2"/>
        </w:rPr>
        <w:t>UniCredit Bank Czech Republic, a.s.</w:t>
      </w:r>
    </w:p>
    <w:p w:rsidR="006E564F" w:rsidRDefault="003D1901">
      <w:pPr>
        <w:pStyle w:val="Bodytext20"/>
        <w:ind w:left="1680"/>
        <w:jc w:val="both"/>
      </w:pPr>
      <w:r>
        <w:rPr>
          <w:rStyle w:val="Bodytext2"/>
        </w:rPr>
        <w:t>502-305466004/2700</w:t>
      </w:r>
    </w:p>
    <w:p w:rsidR="006E564F" w:rsidRDefault="003D1901">
      <w:pPr>
        <w:pStyle w:val="Bodytext20"/>
        <w:ind w:left="1680"/>
        <w:jc w:val="both"/>
      </w:pPr>
      <w:r>
        <w:rPr>
          <w:rStyle w:val="Bodytext2"/>
        </w:rPr>
        <w:t>00011754</w:t>
      </w:r>
    </w:p>
    <w:p w:rsidR="006E564F" w:rsidRDefault="003D1901">
      <w:pPr>
        <w:pStyle w:val="Bodytext20"/>
        <w:ind w:left="1680"/>
        <w:jc w:val="both"/>
      </w:pPr>
      <w:r>
        <w:rPr>
          <w:rStyle w:val="Bodytext2"/>
        </w:rPr>
        <w:t>CZ00011754</w:t>
      </w:r>
    </w:p>
    <w:p w:rsidR="006E564F" w:rsidRDefault="003D1901">
      <w:pPr>
        <w:pStyle w:val="Bodytext20"/>
        <w:spacing w:after="360"/>
        <w:ind w:left="1680"/>
      </w:pPr>
      <w:r>
        <w:rPr>
          <w:rStyle w:val="Bodytext2"/>
        </w:rPr>
        <w:t>v obchodním rejstříku u Městského soudu v Praze, oddíl B, vložka 411</w:t>
      </w:r>
    </w:p>
    <w:p w:rsidR="006E564F" w:rsidRDefault="003D1901">
      <w:pPr>
        <w:pStyle w:val="Bodytext20"/>
        <w:tabs>
          <w:tab w:val="left" w:pos="6824"/>
        </w:tabs>
        <w:ind w:left="1640"/>
      </w:pPr>
      <w:r>
        <w:rPr>
          <w:rStyle w:val="Bodytext2"/>
        </w:rPr>
        <w:t xml:space="preserve">Krajská nemocnice T. </w:t>
      </w:r>
      <w:r>
        <w:rPr>
          <w:rStyle w:val="Bodytext2"/>
        </w:rPr>
        <w:t>Bati, a. s.</w:t>
      </w:r>
      <w:r>
        <w:rPr>
          <w:rStyle w:val="Bodytext2"/>
        </w:rPr>
        <w:tab/>
      </w:r>
      <w:r>
        <w:rPr>
          <w:rStyle w:val="Bodytext2"/>
          <w:b/>
          <w:bCs/>
          <w:u w:val="single"/>
        </w:rPr>
        <w:t>Číslo zákazníka:</w:t>
      </w:r>
    </w:p>
    <w:p w:rsidR="006E564F" w:rsidRDefault="003D1901">
      <w:pPr>
        <w:pStyle w:val="Bodytext20"/>
        <w:tabs>
          <w:tab w:val="left" w:pos="7040"/>
        </w:tabs>
        <w:ind w:left="1640"/>
      </w:pPr>
      <w:r>
        <w:rPr>
          <w:rStyle w:val="Bodytext2"/>
        </w:rPr>
        <w:t>Havlíčkovo nábřeží 600, 762 75 Zlín</w:t>
      </w:r>
      <w:r>
        <w:rPr>
          <w:rStyle w:val="Bodytext2"/>
        </w:rPr>
        <w:tab/>
      </w:r>
      <w:r>
        <w:rPr>
          <w:rStyle w:val="Bodytext2"/>
          <w:b/>
          <w:bCs/>
          <w:u w:val="single"/>
        </w:rPr>
        <w:t>570505030</w:t>
      </w:r>
    </w:p>
    <w:p w:rsidR="006E564F" w:rsidRDefault="003D1901">
      <w:pPr>
        <w:pStyle w:val="Bodytext20"/>
        <w:ind w:left="1640"/>
        <w:jc w:val="both"/>
      </w:pPr>
      <w:r>
        <w:rPr>
          <w:rStyle w:val="Bodytext2"/>
          <w:b/>
          <w:bCs/>
        </w:rPr>
        <w:t>Ing. Jan Hrdý, předseda představenstva</w:t>
      </w:r>
    </w:p>
    <w:p w:rsidR="006E564F" w:rsidRDefault="003D1901">
      <w:pPr>
        <w:pStyle w:val="Bodytext20"/>
        <w:ind w:left="1640"/>
      </w:pPr>
      <w:r>
        <w:rPr>
          <w:rStyle w:val="Bodytext2"/>
          <w:b/>
          <w:bCs/>
        </w:rPr>
        <w:t>Ing. Martin Déva, člen představenstva</w:t>
      </w:r>
    </w:p>
    <w:p w:rsidR="006E564F" w:rsidRDefault="003D1901">
      <w:pPr>
        <w:pStyle w:val="Bodytext20"/>
        <w:ind w:left="1640"/>
      </w:pPr>
      <w:r>
        <w:rPr>
          <w:rStyle w:val="Bodytext2"/>
        </w:rPr>
        <w:t>ČSOB, a.s.</w:t>
      </w:r>
    </w:p>
    <w:p w:rsidR="006E564F" w:rsidRDefault="003D1901">
      <w:pPr>
        <w:pStyle w:val="Bodytext20"/>
        <w:ind w:left="1640"/>
      </w:pPr>
      <w:r>
        <w:rPr>
          <w:rStyle w:val="Bodytext2"/>
        </w:rPr>
        <w:t>151203067/0300</w:t>
      </w:r>
    </w:p>
    <w:p w:rsidR="006E564F" w:rsidRDefault="003D1901">
      <w:pPr>
        <w:pStyle w:val="Bodytext20"/>
        <w:ind w:left="1640"/>
      </w:pPr>
      <w:r>
        <w:rPr>
          <w:rStyle w:val="Bodytext2"/>
        </w:rPr>
        <w:t>27661989</w:t>
      </w:r>
    </w:p>
    <w:p w:rsidR="006E564F" w:rsidRDefault="003D1901">
      <w:pPr>
        <w:pStyle w:val="Bodytext20"/>
        <w:ind w:left="1640"/>
      </w:pPr>
      <w:r>
        <w:rPr>
          <w:rStyle w:val="Bodytext2"/>
        </w:rPr>
        <w:t>CZ27661989</w:t>
      </w:r>
    </w:p>
    <w:p w:rsidR="006E564F" w:rsidRDefault="003D1901">
      <w:pPr>
        <w:pStyle w:val="Bodytext20"/>
        <w:spacing w:after="360"/>
        <w:ind w:left="1640"/>
      </w:pPr>
      <w:r>
        <w:rPr>
          <w:rStyle w:val="Bodytext2"/>
        </w:rPr>
        <w:t>v obchodním rejstříku u Krajského soudu v Brně, oddíl B, v</w:t>
      </w:r>
      <w:r>
        <w:rPr>
          <w:rStyle w:val="Bodytext2"/>
        </w:rPr>
        <w:t>ložka 4437</w:t>
      </w:r>
    </w:p>
    <w:p w:rsidR="006E564F" w:rsidRDefault="003D1901">
      <w:pPr>
        <w:pStyle w:val="Bodytext20"/>
        <w:jc w:val="center"/>
      </w:pPr>
      <w:r>
        <w:rPr>
          <w:rStyle w:val="Bodytext2"/>
        </w:rPr>
        <w:t>tuto</w:t>
      </w:r>
    </w:p>
    <w:p w:rsidR="006E564F" w:rsidRDefault="003D1901">
      <w:pPr>
        <w:pStyle w:val="Bodytext20"/>
        <w:spacing w:after="180"/>
        <w:jc w:val="center"/>
      </w:pPr>
      <w:r>
        <w:rPr>
          <w:rStyle w:val="Bodytext2"/>
          <w:b/>
          <w:bCs/>
        </w:rPr>
        <w:t>Smlouvu o dlouhodobém pronájmu technických zařízení</w:t>
      </w:r>
      <w:r>
        <w:rPr>
          <w:rStyle w:val="Bodytext2"/>
          <w:b/>
          <w:bCs/>
        </w:rPr>
        <w:br/>
        <w:t>číslo 1/2024</w:t>
      </w:r>
    </w:p>
    <w:p w:rsidR="006E564F" w:rsidRDefault="003D1901">
      <w:pPr>
        <w:pStyle w:val="Bodytext20"/>
        <w:numPr>
          <w:ilvl w:val="0"/>
          <w:numId w:val="1"/>
        </w:numPr>
        <w:tabs>
          <w:tab w:val="left" w:pos="342"/>
        </w:tabs>
        <w:spacing w:after="180"/>
        <w:ind w:left="360" w:hanging="360"/>
      </w:pPr>
      <w:r>
        <w:rPr>
          <w:rStyle w:val="Bodytext2"/>
        </w:rPr>
        <w:t xml:space="preserve">Zákazník získává jednorázovým zaplacením níže uvedeného dlouhodobého nájmu + DPH za každé technické zařízení Linde </w:t>
      </w:r>
      <w:proofErr w:type="spellStart"/>
      <w:r>
        <w:rPr>
          <w:rStyle w:val="Bodytext2"/>
        </w:rPr>
        <w:t>Gas</w:t>
      </w:r>
      <w:proofErr w:type="spellEnd"/>
      <w:r>
        <w:rPr>
          <w:rStyle w:val="Bodytext2"/>
        </w:rPr>
        <w:t xml:space="preserve"> a.s. (dále jen Linde) právo používat je v počtu a po dob</w:t>
      </w:r>
      <w:r>
        <w:rPr>
          <w:rStyle w:val="Bodytext2"/>
        </w:rPr>
        <w:t>u uvedenou níže.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1133"/>
        <w:gridCol w:w="1987"/>
        <w:gridCol w:w="2122"/>
        <w:gridCol w:w="1579"/>
      </w:tblGrid>
      <w:tr w:rsidR="006E564F">
        <w:tblPrEx>
          <w:tblCellMar>
            <w:top w:w="0" w:type="dxa"/>
            <w:bottom w:w="0" w:type="dxa"/>
          </w:tblCellMar>
        </w:tblPrEx>
        <w:trPr>
          <w:trHeight w:hRule="exact" w:val="600"/>
          <w:jc w:val="center"/>
        </w:trPr>
        <w:tc>
          <w:tcPr>
            <w:tcW w:w="2275" w:type="dxa"/>
            <w:tcBorders>
              <w:top w:val="single" w:sz="4" w:space="0" w:color="auto"/>
              <w:left w:val="single" w:sz="4" w:space="0" w:color="auto"/>
            </w:tcBorders>
            <w:shd w:val="clear" w:color="auto" w:fill="CACACA"/>
            <w:vAlign w:val="center"/>
          </w:tcPr>
          <w:p w:rsidR="006E564F" w:rsidRDefault="003D1901">
            <w:pPr>
              <w:pStyle w:val="Other10"/>
              <w:spacing w:after="0"/>
              <w:ind w:firstLine="420"/>
              <w:rPr>
                <w:sz w:val="16"/>
                <w:szCs w:val="16"/>
              </w:rPr>
            </w:pPr>
            <w:r>
              <w:rPr>
                <w:rStyle w:val="Other1"/>
                <w:b/>
                <w:bCs/>
                <w:sz w:val="16"/>
                <w:szCs w:val="16"/>
              </w:rPr>
              <w:t>Technické zařízení</w:t>
            </w:r>
          </w:p>
        </w:tc>
        <w:tc>
          <w:tcPr>
            <w:tcW w:w="1133" w:type="dxa"/>
            <w:tcBorders>
              <w:top w:val="single" w:sz="4" w:space="0" w:color="auto"/>
              <w:left w:val="single" w:sz="4" w:space="0" w:color="auto"/>
            </w:tcBorders>
            <w:shd w:val="clear" w:color="auto" w:fill="CACACA"/>
            <w:vAlign w:val="center"/>
          </w:tcPr>
          <w:p w:rsidR="006E564F" w:rsidRDefault="003D1901">
            <w:pPr>
              <w:pStyle w:val="Other10"/>
              <w:spacing w:after="0"/>
              <w:jc w:val="center"/>
              <w:rPr>
                <w:sz w:val="16"/>
                <w:szCs w:val="16"/>
              </w:rPr>
            </w:pPr>
            <w:r>
              <w:rPr>
                <w:rStyle w:val="Other1"/>
                <w:b/>
                <w:bCs/>
                <w:sz w:val="16"/>
                <w:szCs w:val="16"/>
              </w:rPr>
              <w:t>Počet pronajatých kusů</w:t>
            </w:r>
          </w:p>
        </w:tc>
        <w:tc>
          <w:tcPr>
            <w:tcW w:w="1987" w:type="dxa"/>
            <w:tcBorders>
              <w:top w:val="single" w:sz="4" w:space="0" w:color="auto"/>
              <w:left w:val="single" w:sz="4" w:space="0" w:color="auto"/>
            </w:tcBorders>
            <w:shd w:val="clear" w:color="auto" w:fill="CACACA"/>
            <w:vAlign w:val="center"/>
          </w:tcPr>
          <w:p w:rsidR="006E564F" w:rsidRDefault="003D1901">
            <w:pPr>
              <w:pStyle w:val="Other10"/>
              <w:spacing w:after="0"/>
              <w:jc w:val="center"/>
              <w:rPr>
                <w:sz w:val="16"/>
                <w:szCs w:val="16"/>
              </w:rPr>
            </w:pPr>
            <w:r>
              <w:rPr>
                <w:rStyle w:val="Other1"/>
                <w:b/>
                <w:bCs/>
                <w:sz w:val="16"/>
                <w:szCs w:val="16"/>
              </w:rPr>
              <w:t>Výrobní čísla</w:t>
            </w:r>
          </w:p>
        </w:tc>
        <w:tc>
          <w:tcPr>
            <w:tcW w:w="2122" w:type="dxa"/>
            <w:tcBorders>
              <w:top w:val="single" w:sz="4" w:space="0" w:color="auto"/>
              <w:left w:val="single" w:sz="4" w:space="0" w:color="auto"/>
            </w:tcBorders>
            <w:shd w:val="clear" w:color="auto" w:fill="CACACA"/>
            <w:vAlign w:val="center"/>
          </w:tcPr>
          <w:p w:rsidR="006E564F" w:rsidRDefault="003D1901">
            <w:pPr>
              <w:pStyle w:val="Other10"/>
              <w:spacing w:after="0"/>
              <w:jc w:val="center"/>
              <w:rPr>
                <w:sz w:val="16"/>
                <w:szCs w:val="16"/>
              </w:rPr>
            </w:pPr>
            <w:r>
              <w:rPr>
                <w:rStyle w:val="Other1"/>
                <w:b/>
                <w:bCs/>
                <w:sz w:val="16"/>
                <w:szCs w:val="16"/>
              </w:rPr>
              <w:t>Hodnota zařízení/kus (Kč bez DPH)</w:t>
            </w:r>
          </w:p>
        </w:tc>
        <w:tc>
          <w:tcPr>
            <w:tcW w:w="1579" w:type="dxa"/>
            <w:tcBorders>
              <w:top w:val="single" w:sz="4" w:space="0" w:color="auto"/>
              <w:left w:val="single" w:sz="4" w:space="0" w:color="auto"/>
              <w:right w:val="single" w:sz="4" w:space="0" w:color="auto"/>
            </w:tcBorders>
            <w:shd w:val="clear" w:color="auto" w:fill="CACACA"/>
            <w:vAlign w:val="center"/>
          </w:tcPr>
          <w:p w:rsidR="006E564F" w:rsidRDefault="003D1901">
            <w:pPr>
              <w:pStyle w:val="Other10"/>
              <w:spacing w:after="0"/>
              <w:jc w:val="center"/>
              <w:rPr>
                <w:sz w:val="16"/>
                <w:szCs w:val="16"/>
              </w:rPr>
            </w:pPr>
            <w:r>
              <w:rPr>
                <w:rStyle w:val="Other1"/>
                <w:b/>
                <w:bCs/>
                <w:sz w:val="16"/>
                <w:szCs w:val="16"/>
              </w:rPr>
              <w:t>Nájemné/kus (Kč bez DPH)</w:t>
            </w:r>
          </w:p>
        </w:tc>
      </w:tr>
      <w:tr w:rsidR="006E564F">
        <w:tblPrEx>
          <w:tblCellMar>
            <w:top w:w="0" w:type="dxa"/>
            <w:bottom w:w="0" w:type="dxa"/>
          </w:tblCellMar>
        </w:tblPrEx>
        <w:trPr>
          <w:trHeight w:hRule="exact" w:val="394"/>
          <w:jc w:val="center"/>
        </w:trPr>
        <w:tc>
          <w:tcPr>
            <w:tcW w:w="2275" w:type="dxa"/>
            <w:tcBorders>
              <w:top w:val="single" w:sz="4" w:space="0" w:color="auto"/>
              <w:left w:val="single" w:sz="4" w:space="0" w:color="auto"/>
              <w:bottom w:val="single" w:sz="4" w:space="0" w:color="auto"/>
            </w:tcBorders>
            <w:shd w:val="clear" w:color="auto" w:fill="auto"/>
            <w:vAlign w:val="bottom"/>
          </w:tcPr>
          <w:p w:rsidR="006E564F" w:rsidRDefault="003D1901">
            <w:pPr>
              <w:pStyle w:val="Other10"/>
              <w:spacing w:after="0"/>
              <w:rPr>
                <w:sz w:val="16"/>
                <w:szCs w:val="16"/>
              </w:rPr>
            </w:pPr>
            <w:r>
              <w:rPr>
                <w:rStyle w:val="Other1"/>
                <w:sz w:val="16"/>
                <w:szCs w:val="16"/>
              </w:rPr>
              <w:t xml:space="preserve">Nádechový ventil </w:t>
            </w:r>
            <w:proofErr w:type="spellStart"/>
            <w:r>
              <w:rPr>
                <w:rStyle w:val="Other1"/>
                <w:sz w:val="16"/>
                <w:szCs w:val="16"/>
              </w:rPr>
              <w:t>Carnét</w:t>
            </w:r>
            <w:proofErr w:type="spellEnd"/>
            <w:r>
              <w:rPr>
                <w:rStyle w:val="Other1"/>
                <w:sz w:val="16"/>
                <w:szCs w:val="16"/>
              </w:rPr>
              <w:t xml:space="preserve"> pro plynné léčivo ENTONOX</w:t>
            </w:r>
          </w:p>
        </w:tc>
        <w:tc>
          <w:tcPr>
            <w:tcW w:w="1133" w:type="dxa"/>
            <w:tcBorders>
              <w:top w:val="single" w:sz="4" w:space="0" w:color="auto"/>
              <w:left w:val="single" w:sz="4" w:space="0" w:color="auto"/>
              <w:bottom w:val="single" w:sz="4" w:space="0" w:color="auto"/>
            </w:tcBorders>
            <w:shd w:val="clear" w:color="auto" w:fill="auto"/>
            <w:vAlign w:val="center"/>
          </w:tcPr>
          <w:p w:rsidR="006E564F" w:rsidRDefault="003D1901">
            <w:pPr>
              <w:pStyle w:val="Other10"/>
              <w:spacing w:after="0"/>
              <w:jc w:val="center"/>
              <w:rPr>
                <w:sz w:val="16"/>
                <w:szCs w:val="16"/>
              </w:rPr>
            </w:pPr>
            <w:r>
              <w:rPr>
                <w:rStyle w:val="Other1"/>
                <w:sz w:val="16"/>
                <w:szCs w:val="16"/>
              </w:rPr>
              <w:t>3</w:t>
            </w:r>
          </w:p>
        </w:tc>
        <w:tc>
          <w:tcPr>
            <w:tcW w:w="1987" w:type="dxa"/>
            <w:tcBorders>
              <w:top w:val="single" w:sz="4" w:space="0" w:color="auto"/>
              <w:left w:val="single" w:sz="4" w:space="0" w:color="auto"/>
              <w:bottom w:val="single" w:sz="4" w:space="0" w:color="auto"/>
            </w:tcBorders>
            <w:shd w:val="clear" w:color="auto" w:fill="auto"/>
          </w:tcPr>
          <w:p w:rsidR="006E564F" w:rsidRDefault="006E564F">
            <w:pPr>
              <w:rPr>
                <w:sz w:val="10"/>
                <w:szCs w:val="10"/>
              </w:rPr>
            </w:pPr>
          </w:p>
        </w:tc>
        <w:tc>
          <w:tcPr>
            <w:tcW w:w="2122" w:type="dxa"/>
            <w:tcBorders>
              <w:top w:val="single" w:sz="4" w:space="0" w:color="auto"/>
              <w:left w:val="single" w:sz="4" w:space="0" w:color="auto"/>
              <w:bottom w:val="single" w:sz="4" w:space="0" w:color="auto"/>
            </w:tcBorders>
            <w:shd w:val="clear" w:color="auto" w:fill="auto"/>
            <w:vAlign w:val="center"/>
          </w:tcPr>
          <w:p w:rsidR="006E564F" w:rsidRDefault="003D1901">
            <w:pPr>
              <w:pStyle w:val="Other10"/>
              <w:spacing w:after="0"/>
              <w:jc w:val="center"/>
              <w:rPr>
                <w:sz w:val="16"/>
                <w:szCs w:val="16"/>
              </w:rPr>
            </w:pPr>
            <w:r>
              <w:rPr>
                <w:rStyle w:val="Other1"/>
                <w:sz w:val="16"/>
                <w:szCs w:val="16"/>
              </w:rPr>
              <w:t>7.290,-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E564F" w:rsidRDefault="003D1901">
            <w:pPr>
              <w:pStyle w:val="Other10"/>
              <w:spacing w:after="0"/>
              <w:jc w:val="center"/>
              <w:rPr>
                <w:sz w:val="16"/>
                <w:szCs w:val="16"/>
              </w:rPr>
            </w:pPr>
            <w:r>
              <w:rPr>
                <w:rStyle w:val="Other1"/>
                <w:sz w:val="16"/>
                <w:szCs w:val="16"/>
              </w:rPr>
              <w:t>2 175,-</w:t>
            </w:r>
          </w:p>
        </w:tc>
      </w:tr>
    </w:tbl>
    <w:p w:rsidR="006E564F" w:rsidRDefault="006E564F">
      <w:pPr>
        <w:spacing w:after="179" w:line="1" w:lineRule="exact"/>
      </w:pPr>
    </w:p>
    <w:p w:rsidR="006E564F" w:rsidRDefault="003D1901">
      <w:pPr>
        <w:pStyle w:val="Bodytext20"/>
        <w:numPr>
          <w:ilvl w:val="0"/>
          <w:numId w:val="1"/>
        </w:numPr>
        <w:tabs>
          <w:tab w:val="left" w:pos="342"/>
          <w:tab w:val="left" w:pos="5853"/>
          <w:tab w:val="left" w:pos="9856"/>
        </w:tabs>
      </w:pPr>
      <w:r>
        <w:rPr>
          <w:rStyle w:val="Bodytext2"/>
        </w:rPr>
        <w:t xml:space="preserve">Pronájem podle této smlouvy se sjednává </w:t>
      </w:r>
      <w:r>
        <w:rPr>
          <w:rStyle w:val="Bodytext2"/>
          <w:b/>
          <w:bCs/>
        </w:rPr>
        <w:t xml:space="preserve">od 1.4.2024 </w:t>
      </w:r>
      <w:r>
        <w:rPr>
          <w:rStyle w:val="Bodytext2"/>
          <w:b/>
          <w:bCs/>
        </w:rPr>
        <w:t>na dobu určitou, a</w:t>
      </w:r>
      <w:r>
        <w:rPr>
          <w:rStyle w:val="Bodytext2"/>
          <w:b/>
          <w:bCs/>
        </w:rPr>
        <w:tab/>
        <w:t xml:space="preserve">to do 31. 3. 2025. </w:t>
      </w:r>
      <w:r>
        <w:rPr>
          <w:rStyle w:val="Bodytext2"/>
        </w:rPr>
        <w:t>Předmět nájmu bude po dohodnutou</w:t>
      </w:r>
      <w:r>
        <w:rPr>
          <w:rStyle w:val="Bodytext2"/>
        </w:rPr>
        <w:tab/>
        <w:t>dobu</w:t>
      </w:r>
    </w:p>
    <w:p w:rsidR="006E564F" w:rsidRDefault="003D1901">
      <w:pPr>
        <w:pStyle w:val="Bodytext20"/>
        <w:tabs>
          <w:tab w:val="left" w:pos="5838"/>
        </w:tabs>
        <w:spacing w:after="180"/>
        <w:ind w:firstLine="360"/>
      </w:pPr>
      <w:r>
        <w:rPr>
          <w:rStyle w:val="Bodytext2"/>
        </w:rPr>
        <w:t>užíván na gynekologickém oddělení (2 ks) a na oddělení urgentního příjmu</w:t>
      </w:r>
      <w:r>
        <w:rPr>
          <w:rStyle w:val="Bodytext2"/>
        </w:rPr>
        <w:tab/>
        <w:t>(1ks) nacházejícího se v sídle Zákazníka.</w:t>
      </w:r>
    </w:p>
    <w:p w:rsidR="006E564F" w:rsidRDefault="003D1901">
      <w:pPr>
        <w:pStyle w:val="Bodytext20"/>
        <w:numPr>
          <w:ilvl w:val="0"/>
          <w:numId w:val="1"/>
        </w:numPr>
        <w:tabs>
          <w:tab w:val="left" w:pos="342"/>
        </w:tabs>
        <w:spacing w:after="180"/>
      </w:pPr>
      <w:r>
        <w:rPr>
          <w:rStyle w:val="Bodytext2"/>
        </w:rPr>
        <w:t>Nájemné bude Zákazníkem hrazeno jednorázově na základě faktury se</w:t>
      </w:r>
      <w:r>
        <w:rPr>
          <w:rStyle w:val="Bodytext2"/>
        </w:rPr>
        <w:t xml:space="preserve"> splatností 30 dnů od jejího doručení do sídla Zákazníka.</w:t>
      </w:r>
    </w:p>
    <w:p w:rsidR="006E564F" w:rsidRDefault="003D1901">
      <w:pPr>
        <w:pStyle w:val="Bodytext20"/>
        <w:numPr>
          <w:ilvl w:val="0"/>
          <w:numId w:val="1"/>
        </w:numPr>
        <w:tabs>
          <w:tab w:val="left" w:pos="342"/>
          <w:tab w:val="left" w:pos="5862"/>
          <w:tab w:val="left" w:pos="9822"/>
          <w:tab w:val="right" w:pos="10070"/>
        </w:tabs>
      </w:pPr>
      <w:r>
        <w:rPr>
          <w:rStyle w:val="Bodytext2"/>
        </w:rPr>
        <w:t>Zákazník je povinen zajistit, aby předmět nájmu byl provozován výhradně s</w:t>
      </w:r>
      <w:r>
        <w:rPr>
          <w:rStyle w:val="Bodytext2"/>
        </w:rPr>
        <w:tab/>
        <w:t xml:space="preserve">použitím medicinálních plynů dodaných Linde </w:t>
      </w:r>
      <w:proofErr w:type="spellStart"/>
      <w:r>
        <w:rPr>
          <w:rStyle w:val="Bodytext2"/>
        </w:rPr>
        <w:t>Gas</w:t>
      </w:r>
      <w:proofErr w:type="spellEnd"/>
      <w:r>
        <w:rPr>
          <w:rStyle w:val="Bodytext2"/>
        </w:rPr>
        <w:t xml:space="preserve"> a.s.,</w:t>
      </w:r>
      <w:r>
        <w:rPr>
          <w:rStyle w:val="Bodytext2"/>
        </w:rPr>
        <w:tab/>
        <w:t>a</w:t>
      </w:r>
      <w:r>
        <w:rPr>
          <w:rStyle w:val="Bodytext2"/>
        </w:rPr>
        <w:tab/>
        <w:t>aby</w:t>
      </w:r>
    </w:p>
    <w:p w:rsidR="006E564F" w:rsidRDefault="003D1901">
      <w:pPr>
        <w:pStyle w:val="Bodytext20"/>
        <w:spacing w:after="180"/>
        <w:ind w:firstLine="360"/>
        <w:jc w:val="both"/>
      </w:pPr>
      <w:r>
        <w:rPr>
          <w:rStyle w:val="Bodytext2"/>
        </w:rPr>
        <w:t>k předmětu nájmu byla připojována zařízení pouze na základě disp</w:t>
      </w:r>
      <w:r>
        <w:rPr>
          <w:rStyle w:val="Bodytext2"/>
        </w:rPr>
        <w:t>ozic Linde.</w:t>
      </w:r>
    </w:p>
    <w:p w:rsidR="006E564F" w:rsidRDefault="003D1901">
      <w:pPr>
        <w:pStyle w:val="Bodytext20"/>
        <w:numPr>
          <w:ilvl w:val="0"/>
          <w:numId w:val="1"/>
        </w:numPr>
        <w:tabs>
          <w:tab w:val="left" w:pos="342"/>
        </w:tabs>
        <w:jc w:val="both"/>
      </w:pPr>
      <w:r>
        <w:rPr>
          <w:rStyle w:val="Bodytext2"/>
        </w:rPr>
        <w:t>Náklady na údržbu, předepsané pravidelné zkoušky a náklady spojené s běžným opotřebením nese Linde.</w:t>
      </w:r>
    </w:p>
    <w:p w:rsidR="006E564F" w:rsidRDefault="003D1901">
      <w:pPr>
        <w:pStyle w:val="Bodytext20"/>
        <w:spacing w:after="180"/>
        <w:ind w:firstLine="360"/>
        <w:jc w:val="both"/>
      </w:pPr>
      <w:r>
        <w:rPr>
          <w:rStyle w:val="Bodytext2"/>
        </w:rPr>
        <w:t>Za zcizení, ztrátu, poškození nebo zničení přenechaných technických zařízení odpovídá Zákazník.</w:t>
      </w:r>
    </w:p>
    <w:p w:rsidR="006E564F" w:rsidRDefault="003D1901">
      <w:pPr>
        <w:pStyle w:val="Bodytext20"/>
        <w:numPr>
          <w:ilvl w:val="0"/>
          <w:numId w:val="1"/>
        </w:numPr>
        <w:tabs>
          <w:tab w:val="left" w:pos="342"/>
        </w:tabs>
        <w:spacing w:after="180"/>
        <w:ind w:left="360" w:hanging="360"/>
        <w:jc w:val="both"/>
      </w:pPr>
      <w:r>
        <w:rPr>
          <w:rStyle w:val="Bodytext2"/>
        </w:rPr>
        <w:t xml:space="preserve">Linde prohlašuje, že předmět nájmu odpovídá </w:t>
      </w:r>
      <w:r>
        <w:rPr>
          <w:rStyle w:val="Bodytext2"/>
        </w:rPr>
        <w:t>příslušným právním předpisům, a zavazuje se dodat Zákazníkovi příslušné prohlášení o shodě a návod v českém jazyce.</w:t>
      </w:r>
    </w:p>
    <w:p w:rsidR="006E564F" w:rsidRDefault="003D1901">
      <w:pPr>
        <w:pStyle w:val="Bodytext20"/>
        <w:numPr>
          <w:ilvl w:val="0"/>
          <w:numId w:val="1"/>
        </w:numPr>
        <w:tabs>
          <w:tab w:val="left" w:pos="342"/>
        </w:tabs>
        <w:spacing w:after="180"/>
      </w:pPr>
      <w:r>
        <w:rPr>
          <w:rStyle w:val="Bodytext2"/>
        </w:rPr>
        <w:t>Linde doručí předmět nájmu a podle požadavků Zákazníka zajistí instalaci v souladu s doporučeními výrobce a návodem k použití.</w:t>
      </w:r>
    </w:p>
    <w:p w:rsidR="006E564F" w:rsidRDefault="003D1901">
      <w:pPr>
        <w:pStyle w:val="Bodytext20"/>
        <w:numPr>
          <w:ilvl w:val="0"/>
          <w:numId w:val="1"/>
        </w:numPr>
        <w:tabs>
          <w:tab w:val="left" w:pos="342"/>
        </w:tabs>
        <w:spacing w:after="180"/>
        <w:ind w:left="360" w:hanging="360"/>
      </w:pPr>
      <w:r>
        <w:rPr>
          <w:rStyle w:val="Bodytext2"/>
        </w:rPr>
        <w:t>Po skončení s</w:t>
      </w:r>
      <w:r>
        <w:rPr>
          <w:rStyle w:val="Bodytext2"/>
        </w:rPr>
        <w:t>mlouvy (nebude-li uzavřena smlouva nová) bude účtováno denní nájemné podle právě platných sazeb, dokud technická zařízení nebudou vrácena příslušnému dodacímu místu Linde.</w:t>
      </w:r>
    </w:p>
    <w:p w:rsidR="006E564F" w:rsidRDefault="003D1901">
      <w:pPr>
        <w:pStyle w:val="Bodytext20"/>
        <w:numPr>
          <w:ilvl w:val="0"/>
          <w:numId w:val="1"/>
        </w:numPr>
        <w:tabs>
          <w:tab w:val="left" w:pos="342"/>
        </w:tabs>
        <w:spacing w:after="180"/>
        <w:ind w:left="360" w:hanging="360"/>
      </w:pPr>
      <w:r>
        <w:rPr>
          <w:rStyle w:val="Bodytext2"/>
        </w:rPr>
        <w:t>Kterákoli ze smluvních stran je oprávněna tuto smlouvu vypovědět s výpovědní dobou 3</w:t>
      </w:r>
      <w:r>
        <w:rPr>
          <w:rStyle w:val="Bodytext2"/>
        </w:rPr>
        <w:t xml:space="preserve"> měsíce, která počíná běžet prvním dnem měsíce, který následuje po doručení doporučeného dopisu druhé smluvní straně.</w:t>
      </w:r>
    </w:p>
    <w:p w:rsidR="006E564F" w:rsidRDefault="003D1901">
      <w:pPr>
        <w:pStyle w:val="Bodytext20"/>
        <w:numPr>
          <w:ilvl w:val="0"/>
          <w:numId w:val="1"/>
        </w:numPr>
        <w:tabs>
          <w:tab w:val="left" w:pos="386"/>
        </w:tabs>
        <w:spacing w:after="180"/>
        <w:ind w:left="360" w:hanging="360"/>
      </w:pPr>
      <w:r>
        <w:rPr>
          <w:rStyle w:val="Bodytext2"/>
        </w:rPr>
        <w:t>V případě ukončení výše uvedené smlouvy mezi Linde a Zákazníkem během doby, za kterou je uhrazeno dlouhodobé nájemné, Linde není povinna u</w:t>
      </w:r>
      <w:r>
        <w:rPr>
          <w:rStyle w:val="Bodytext2"/>
        </w:rPr>
        <w:t>hradit Zákazníkovi jakoukoliv částku ze zaplaceného dlouhodobého pronájmu.</w:t>
      </w:r>
    </w:p>
    <w:p w:rsidR="006E564F" w:rsidRDefault="003D1901">
      <w:pPr>
        <w:pStyle w:val="Bodytext20"/>
        <w:numPr>
          <w:ilvl w:val="0"/>
          <w:numId w:val="1"/>
        </w:numPr>
        <w:tabs>
          <w:tab w:val="left" w:pos="386"/>
        </w:tabs>
        <w:spacing w:after="180"/>
        <w:ind w:left="360" w:hanging="360"/>
      </w:pPr>
      <w:r>
        <w:rPr>
          <w:rStyle w:val="Bodytext2"/>
        </w:rPr>
        <w:t>Pro záležitosti neupravené touto smlouvou platí „Všeobecné obchodní podmínky pro dodávky kapalných plynů, plynů v lahvích, paletách, pevných svazcích, kontejnerech a trajlerech a os</w:t>
      </w:r>
      <w:r>
        <w:rPr>
          <w:rStyle w:val="Bodytext2"/>
        </w:rPr>
        <w:t>tatních produktů a služeb“.</w:t>
      </w:r>
    </w:p>
    <w:p w:rsidR="006E564F" w:rsidRDefault="003D1901">
      <w:pPr>
        <w:pStyle w:val="Bodytext20"/>
        <w:numPr>
          <w:ilvl w:val="0"/>
          <w:numId w:val="1"/>
        </w:numPr>
        <w:tabs>
          <w:tab w:val="left" w:pos="386"/>
        </w:tabs>
        <w:spacing w:after="360"/>
        <w:ind w:left="360" w:hanging="360"/>
      </w:pPr>
      <w:r>
        <w:rPr>
          <w:rStyle w:val="Bodytext2"/>
        </w:rPr>
        <w:t>Smlouva nabývá účinnosti dnem podpisu obou smluvních stran. Strany souhlasí s uveřejněním smlouvy v registru smluv dle zákona č. 340/2015 Sb. Uveřejnění zajistí zákazník.</w:t>
      </w:r>
    </w:p>
    <w:p w:rsidR="006E564F" w:rsidRDefault="003D1901">
      <w:pPr>
        <w:pStyle w:val="Bodytext20"/>
      </w:pPr>
      <w:r>
        <w:rPr>
          <w:rStyle w:val="Bodytext2"/>
        </w:rPr>
        <w:t>V Přerově dne 1.2.2024</w:t>
      </w:r>
      <w:r w:rsidR="00AD4CFB">
        <w:rPr>
          <w:rStyle w:val="Bodytext2"/>
        </w:rPr>
        <w:t xml:space="preserve"> el. podpis</w:t>
      </w:r>
      <w:r w:rsidR="00AD4CFB">
        <w:rPr>
          <w:rStyle w:val="Bodytext2"/>
        </w:rPr>
        <w:tab/>
      </w:r>
      <w:r w:rsidR="00AD4CFB">
        <w:rPr>
          <w:rStyle w:val="Bodytext2"/>
        </w:rPr>
        <w:tab/>
      </w:r>
      <w:r w:rsidR="00AD4CFB">
        <w:rPr>
          <w:rStyle w:val="Bodytext2"/>
        </w:rPr>
        <w:tab/>
      </w:r>
      <w:r w:rsidR="00AD4CFB">
        <w:rPr>
          <w:rStyle w:val="Bodytext2"/>
        </w:rPr>
        <w:tab/>
      </w:r>
      <w:r w:rsidR="00AD4CFB">
        <w:rPr>
          <w:rStyle w:val="Bodytext2"/>
        </w:rPr>
        <w:tab/>
      </w:r>
      <w:r w:rsidR="00AD4CFB">
        <w:rPr>
          <w:rStyle w:val="Bodytext2"/>
        </w:rPr>
        <w:tab/>
        <w:t xml:space="preserve">Ve Zlíně dne 14. 2. 2024 el. podpis                                                                                                   </w:t>
      </w:r>
    </w:p>
    <w:p w:rsidR="006E564F" w:rsidRDefault="00AD4CFB">
      <w:pPr>
        <w:spacing w:line="1" w:lineRule="exact"/>
        <w:sectPr w:rsidR="006E564F">
          <w:footerReference w:type="default" r:id="rId7"/>
          <w:pgSz w:w="11900" w:h="16840"/>
          <w:pgMar w:top="715" w:right="534" w:bottom="871" w:left="825" w:header="287" w:footer="3" w:gutter="0"/>
          <w:pgNumType w:start="1"/>
          <w:cols w:space="720"/>
          <w:noEndnote/>
          <w:docGrid w:linePitch="360"/>
        </w:sectPr>
      </w:pPr>
      <w:r>
        <w:t xml:space="preserve">                                </w:t>
      </w:r>
    </w:p>
    <w:p w:rsidR="006E564F" w:rsidRDefault="006E564F">
      <w:pPr>
        <w:spacing w:line="170" w:lineRule="exact"/>
        <w:rPr>
          <w:sz w:val="14"/>
          <w:szCs w:val="14"/>
        </w:rPr>
      </w:pPr>
    </w:p>
    <w:p w:rsidR="006E564F" w:rsidRDefault="006E564F">
      <w:pPr>
        <w:spacing w:line="1" w:lineRule="exact"/>
        <w:sectPr w:rsidR="006E564F">
          <w:type w:val="continuous"/>
          <w:pgSz w:w="11900" w:h="16840"/>
          <w:pgMar w:top="715" w:right="0" w:bottom="715" w:left="0" w:header="0" w:footer="3" w:gutter="0"/>
          <w:cols w:space="720"/>
          <w:noEndnote/>
          <w:docGrid w:linePitch="360"/>
        </w:sectPr>
      </w:pPr>
    </w:p>
    <w:p w:rsidR="006E564F" w:rsidRDefault="003D1901">
      <w:pPr>
        <w:spacing w:line="1" w:lineRule="exact"/>
      </w:pPr>
      <w:r>
        <w:rPr>
          <w:noProof/>
        </w:rPr>
        <mc:AlternateContent>
          <mc:Choice Requires="wps">
            <w:drawing>
              <wp:anchor distT="0" distB="0" distL="114300" distR="114300" simplePos="0" relativeHeight="125829398" behindDoc="0" locked="0" layoutInCell="1" allowOverlap="1">
                <wp:simplePos x="0" y="0"/>
                <wp:positionH relativeFrom="page">
                  <wp:posOffset>4489450</wp:posOffset>
                </wp:positionH>
                <wp:positionV relativeFrom="paragraph">
                  <wp:posOffset>12700</wp:posOffset>
                </wp:positionV>
                <wp:extent cx="1828800" cy="36576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828800" cy="365760"/>
                        </a:xfrm>
                        <a:prstGeom prst="rect">
                          <a:avLst/>
                        </a:prstGeom>
                        <a:noFill/>
                      </wps:spPr>
                      <wps:txbx>
                        <w:txbxContent>
                          <w:p w:rsidR="006E564F" w:rsidRDefault="003D1901">
                            <w:pPr>
                              <w:pStyle w:val="Bodytext20"/>
                              <w:jc w:val="center"/>
                            </w:pPr>
                            <w:r>
                              <w:rPr>
                                <w:rStyle w:val="Bodytext2"/>
                              </w:rPr>
                              <w:t>za Krajskou nemocnici T. Bati, a. s.</w:t>
                            </w:r>
                          </w:p>
                          <w:p w:rsidR="006E564F" w:rsidRDefault="003D1901">
                            <w:pPr>
                              <w:pStyle w:val="Bodytext20"/>
                              <w:jc w:val="center"/>
                            </w:pPr>
                            <w:r>
                              <w:rPr>
                                <w:rStyle w:val="Bodytext2"/>
                              </w:rPr>
                              <w:t>Ing. Jan Hrdý, předseda představenstva</w:t>
                            </w:r>
                            <w:r>
                              <w:rPr>
                                <w:rStyle w:val="Bodytext2"/>
                              </w:rPr>
                              <w:br/>
                              <w:t xml:space="preserve">Ing. Martin Déva, člen </w:t>
                            </w:r>
                            <w:r>
                              <w:rPr>
                                <w:rStyle w:val="Bodytext2"/>
                              </w:rPr>
                              <w:t>představenstva</w:t>
                            </w:r>
                          </w:p>
                        </w:txbxContent>
                      </wps:txbx>
                      <wps:bodyPr lIns="0" tIns="0" rIns="0" bIns="0"/>
                    </wps:wsp>
                  </a:graphicData>
                </a:graphic>
              </wp:anchor>
            </w:drawing>
          </mc:Choice>
          <mc:Fallback>
            <w:pict>
              <v:shape id="Shape 23" o:spid="_x0000_s1027" type="#_x0000_t202" style="position:absolute;margin-left:353.5pt;margin-top:1pt;width:2in;height:28.8pt;z-index:12582939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LahAEAAAUDAAAOAAAAZHJzL2Uyb0RvYy54bWysUlFLwzAQfhf8DyHvrl2Hc5R1AxkTQVSY&#10;/oAsTdZAkwtJXLt/7yVbq+ib+JJe7q7ffd93Wa573ZKjcF6Bqeh0klMiDIdamUNF39+2NwtKfGCm&#10;Zi0YUdGT8HS9ur5adrYUBTTQ1sIRBDG+7GxFmxBsmWWeN0IzPwErDBYlOM0CXt0hqx3rEF23WZHn&#10;86wDV1sHXHiP2c25SFcJX0rBw4uUXgTSVhS5hXS6dO7jma2WrDw4ZhvFLzTYH1hopgwOHaE2LDDy&#10;4dQvKK24Aw8yTDjoDKRUXCQNqGaa/1Cza5gVSQua4+1ok/8/WP58fHVE1RUtZpQYpnFHaSzBO5rT&#10;WV9iz85iV+jvocclD3mPyai5l07HL6ohWEebT6O1og+Ex58WxWKRY4ljbTa/vZsn77Ovv63z4UGA&#10;JjGoqMPVJUfZ8ckHZIKtQ0scZmCr2jbmI8UzlRiFft8nPSPNPdQnZN8+GvQtvoEhcEOwvwQDGnqd&#10;5l3eRVzm93ua+fV6V58AAAD//wMAUEsDBBQABgAIAAAAIQAc9cav3gAAAAgBAAAPAAAAZHJzL2Rv&#10;d25yZXYueG1sTI9BT8MwDIXvSPyHyEjcWMKkdbTUnSYEJyS0rhw4pk3WVmuc0mRb+fczJzjZ1nt6&#10;/l6+md0gznYKvSeEx4UCYanxpqcW4bN6e3gCEaImowdPFuHHBtgUtze5zoy/UGnP+9gKDqGQaYQu&#10;xjGTMjSddTos/GiJtYOfnI58Tq00k75wuBvkUqlEOt0Tf+j0aF862xz3J4ew/aLytf/+qHfloeyr&#10;KlX0nhwR7+/m7TOIaOf4Z4ZffEaHgplqfyITxICwVmvuEhGWPFhP0xUvNcIqTUAWufxfoLgCAAD/&#10;/wMAUEsBAi0AFAAGAAgAAAAhALaDOJL+AAAA4QEAABMAAAAAAAAAAAAAAAAAAAAAAFtDb250ZW50&#10;X1R5cGVzXS54bWxQSwECLQAUAAYACAAAACEAOP0h/9YAAACUAQAACwAAAAAAAAAAAAAAAAAvAQAA&#10;X3JlbHMvLnJlbHNQSwECLQAUAAYACAAAACEAVbtS2oQBAAAFAwAADgAAAAAAAAAAAAAAAAAuAgAA&#10;ZHJzL2Uyb0RvYy54bWxQSwECLQAUAAYACAAAACEAHPXGr94AAAAIAQAADwAAAAAAAAAAAAAAAADe&#10;AwAAZHJzL2Rvd25yZXYueG1sUEsFBgAAAAAEAAQA8wAAAOkEAAAAAA==&#10;" filled="f" stroked="f">
                <v:textbox inset="0,0,0,0">
                  <w:txbxContent>
                    <w:p w:rsidR="006E564F" w:rsidRDefault="003D1901">
                      <w:pPr>
                        <w:pStyle w:val="Bodytext20"/>
                        <w:jc w:val="center"/>
                      </w:pPr>
                      <w:r>
                        <w:rPr>
                          <w:rStyle w:val="Bodytext2"/>
                        </w:rPr>
                        <w:t>za Krajskou nemocnici T. Bati, a. s.</w:t>
                      </w:r>
                    </w:p>
                    <w:p w:rsidR="006E564F" w:rsidRDefault="003D1901">
                      <w:pPr>
                        <w:pStyle w:val="Bodytext20"/>
                        <w:jc w:val="center"/>
                      </w:pPr>
                      <w:r>
                        <w:rPr>
                          <w:rStyle w:val="Bodytext2"/>
                        </w:rPr>
                        <w:t>Ing. Jan Hrdý, předseda představenstva</w:t>
                      </w:r>
                      <w:r>
                        <w:rPr>
                          <w:rStyle w:val="Bodytext2"/>
                        </w:rPr>
                        <w:br/>
                        <w:t xml:space="preserve">Ing. Martin Déva, člen </w:t>
                      </w:r>
                      <w:r>
                        <w:rPr>
                          <w:rStyle w:val="Bodytext2"/>
                        </w:rPr>
                        <w:t>představenstva</w:t>
                      </w:r>
                    </w:p>
                  </w:txbxContent>
                </v:textbox>
                <w10:wrap type="square" side="left" anchorx="page"/>
              </v:shape>
            </w:pict>
          </mc:Fallback>
        </mc:AlternateContent>
      </w:r>
    </w:p>
    <w:p w:rsidR="006E564F" w:rsidRDefault="003D1901">
      <w:pPr>
        <w:pStyle w:val="Bodytext20"/>
        <w:spacing w:after="180"/>
        <w:ind w:left="1880"/>
      </w:pPr>
      <w:r>
        <w:rPr>
          <w:rStyle w:val="Bodytext2"/>
        </w:rPr>
        <w:t xml:space="preserve">za Linde </w:t>
      </w:r>
      <w:proofErr w:type="spellStart"/>
      <w:r>
        <w:rPr>
          <w:rStyle w:val="Bodytext2"/>
        </w:rPr>
        <w:t>Gas</w:t>
      </w:r>
      <w:proofErr w:type="spellEnd"/>
      <w:r>
        <w:rPr>
          <w:rStyle w:val="Bodytext2"/>
        </w:rPr>
        <w:t xml:space="preserve"> a.s.</w:t>
      </w:r>
    </w:p>
    <w:p w:rsidR="006E564F" w:rsidRDefault="00AD4CFB">
      <w:pPr>
        <w:pStyle w:val="Bodytext20"/>
        <w:ind w:firstLine="460"/>
        <w:sectPr w:rsidR="006E564F">
          <w:type w:val="continuous"/>
          <w:pgSz w:w="11900" w:h="16840"/>
          <w:pgMar w:top="715" w:right="524" w:bottom="715" w:left="820" w:header="0" w:footer="3" w:gutter="0"/>
          <w:cols w:space="720"/>
          <w:noEndnote/>
          <w:docGrid w:linePitch="360"/>
        </w:sectPr>
      </w:pPr>
      <w:proofErr w:type="spellStart"/>
      <w:r>
        <w:rPr>
          <w:rStyle w:val="Bodytext2"/>
        </w:rPr>
        <w:t>xxxxxxxxxxxxxxxxx</w:t>
      </w:r>
      <w:proofErr w:type="spellEnd"/>
      <w:r w:rsidR="003D1901">
        <w:rPr>
          <w:rStyle w:val="Bodytext2"/>
        </w:rPr>
        <w:t xml:space="preserve">, obchodní zástupce Linde </w:t>
      </w:r>
      <w:proofErr w:type="spellStart"/>
      <w:r w:rsidR="003D1901">
        <w:rPr>
          <w:rStyle w:val="Bodytext2"/>
        </w:rPr>
        <w:t>Healthcare</w:t>
      </w:r>
      <w:proofErr w:type="spellEnd"/>
    </w:p>
    <w:p w:rsidR="006E564F" w:rsidRDefault="003D1901">
      <w:pPr>
        <w:pStyle w:val="Heading310"/>
        <w:keepNext/>
        <w:keepLines/>
        <w:jc w:val="both"/>
      </w:pPr>
      <w:bookmarkStart w:id="1" w:name="bookmark4"/>
      <w:r>
        <w:rPr>
          <w:rStyle w:val="Heading31"/>
          <w:b/>
          <w:bCs/>
        </w:rPr>
        <w:lastRenderedPageBreak/>
        <w:t>Všeobecné obchodní podmínky pro dodávky kapalných plynů, plynů v lahvích, paletách, pevných svazcích, kontejnerech a trajlerech a ostatních produ</w:t>
      </w:r>
      <w:r>
        <w:rPr>
          <w:rStyle w:val="Heading31"/>
          <w:b/>
          <w:bCs/>
        </w:rPr>
        <w:t>ktů a služeb</w:t>
      </w:r>
      <w:bookmarkEnd w:id="1"/>
    </w:p>
    <w:p w:rsidR="006E564F" w:rsidRDefault="003D1901">
      <w:pPr>
        <w:pStyle w:val="Heading410"/>
        <w:keepNext/>
        <w:keepLines/>
        <w:numPr>
          <w:ilvl w:val="0"/>
          <w:numId w:val="2"/>
        </w:numPr>
        <w:tabs>
          <w:tab w:val="left" w:pos="222"/>
        </w:tabs>
        <w:jc w:val="both"/>
      </w:pPr>
      <w:bookmarkStart w:id="2" w:name="bookmark6"/>
      <w:r>
        <w:rPr>
          <w:rStyle w:val="Heading41"/>
          <w:b/>
          <w:bCs/>
          <w:i/>
          <w:iCs/>
        </w:rPr>
        <w:t>Platnost</w:t>
      </w:r>
      <w:bookmarkEnd w:id="2"/>
    </w:p>
    <w:p w:rsidR="006E564F" w:rsidRDefault="003D1901">
      <w:pPr>
        <w:pStyle w:val="Bodytext10"/>
        <w:spacing w:after="0"/>
        <w:jc w:val="both"/>
      </w:pPr>
      <w:r>
        <w:rPr>
          <w:rStyle w:val="Bodytext1"/>
        </w:rPr>
        <w:t>Všechny dodávky kapalných plynů uskutečňované v silničních a železničních cisternách a plynů dodávaných v lahvích, paletách, pevných svazcích a kontejnerech a trajlerech a dodávky ostatních produktů a služeb se řídí podle následujícíc</w:t>
      </w:r>
      <w:r>
        <w:rPr>
          <w:rStyle w:val="Bodytext1"/>
        </w:rPr>
        <w:t>h všeobecných obchodních podmínek, nestanoví-li zvláštní písemné smlouvy jinak.</w:t>
      </w:r>
    </w:p>
    <w:p w:rsidR="006E564F" w:rsidRDefault="003D1901">
      <w:pPr>
        <w:pStyle w:val="Bodytext10"/>
        <w:jc w:val="both"/>
      </w:pPr>
      <w:r>
        <w:rPr>
          <w:rStyle w:val="Bodytext1"/>
        </w:rPr>
        <w:t xml:space="preserve">Pod pojmem lahev se rozumí kovová tlaková nádoba pro přepravu plynů do 90 l vodního objemu. Paletou se rozumí přepravní zařízení, uzpůsobené pro přepravu jednotlivých lahví. </w:t>
      </w:r>
      <w:r>
        <w:rPr>
          <w:rStyle w:val="Bodytext1"/>
        </w:rPr>
        <w:t>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w:t>
      </w:r>
      <w:r>
        <w:rPr>
          <w:rStyle w:val="Bodytext1"/>
        </w:rPr>
        <w:t>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w:t>
      </w:r>
      <w:r>
        <w:rPr>
          <w:rStyle w:val="Bodytext1"/>
        </w:rPr>
        <w:t>ajatých lahví, palet, pevných svazků, kontejnerů a jeho závazků.</w:t>
      </w:r>
    </w:p>
    <w:p w:rsidR="006E564F" w:rsidRDefault="003D1901">
      <w:pPr>
        <w:pStyle w:val="Heading410"/>
        <w:keepNext/>
        <w:keepLines/>
        <w:numPr>
          <w:ilvl w:val="0"/>
          <w:numId w:val="2"/>
        </w:numPr>
        <w:tabs>
          <w:tab w:val="left" w:pos="226"/>
        </w:tabs>
        <w:jc w:val="both"/>
      </w:pPr>
      <w:bookmarkStart w:id="3" w:name="bookmark8"/>
      <w:r>
        <w:rPr>
          <w:rStyle w:val="Heading41"/>
          <w:b/>
          <w:bCs/>
          <w:i/>
          <w:iCs/>
        </w:rPr>
        <w:t>Doprava a zacházení s plyny, lahvemi, paletami, pevnými svazky a kontejnery</w:t>
      </w:r>
      <w:bookmarkEnd w:id="3"/>
    </w:p>
    <w:p w:rsidR="006E564F" w:rsidRDefault="003D1901">
      <w:pPr>
        <w:pStyle w:val="Bodytext10"/>
        <w:jc w:val="both"/>
      </w:pPr>
      <w:r>
        <w:rPr>
          <w:rStyle w:val="Bodytext1"/>
        </w:rPr>
        <w:t xml:space="preserve">Doprava plynů včetně lahví, palet, pevných svazků a kontejnerů se provádí z rampy prodejního místa Linde </w:t>
      </w:r>
      <w:proofErr w:type="spellStart"/>
      <w:r>
        <w:rPr>
          <w:rStyle w:val="Bodytext1"/>
        </w:rPr>
        <w:t>Gas</w:t>
      </w:r>
      <w:proofErr w:type="spellEnd"/>
      <w:r>
        <w:rPr>
          <w:rStyle w:val="Bodytext1"/>
        </w:rPr>
        <w:t xml:space="preserve"> a.s. (</w:t>
      </w:r>
      <w:r>
        <w:rPr>
          <w:rStyle w:val="Bodytext1"/>
        </w:rPr>
        <w:t>dále jen „Linde“). Při vlastním vyzvednutí nebo převzetí dopravcem, který je pověřen zákazníkem, je za provozně a přepravně bezpečnou nakládku a vykládku odpovědný zákazník, eventuálně pověřený dopravce. Zákazník musí dodržovat při zacházení a přepravě tec</w:t>
      </w:r>
      <w:r>
        <w:rPr>
          <w:rStyle w:val="Bodytext1"/>
        </w:rPr>
        <w:t>hnických plynů stanovené předpisy, obzvláště ustanovení o bezpečnosti práce a předcházení úrazům, jakož i obecně uznávaná pravidla technologie včetně ČSN 078304 v jejich vždy platné podobě.</w:t>
      </w:r>
    </w:p>
    <w:p w:rsidR="006E564F" w:rsidRDefault="003D1901">
      <w:pPr>
        <w:pStyle w:val="Heading410"/>
        <w:keepNext/>
        <w:keepLines/>
        <w:numPr>
          <w:ilvl w:val="0"/>
          <w:numId w:val="2"/>
        </w:numPr>
        <w:tabs>
          <w:tab w:val="left" w:pos="226"/>
        </w:tabs>
        <w:jc w:val="both"/>
      </w:pPr>
      <w:bookmarkStart w:id="4" w:name="bookmark10"/>
      <w:r>
        <w:rPr>
          <w:rStyle w:val="Heading41"/>
          <w:b/>
          <w:bCs/>
          <w:i/>
          <w:iCs/>
        </w:rPr>
        <w:t>Dodávky plynů</w:t>
      </w:r>
      <w:bookmarkEnd w:id="4"/>
    </w:p>
    <w:p w:rsidR="006E564F" w:rsidRDefault="003D1901">
      <w:pPr>
        <w:pStyle w:val="Bodytext10"/>
        <w:spacing w:after="0"/>
        <w:jc w:val="both"/>
      </w:pPr>
      <w:r>
        <w:rPr>
          <w:rStyle w:val="Bodytext1"/>
        </w:rPr>
        <w:t>Zásobovací zařízení Linde, do kterého zákazník odebí</w:t>
      </w:r>
      <w:r>
        <w:rPr>
          <w:rStyle w:val="Bodytext1"/>
        </w:rPr>
        <w:t xml:space="preserve">rá kapalné technické plyny, je standardně vybaveno zařízením na dálkové sledování stavu zásoby technických plynů (služba </w:t>
      </w:r>
      <w:proofErr w:type="spellStart"/>
      <w:r>
        <w:rPr>
          <w:rStyle w:val="Bodytext1"/>
        </w:rPr>
        <w:t>Accura</w:t>
      </w:r>
      <w:proofErr w:type="spellEnd"/>
      <w:r>
        <w:rPr>
          <w:rStyle w:val="Bodytext1"/>
        </w:rPr>
        <w:t xml:space="preserve"> </w:t>
      </w:r>
      <w:proofErr w:type="spellStart"/>
      <w:r>
        <w:rPr>
          <w:rStyle w:val="Bodytext1"/>
        </w:rPr>
        <w:t>Liquid</w:t>
      </w:r>
      <w:proofErr w:type="spellEnd"/>
      <w:r>
        <w:rPr>
          <w:rStyle w:val="Bodytext1"/>
        </w:rPr>
        <w:t xml:space="preserve"> Management). Zákazník neobjednává jednotlivé dílčí dodávky, Linde dodává zákazníkovi technické plyny na základě stavu zji</w:t>
      </w:r>
      <w:r>
        <w:rPr>
          <w:rStyle w:val="Bodytext1"/>
        </w:rPr>
        <w:t>štěného prostřednictvím tohoto zařízení tak, aby měl zákazník v zásobovacím zařízení dostatečnou zásobu, s přihlédnutím k jeho obvyklé spotřebě.</w:t>
      </w:r>
    </w:p>
    <w:p w:rsidR="006E564F" w:rsidRDefault="003D1901">
      <w:pPr>
        <w:pStyle w:val="Bodytext10"/>
        <w:spacing w:after="0"/>
        <w:jc w:val="both"/>
      </w:pPr>
      <w:r>
        <w:rPr>
          <w:rStyle w:val="Bodytext1"/>
        </w:rPr>
        <w:t xml:space="preserve">Zákazník je povinen umožnit Linde dodávku technických plynů do zásobovacího zařízení kdykoliv 24 hodin denně a </w:t>
      </w:r>
      <w:r>
        <w:rPr>
          <w:rStyle w:val="Bodytext1"/>
        </w:rPr>
        <w:t>současně zajistit potvrzení převzetí dodávky odpovědným zástupcem.</w:t>
      </w:r>
    </w:p>
    <w:p w:rsidR="006E564F" w:rsidRDefault="003D1901">
      <w:pPr>
        <w:pStyle w:val="Bodytext10"/>
        <w:jc w:val="both"/>
      </w:pPr>
      <w:r>
        <w:rPr>
          <w:rStyle w:val="Bodytext1"/>
        </w:rPr>
        <w:t>Zákazník je dále povinen v případě plánovaného přerušení odběrů technických plynů ze zásobovacího zařízení (např. z důvodu odstávky) nebo v případě plánovaného zvýšení spotřeby o více než 3</w:t>
      </w:r>
      <w:r>
        <w:rPr>
          <w:rStyle w:val="Bodytext1"/>
        </w:rPr>
        <w:t>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w:t>
      </w:r>
      <w:r>
        <w:rPr>
          <w:rStyle w:val="Bodytext1"/>
        </w:rPr>
        <w:t xml:space="preserve"> povinnosti ze strany zákazníka, Linde negarantuje zajištění dostatečné zásoby kapalných technických plynů v zásobovacím zařízení Linde.</w:t>
      </w:r>
    </w:p>
    <w:p w:rsidR="006E564F" w:rsidRDefault="003D1901">
      <w:pPr>
        <w:pStyle w:val="Bodytext10"/>
        <w:jc w:val="both"/>
      </w:pPr>
      <w:r>
        <w:rPr>
          <w:rStyle w:val="Bodytext1"/>
        </w:rPr>
        <w:t>V ostatních případech určí zákazník jednotlivé dílčí dodávky objednávkou, kde uvede množství, termín a místo složení. O</w:t>
      </w:r>
      <w:r>
        <w:rPr>
          <w:rStyle w:val="Bodytext1"/>
        </w:rPr>
        <w:t>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w:t>
      </w:r>
      <w:r>
        <w:rPr>
          <w:rStyle w:val="Bodytext1"/>
        </w:rPr>
        <w:t>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w:t>
      </w:r>
      <w:r>
        <w:rPr>
          <w:rStyle w:val="Bodytext1"/>
        </w:rPr>
        <w:t>vodů, garantovat. V případě dodávky zboží podléhající spotřební dani je zákazník povinen při objednání sdělit účel použití dle zákona o spotřebních daních.</w:t>
      </w:r>
    </w:p>
    <w:p w:rsidR="006E564F" w:rsidRDefault="003D1901">
      <w:pPr>
        <w:pStyle w:val="Bodytext10"/>
        <w:numPr>
          <w:ilvl w:val="0"/>
          <w:numId w:val="2"/>
        </w:numPr>
        <w:tabs>
          <w:tab w:val="left" w:pos="231"/>
        </w:tabs>
        <w:spacing w:after="0"/>
        <w:jc w:val="both"/>
      </w:pPr>
      <w:r>
        <w:rPr>
          <w:rStyle w:val="Bodytext1"/>
          <w:b/>
          <w:bCs/>
          <w:i/>
          <w:iCs/>
        </w:rPr>
        <w:t xml:space="preserve">Pronájem lahví, palet, pevných svazků a kontejnerů </w:t>
      </w:r>
      <w:r>
        <w:rPr>
          <w:rStyle w:val="Bodytext1"/>
          <w:i/>
          <w:iCs/>
        </w:rPr>
        <w:t>(dále i „distribuční prostředky“)</w:t>
      </w:r>
    </w:p>
    <w:p w:rsidR="006E564F" w:rsidRDefault="003D1901">
      <w:pPr>
        <w:pStyle w:val="Bodytext10"/>
        <w:spacing w:after="0"/>
        <w:jc w:val="both"/>
      </w:pPr>
      <w:r>
        <w:rPr>
          <w:rStyle w:val="Bodytext1"/>
        </w:rPr>
        <w:t>Za pronajaté di</w:t>
      </w:r>
      <w:r>
        <w:rPr>
          <w:rStyle w:val="Bodytext1"/>
        </w:rPr>
        <w:t>stribuční prostředky je zákazník povinen platit nájemné. Podpisem dodacího listu zákazníkem vzniká nájemní vztah. Výše denního nájemného a dodatkového nájemného se řídí podle platných sazeb tak, jak jsou tyto zveřejněny na prodejních místech Linde, která j</w:t>
      </w:r>
      <w:r>
        <w:rPr>
          <w:rStyle w:val="Bodytext1"/>
        </w:rPr>
        <w:t>e oprávněna tyto sazby upravovat i v průběhu nájemního vztahu.</w:t>
      </w:r>
    </w:p>
    <w:p w:rsidR="006E564F" w:rsidRDefault="003D1901">
      <w:pPr>
        <w:pStyle w:val="Bodytext10"/>
        <w:jc w:val="both"/>
      </w:pPr>
      <w:r>
        <w:rPr>
          <w:rStyle w:val="Bodytext1"/>
        </w:rPr>
        <w:t xml:space="preserve">U distribučních prostředků Linde, které má zákazník v pronájmu déle než tři měsíce bez obrátky (tzn. výměny prázdných za plné), zaplatí zákazník dodatkové nájemné. Denní a dodatkové nájemné je </w:t>
      </w:r>
      <w:r>
        <w:rPr>
          <w:rStyle w:val="Bodytext1"/>
        </w:rPr>
        <w:t>u distribučních prostředků evidovaných dle individuálního čárového kódu přiřazeného k výrobnímu a evidenčnímu číslu distribučního prostředku účtováno pro konkrétní distribuční prostředek. Účtování denního a dodatkového nájemného končí u distribučních prost</w:t>
      </w:r>
      <w:r>
        <w:rPr>
          <w:rStyle w:val="Bodytext1"/>
        </w:rPr>
        <w:t>ředků evidovaných dle čárového kódu, vrácením konkrétního distribučního prostředku, který zákazník převzal.</w:t>
      </w:r>
    </w:p>
    <w:p w:rsidR="006E564F" w:rsidRDefault="003D1901">
      <w:pPr>
        <w:pStyle w:val="Bodytext10"/>
        <w:spacing w:after="0"/>
        <w:jc w:val="both"/>
      </w:pPr>
      <w:r>
        <w:rPr>
          <w:rStyle w:val="Bodytext1"/>
        </w:rPr>
        <w:t>Zákazník odpovídá za zcizení, ztrátu, odcizení, poškození, zničení nebo nevrácení jemu pronajatých distribučních prostředků. Přenechání distribučníc</w:t>
      </w:r>
      <w:r>
        <w:rPr>
          <w:rStyle w:val="Bodytext1"/>
        </w:rPr>
        <w:t>h prostředků třetí osobě není dovoleno.</w:t>
      </w:r>
    </w:p>
    <w:p w:rsidR="006E564F" w:rsidRDefault="003D1901">
      <w:pPr>
        <w:pStyle w:val="Bodytext10"/>
        <w:spacing w:after="0"/>
      </w:pPr>
      <w:r>
        <w:rPr>
          <w:rStyle w:val="Bodytext1"/>
        </w:rPr>
        <w:t>Je zakázáno, aby zákazník měnil na jemu přiděleném čísle zákazníka větší počet distribučních prostředků, než má na tomto čísle od Linde pronajatých.</w:t>
      </w:r>
    </w:p>
    <w:p w:rsidR="006E564F" w:rsidRDefault="003D1901">
      <w:pPr>
        <w:pStyle w:val="Bodytext10"/>
      </w:pPr>
      <w:r>
        <w:rPr>
          <w:rStyle w:val="Bodytext1"/>
        </w:rPr>
        <w:t xml:space="preserve">Distribuční prostředky může zákazník kdykoli vrátit na své náklady </w:t>
      </w:r>
      <w:r>
        <w:rPr>
          <w:rStyle w:val="Bodytext1"/>
        </w:rPr>
        <w:t>prodejnímu místu Linde v jeho prodejní době. O vrácení musí být zákazníkovi vydáno písemné potvrzení prodejního místa Linde.</w:t>
      </w:r>
    </w:p>
    <w:p w:rsidR="006E564F" w:rsidRDefault="003D1901">
      <w:pPr>
        <w:pStyle w:val="Bodytext10"/>
        <w:spacing w:after="0"/>
        <w:jc w:val="both"/>
      </w:pPr>
      <w:r>
        <w:rPr>
          <w:rStyle w:val="Bodytext1"/>
        </w:rPr>
        <w:t>Správnost výpisu z konta stavu pronajatých distribučních prostředků, který je součástí vyúčtování nájemného, musí být zákazníkem be</w:t>
      </w:r>
      <w:r>
        <w:rPr>
          <w:rStyle w:val="Bodytext1"/>
        </w:rPr>
        <w:t>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w:t>
      </w:r>
      <w:r>
        <w:rPr>
          <w:rStyle w:val="Bodytext1"/>
        </w:rPr>
        <w:t>edujícím období. Vyúčtování nájemného (výpis z čísla zákazníka) má účinnost potvrzení počtu pronajatých distribučních prostředků.</w:t>
      </w:r>
    </w:p>
    <w:p w:rsidR="006E564F" w:rsidRDefault="003D1901">
      <w:pPr>
        <w:pStyle w:val="Bodytext10"/>
        <w:spacing w:after="0"/>
        <w:jc w:val="both"/>
      </w:pPr>
      <w:r>
        <w:rPr>
          <w:rStyle w:val="Bodytext1"/>
        </w:rPr>
        <w:t>Zákazník je povinen neprodleně oznámit Linde veškeré změny týkající se jeho osoby, které by mohly mít vliv na obchodní vztah m</w:t>
      </w:r>
      <w:r>
        <w:rPr>
          <w:rStyle w:val="Bodytext1"/>
        </w:rPr>
        <w:t>ezi ním a Linde, zejména změny jména, firmy, sídla (bydliště), provozovny, či změnu registrace k DPH. Zadržovací právo na pronajaté distribuční prostředky se po dobu trvání nájemní smlouvy vylučuje.</w:t>
      </w:r>
    </w:p>
    <w:p w:rsidR="006E564F" w:rsidRDefault="003D1901">
      <w:pPr>
        <w:pStyle w:val="Bodytext10"/>
        <w:jc w:val="both"/>
      </w:pPr>
      <w:r>
        <w:rPr>
          <w:rStyle w:val="Bodytext1"/>
        </w:rPr>
        <w:t>Nájemné je splatné a je účtováno nejméně jednou měsíčně.</w:t>
      </w:r>
    </w:p>
    <w:p w:rsidR="006E564F" w:rsidRDefault="003D1901">
      <w:pPr>
        <w:pStyle w:val="Heading410"/>
        <w:keepNext/>
        <w:keepLines/>
        <w:numPr>
          <w:ilvl w:val="0"/>
          <w:numId w:val="2"/>
        </w:numPr>
        <w:tabs>
          <w:tab w:val="left" w:pos="226"/>
        </w:tabs>
        <w:jc w:val="both"/>
      </w:pPr>
      <w:bookmarkStart w:id="5" w:name="bookmark12"/>
      <w:r>
        <w:rPr>
          <w:rStyle w:val="Heading41"/>
          <w:b/>
          <w:bCs/>
          <w:i/>
          <w:iCs/>
        </w:rPr>
        <w:t>Kauce (finanční jistina za vrácení majetku Linde)</w:t>
      </w:r>
      <w:bookmarkEnd w:id="5"/>
    </w:p>
    <w:p w:rsidR="006E564F" w:rsidRDefault="003D1901">
      <w:pPr>
        <w:pStyle w:val="Bodytext10"/>
        <w:jc w:val="both"/>
      </w:pPr>
      <w:r>
        <w:rPr>
          <w:rStyle w:val="Bodytext1"/>
        </w:rPr>
        <w:t>Linde je oprávněna požadovat a zákazník je povinen platit za distribuční prostředky pronajaté zákazníkovi nezúročitelnou kauci až do výše pořizovací ceny distribučního prostředku. Vrácení kauce se provede p</w:t>
      </w:r>
      <w:r>
        <w:rPr>
          <w:rStyle w:val="Bodytext1"/>
        </w:rPr>
        <w:t>o odevzdání distribučních prostředků prodejnímu místu Linde, po zápočtu nákladů vzniklých Linde za náhradní opatření, odstranění škod nebo nečistot a dalších závazků. Za den úhrady závazků zápočtem je považován den vyhotovení zápočtu.</w:t>
      </w:r>
    </w:p>
    <w:p w:rsidR="006E564F" w:rsidRDefault="003D1901">
      <w:pPr>
        <w:pStyle w:val="Heading410"/>
        <w:keepNext/>
        <w:keepLines/>
        <w:numPr>
          <w:ilvl w:val="0"/>
          <w:numId w:val="2"/>
        </w:numPr>
        <w:tabs>
          <w:tab w:val="left" w:pos="222"/>
        </w:tabs>
        <w:jc w:val="both"/>
      </w:pPr>
      <w:bookmarkStart w:id="6" w:name="bookmark14"/>
      <w:r>
        <w:rPr>
          <w:rStyle w:val="Heading41"/>
          <w:b/>
          <w:bCs/>
          <w:i/>
          <w:iCs/>
        </w:rPr>
        <w:t>Smluvní pokuta</w:t>
      </w:r>
      <w:bookmarkEnd w:id="6"/>
    </w:p>
    <w:p w:rsidR="006E564F" w:rsidRDefault="003D1901">
      <w:pPr>
        <w:pStyle w:val="Bodytext10"/>
        <w:jc w:val="both"/>
      </w:pPr>
      <w:r>
        <w:rPr>
          <w:rStyle w:val="Bodytext1"/>
        </w:rPr>
        <w:t>Při zc</w:t>
      </w:r>
      <w:r>
        <w:rPr>
          <w:rStyle w:val="Bodytext1"/>
        </w:rPr>
        <w:t>izení, odcizení, poškození, zničení nebo nevrácení distribučních prostředků je zákazník povinen zaplatit Linde smluvní pokutu za každou tlakovou lahev 4.000,- Kč, za každou přepravní paletu 5.000,- Kč, za každý pevný svazek 80.000,- Kč (včetně lahví ve sva</w:t>
      </w:r>
      <w:r>
        <w:rPr>
          <w:rStyle w:val="Bodytext1"/>
        </w:rPr>
        <w:t>zku) a za každý kontejner 100.000,- Kč. Smluvní pokutou není dotčeno právo Linde na náhradu škody, kterou je oprávněna vymáhat samostatně.</w:t>
      </w:r>
    </w:p>
    <w:p w:rsidR="006E564F" w:rsidRDefault="003D1901">
      <w:pPr>
        <w:pStyle w:val="Heading410"/>
        <w:keepNext/>
        <w:keepLines/>
        <w:numPr>
          <w:ilvl w:val="0"/>
          <w:numId w:val="2"/>
        </w:numPr>
        <w:tabs>
          <w:tab w:val="left" w:pos="222"/>
        </w:tabs>
        <w:jc w:val="both"/>
      </w:pPr>
      <w:bookmarkStart w:id="7" w:name="bookmark16"/>
      <w:r>
        <w:rPr>
          <w:rStyle w:val="Heading41"/>
          <w:b/>
          <w:bCs/>
          <w:i/>
          <w:iCs/>
        </w:rPr>
        <w:t>Lahve zákazníků</w:t>
      </w:r>
      <w:bookmarkEnd w:id="7"/>
    </w:p>
    <w:p w:rsidR="006E564F" w:rsidRDefault="003D1901">
      <w:pPr>
        <w:pStyle w:val="Bodytext10"/>
      </w:pPr>
      <w:r>
        <w:rPr>
          <w:rStyle w:val="Bodytext1"/>
        </w:rPr>
        <w:t xml:space="preserve">Lahve zákazníků, které jsou jako takové označeny, jsou plněny podle objednávky zákazníků. Objednávka </w:t>
      </w:r>
      <w:r>
        <w:rPr>
          <w:rStyle w:val="Bodytext1"/>
        </w:rPr>
        <w:t>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rsidR="006E564F" w:rsidRDefault="003D1901">
      <w:pPr>
        <w:pStyle w:val="Heading410"/>
        <w:keepNext/>
        <w:keepLines/>
        <w:numPr>
          <w:ilvl w:val="0"/>
          <w:numId w:val="2"/>
        </w:numPr>
        <w:tabs>
          <w:tab w:val="left" w:pos="226"/>
        </w:tabs>
      </w:pPr>
      <w:bookmarkStart w:id="8" w:name="bookmark18"/>
      <w:r>
        <w:rPr>
          <w:rStyle w:val="Heading41"/>
          <w:b/>
          <w:bCs/>
          <w:i/>
          <w:iCs/>
        </w:rPr>
        <w:t>Plate</w:t>
      </w:r>
      <w:r>
        <w:rPr>
          <w:rStyle w:val="Heading41"/>
          <w:b/>
          <w:bCs/>
          <w:i/>
          <w:iCs/>
        </w:rPr>
        <w:t>bní podmínky</w:t>
      </w:r>
      <w:bookmarkEnd w:id="8"/>
    </w:p>
    <w:p w:rsidR="006E564F" w:rsidRDefault="003D1901">
      <w:pPr>
        <w:pStyle w:val="Bodytext10"/>
        <w:jc w:val="both"/>
      </w:pPr>
      <w:r>
        <w:rPr>
          <w:rStyle w:val="Bodytext1"/>
        </w:rPr>
        <w:t xml:space="preserve">Linde je oprávněna požadovat platbu v hotovosti předem nebo při předání zboží u jednotlivých dodávek či plnění, maximálně do hodnoty ekvivalentu 15.000 EUR (dle platného kursu ČNB). Platbu předem poštovní poukázkou či šekem banky je oprávněna </w:t>
      </w:r>
      <w:r>
        <w:rPr>
          <w:rStyle w:val="Bodytext1"/>
        </w:rPr>
        <w:t>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w:t>
      </w:r>
      <w:r>
        <w:rPr>
          <w:rStyle w:val="Bodytext1"/>
        </w:rPr>
        <w:t xml:space="preserve">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w:t>
      </w:r>
      <w:r>
        <w:rPr>
          <w:rStyle w:val="Bodytext1"/>
        </w:rPr>
        <w:t>dě oprávněna přerušit dodávky do doby úplného zaplacení nebo odstoupit od smlouvy a požadovat okamžité vrácení distribučních prostředků.</w:t>
      </w:r>
    </w:p>
    <w:p w:rsidR="006E564F" w:rsidRDefault="003D1901">
      <w:pPr>
        <w:pStyle w:val="Heading410"/>
        <w:keepNext/>
        <w:keepLines/>
        <w:numPr>
          <w:ilvl w:val="0"/>
          <w:numId w:val="2"/>
        </w:numPr>
        <w:tabs>
          <w:tab w:val="left" w:pos="226"/>
        </w:tabs>
        <w:jc w:val="both"/>
      </w:pPr>
      <w:bookmarkStart w:id="9" w:name="bookmark20"/>
      <w:r>
        <w:rPr>
          <w:rStyle w:val="Heading41"/>
          <w:b/>
          <w:bCs/>
          <w:i/>
          <w:iCs/>
        </w:rPr>
        <w:t>Výhrada vlastnictví</w:t>
      </w:r>
      <w:bookmarkEnd w:id="9"/>
    </w:p>
    <w:p w:rsidR="006E564F" w:rsidRDefault="003D1901">
      <w:pPr>
        <w:pStyle w:val="Bodytext10"/>
      </w:pPr>
      <w:r>
        <w:rPr>
          <w:rStyle w:val="Bodytext1"/>
        </w:rPr>
        <w:t>Až do úplného vyrovnání závazků zákazníkem zůstává dodané zboží vlastnictvím Linde.</w:t>
      </w:r>
    </w:p>
    <w:p w:rsidR="006E564F" w:rsidRDefault="003D1901">
      <w:pPr>
        <w:pStyle w:val="Heading410"/>
        <w:keepNext/>
        <w:keepLines/>
        <w:numPr>
          <w:ilvl w:val="0"/>
          <w:numId w:val="2"/>
        </w:numPr>
        <w:tabs>
          <w:tab w:val="left" w:pos="289"/>
        </w:tabs>
      </w:pPr>
      <w:bookmarkStart w:id="10" w:name="bookmark22"/>
      <w:r>
        <w:rPr>
          <w:rStyle w:val="Heading41"/>
          <w:b/>
          <w:bCs/>
          <w:i/>
          <w:iCs/>
        </w:rPr>
        <w:t>Prodlení</w:t>
      </w:r>
      <w:bookmarkEnd w:id="10"/>
    </w:p>
    <w:p w:rsidR="006E564F" w:rsidRDefault="003D1901">
      <w:pPr>
        <w:pStyle w:val="Bodytext10"/>
      </w:pPr>
      <w:r>
        <w:rPr>
          <w:rStyle w:val="Bodytext1"/>
        </w:rPr>
        <w:t xml:space="preserve">V </w:t>
      </w:r>
      <w:r>
        <w:rPr>
          <w:rStyle w:val="Bodytext1"/>
        </w:rPr>
        <w:t>případě opožděných dodávek nebo výpadku v dodávkách může zákazník, pokud Linde nesplní dodávku v náhradní lhůtě, odstoupit od smlouvy. Škody takto vzniklé jsou hrazeny podle zákona a těchto podmínek.</w:t>
      </w:r>
    </w:p>
    <w:p w:rsidR="006E564F" w:rsidRDefault="003D1901">
      <w:pPr>
        <w:pStyle w:val="Heading410"/>
        <w:keepNext/>
        <w:keepLines/>
        <w:numPr>
          <w:ilvl w:val="0"/>
          <w:numId w:val="2"/>
        </w:numPr>
        <w:tabs>
          <w:tab w:val="left" w:pos="289"/>
        </w:tabs>
        <w:jc w:val="both"/>
      </w:pPr>
      <w:bookmarkStart w:id="11" w:name="bookmark24"/>
      <w:r>
        <w:rPr>
          <w:rStyle w:val="Heading41"/>
          <w:b/>
          <w:bCs/>
          <w:i/>
          <w:iCs/>
        </w:rPr>
        <w:t>Odpovědnost za škodu</w:t>
      </w:r>
      <w:bookmarkEnd w:id="11"/>
    </w:p>
    <w:p w:rsidR="006E564F" w:rsidRDefault="003D1901">
      <w:pPr>
        <w:pStyle w:val="Bodytext10"/>
      </w:pPr>
      <w:r>
        <w:rPr>
          <w:rStyle w:val="Bodytext1"/>
        </w:rPr>
        <w:t xml:space="preserve">V případě, že je Linde za podmínek </w:t>
      </w:r>
      <w:r>
        <w:rPr>
          <w:rStyle w:val="Bodytext1"/>
        </w:rPr>
        <w:t>daných zákonem povinna nahradit zákazníkovi způsobenou škodu, dohodly si smluvní strany rozsah náhrady škody tak, že Linde uhradí zákazníkovi škodu v prokázané výši, nejvýše však částku 20.000.000,- Kč.</w:t>
      </w:r>
    </w:p>
    <w:p w:rsidR="006E564F" w:rsidRDefault="003D1901">
      <w:pPr>
        <w:pStyle w:val="Heading410"/>
        <w:keepNext/>
        <w:keepLines/>
        <w:numPr>
          <w:ilvl w:val="0"/>
          <w:numId w:val="2"/>
        </w:numPr>
        <w:tabs>
          <w:tab w:val="left" w:pos="289"/>
        </w:tabs>
        <w:jc w:val="both"/>
      </w:pPr>
      <w:bookmarkStart w:id="12" w:name="bookmark26"/>
      <w:r>
        <w:rPr>
          <w:rStyle w:val="Heading41"/>
          <w:b/>
          <w:bCs/>
          <w:i/>
          <w:iCs/>
        </w:rPr>
        <w:t>Záruka za vadné plnění</w:t>
      </w:r>
      <w:bookmarkEnd w:id="12"/>
    </w:p>
    <w:p w:rsidR="006E564F" w:rsidRDefault="003D1901">
      <w:pPr>
        <w:pStyle w:val="Bodytext10"/>
      </w:pPr>
      <w:r>
        <w:rPr>
          <w:rStyle w:val="Bodytext1"/>
        </w:rPr>
        <w:t>Pokud je dodávka vadná nebo ne</w:t>
      </w:r>
      <w:r>
        <w:rPr>
          <w:rStyle w:val="Bodytext1"/>
        </w:rPr>
        <w:t>odpovídá množství dodaného plynu, má zákazník právo uplatnit reklamaci, která se řídí platnou legislativou a vnitřními předpisy Linde. Při reklamaci kvality plynů nesmí být spotřebováno více než 50 % uvedeného množství náplně, a to z důvodu možného řádného</w:t>
      </w:r>
      <w:r>
        <w:rPr>
          <w:rStyle w:val="Bodytext1"/>
        </w:rPr>
        <w:t xml:space="preserve">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w:t>
      </w:r>
      <w:r>
        <w:rPr>
          <w:rStyle w:val="Bodytext1"/>
        </w:rPr>
        <w:t>podaří-li se toto dodatečné plnění, může zákazník podle svého výběru požadovat snížení kupní ceny vadné dodávky, anebo požadovat zrušení dodávky.</w:t>
      </w:r>
    </w:p>
    <w:p w:rsidR="006E564F" w:rsidRDefault="003D1901">
      <w:pPr>
        <w:pStyle w:val="Heading410"/>
        <w:keepNext/>
        <w:keepLines/>
        <w:numPr>
          <w:ilvl w:val="0"/>
          <w:numId w:val="2"/>
        </w:numPr>
        <w:tabs>
          <w:tab w:val="left" w:pos="289"/>
        </w:tabs>
      </w:pPr>
      <w:bookmarkStart w:id="13" w:name="bookmark28"/>
      <w:r>
        <w:rPr>
          <w:rStyle w:val="Heading41"/>
          <w:b/>
          <w:bCs/>
          <w:i/>
          <w:iCs/>
        </w:rPr>
        <w:t>Vyšší moc</w:t>
      </w:r>
      <w:bookmarkEnd w:id="13"/>
    </w:p>
    <w:p w:rsidR="006E564F" w:rsidRDefault="003D1901">
      <w:pPr>
        <w:pStyle w:val="Bodytext10"/>
      </w:pPr>
      <w:r>
        <w:rPr>
          <w:rStyle w:val="Bodytext1"/>
        </w:rPr>
        <w:t>Všechny případy vyšší moci, jakož i provozní, dopravní a energetické poruchy, stávky, výluky, osvobo</w:t>
      </w:r>
      <w:r>
        <w:rPr>
          <w:rStyle w:val="Bodytext1"/>
        </w:rPr>
        <w:t>zují toho, kdo je jimi postižen, od smluvních povinností po dobu a v rozsahu účinnosti těchto událostí. To platí také tehdy, když uvedené okolnosti nastanou u subdodavatelů.</w:t>
      </w:r>
    </w:p>
    <w:p w:rsidR="006E564F" w:rsidRDefault="003D1901">
      <w:pPr>
        <w:pStyle w:val="Heading410"/>
        <w:keepNext/>
        <w:keepLines/>
        <w:numPr>
          <w:ilvl w:val="0"/>
          <w:numId w:val="2"/>
        </w:numPr>
        <w:tabs>
          <w:tab w:val="left" w:pos="289"/>
        </w:tabs>
      </w:pPr>
      <w:bookmarkStart w:id="14" w:name="bookmark30"/>
      <w:r>
        <w:rPr>
          <w:rStyle w:val="Heading41"/>
          <w:b/>
          <w:bCs/>
          <w:i/>
          <w:iCs/>
        </w:rPr>
        <w:t>Zajištění množství</w:t>
      </w:r>
      <w:bookmarkEnd w:id="14"/>
    </w:p>
    <w:p w:rsidR="006E564F" w:rsidRDefault="003D1901">
      <w:pPr>
        <w:pStyle w:val="Bodytext10"/>
      </w:pPr>
      <w:r>
        <w:rPr>
          <w:rStyle w:val="Bodytext1"/>
        </w:rPr>
        <w:t>Pokud je údaj o množství v lahvích v ”m</w:t>
      </w:r>
      <w:r>
        <w:rPr>
          <w:rStyle w:val="Bodytext1"/>
          <w:vertAlign w:val="superscript"/>
        </w:rPr>
        <w:t>3</w:t>
      </w:r>
      <w:r>
        <w:rPr>
          <w:rStyle w:val="Bodytext1"/>
        </w:rPr>
        <w:t>”, pak se vztahuje na s</w:t>
      </w:r>
      <w:r>
        <w:rPr>
          <w:rStyle w:val="Bodytext1"/>
        </w:rPr>
        <w:t xml:space="preserve">tav plynu při </w:t>
      </w:r>
      <w:proofErr w:type="gramStart"/>
      <w:r>
        <w:rPr>
          <w:rStyle w:val="Bodytext1"/>
        </w:rPr>
        <w:t>15°C</w:t>
      </w:r>
      <w:proofErr w:type="gramEnd"/>
      <w:r>
        <w:rPr>
          <w:rStyle w:val="Bodytext1"/>
        </w:rPr>
        <w:t xml:space="preserve"> a tlaku 0,1 </w:t>
      </w:r>
      <w:proofErr w:type="spellStart"/>
      <w:r>
        <w:rPr>
          <w:rStyle w:val="Bodytext1"/>
        </w:rPr>
        <w:t>MPa</w:t>
      </w:r>
      <w:proofErr w:type="spellEnd"/>
      <w:r>
        <w:rPr>
          <w:rStyle w:val="Bodytext1"/>
        </w:rPr>
        <w:t>. Zbytkové obsahy u vrácených distribučních prostředků nepodléhají náhradě.</w:t>
      </w:r>
    </w:p>
    <w:p w:rsidR="006E564F" w:rsidRDefault="003D1901">
      <w:pPr>
        <w:pStyle w:val="Heading410"/>
        <w:keepNext/>
        <w:keepLines/>
        <w:numPr>
          <w:ilvl w:val="0"/>
          <w:numId w:val="2"/>
        </w:numPr>
        <w:tabs>
          <w:tab w:val="left" w:pos="289"/>
        </w:tabs>
      </w:pPr>
      <w:bookmarkStart w:id="15" w:name="bookmark32"/>
      <w:r>
        <w:rPr>
          <w:rStyle w:val="Heading41"/>
          <w:b/>
          <w:bCs/>
          <w:i/>
          <w:iCs/>
        </w:rPr>
        <w:t>Dodávky prostřednictvím třetí osoby</w:t>
      </w:r>
      <w:bookmarkEnd w:id="15"/>
    </w:p>
    <w:p w:rsidR="006E564F" w:rsidRDefault="003D1901">
      <w:pPr>
        <w:pStyle w:val="Bodytext10"/>
      </w:pPr>
      <w:r>
        <w:rPr>
          <w:rStyle w:val="Bodytext1"/>
        </w:rPr>
        <w:t>Linde je oprávněna splnit své dodavatelské povinnosti prostřednictvím třetí osoby.</w:t>
      </w:r>
    </w:p>
    <w:p w:rsidR="006E564F" w:rsidRDefault="003D1901">
      <w:pPr>
        <w:pStyle w:val="Heading410"/>
        <w:keepNext/>
        <w:keepLines/>
        <w:numPr>
          <w:ilvl w:val="0"/>
          <w:numId w:val="2"/>
        </w:numPr>
        <w:tabs>
          <w:tab w:val="left" w:pos="289"/>
        </w:tabs>
      </w:pPr>
      <w:bookmarkStart w:id="16" w:name="bookmark34"/>
      <w:r>
        <w:rPr>
          <w:rStyle w:val="Heading41"/>
          <w:b/>
          <w:bCs/>
          <w:i/>
          <w:iCs/>
        </w:rPr>
        <w:t>Poplatky</w:t>
      </w:r>
      <w:bookmarkEnd w:id="16"/>
    </w:p>
    <w:p w:rsidR="006E564F" w:rsidRDefault="003D1901">
      <w:pPr>
        <w:pStyle w:val="Bodytext10"/>
      </w:pPr>
      <w:r>
        <w:rPr>
          <w:rStyle w:val="Bodytext1"/>
        </w:rPr>
        <w:t>Společně s cenou d</w:t>
      </w:r>
      <w:r>
        <w:rPr>
          <w:rStyle w:val="Bodytext1"/>
        </w:rPr>
        <w:t>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w:t>
      </w:r>
      <w:r>
        <w:rPr>
          <w:rStyle w:val="Bodytext1"/>
        </w:rPr>
        <w:t>kou jednotlivého druhu plynu a další poplatky stanovené ceníkem Linde. Výše poplatků se řídí podle aktuálně platných sazeb tak, jak jsou tyto zveřejněny na prodejních místech Linde, není-li smlouvou stanoveno jinak.</w:t>
      </w:r>
    </w:p>
    <w:p w:rsidR="006E564F" w:rsidRDefault="003D1901">
      <w:pPr>
        <w:pStyle w:val="Heading410"/>
        <w:keepNext/>
        <w:keepLines/>
        <w:numPr>
          <w:ilvl w:val="0"/>
          <w:numId w:val="2"/>
        </w:numPr>
        <w:tabs>
          <w:tab w:val="left" w:pos="289"/>
        </w:tabs>
      </w:pPr>
      <w:bookmarkStart w:id="17" w:name="bookmark36"/>
      <w:r>
        <w:rPr>
          <w:rStyle w:val="Heading41"/>
          <w:b/>
          <w:bCs/>
          <w:i/>
          <w:iCs/>
        </w:rPr>
        <w:t>Změny smlouvy</w:t>
      </w:r>
      <w:bookmarkEnd w:id="17"/>
    </w:p>
    <w:p w:rsidR="006E564F" w:rsidRDefault="003D1901">
      <w:pPr>
        <w:pStyle w:val="Bodytext10"/>
      </w:pPr>
      <w:r>
        <w:rPr>
          <w:rStyle w:val="Bodytext1"/>
        </w:rPr>
        <w:t>Změny a doplňky sjednaných</w:t>
      </w:r>
      <w:r>
        <w:rPr>
          <w:rStyle w:val="Bodytext1"/>
        </w:rPr>
        <w:t xml:space="preserve"> podmínek se vyžadují písemnou formou.</w:t>
      </w:r>
    </w:p>
    <w:p w:rsidR="006E564F" w:rsidRDefault="003D1901">
      <w:pPr>
        <w:pStyle w:val="Heading410"/>
        <w:keepNext/>
        <w:keepLines/>
        <w:numPr>
          <w:ilvl w:val="0"/>
          <w:numId w:val="2"/>
        </w:numPr>
        <w:tabs>
          <w:tab w:val="left" w:pos="289"/>
        </w:tabs>
      </w:pPr>
      <w:bookmarkStart w:id="18" w:name="bookmark38"/>
      <w:r>
        <w:rPr>
          <w:rStyle w:val="Heading41"/>
          <w:b/>
          <w:bCs/>
          <w:i/>
          <w:iCs/>
        </w:rPr>
        <w:t>Řešení sporů</w:t>
      </w:r>
      <w:bookmarkEnd w:id="18"/>
    </w:p>
    <w:p w:rsidR="006E564F" w:rsidRDefault="003D1901">
      <w:pPr>
        <w:pStyle w:val="Bodytext10"/>
      </w:pPr>
      <w:r>
        <w:rPr>
          <w:rStyle w:val="Bodytext1"/>
        </w:rPr>
        <w:t>Pro řešení všech sporů mezi zákazníkem a Linde je, za dodržení příslušnosti věcné, místně příslušný soud, v jehož obvodu je sídlo Linde.</w:t>
      </w:r>
    </w:p>
    <w:p w:rsidR="006E564F" w:rsidRDefault="003D1901">
      <w:pPr>
        <w:pStyle w:val="Heading410"/>
        <w:keepNext/>
        <w:keepLines/>
        <w:numPr>
          <w:ilvl w:val="0"/>
          <w:numId w:val="2"/>
        </w:numPr>
        <w:tabs>
          <w:tab w:val="left" w:pos="289"/>
        </w:tabs>
      </w:pPr>
      <w:bookmarkStart w:id="19" w:name="bookmark40"/>
      <w:r>
        <w:rPr>
          <w:rStyle w:val="Heading41"/>
          <w:b/>
          <w:bCs/>
          <w:i/>
          <w:iCs/>
        </w:rPr>
        <w:t>Prohlášení o shodě</w:t>
      </w:r>
      <w:bookmarkEnd w:id="19"/>
    </w:p>
    <w:p w:rsidR="006E564F" w:rsidRDefault="003D1901">
      <w:pPr>
        <w:pStyle w:val="Bodytext10"/>
      </w:pPr>
      <w:r>
        <w:rPr>
          <w:rStyle w:val="Bodytext1"/>
        </w:rPr>
        <w:t xml:space="preserve">Linde vlastní ”Prohlášení o shodě” na ocelové </w:t>
      </w:r>
      <w:r>
        <w:rPr>
          <w:rStyle w:val="Bodytext1"/>
        </w:rPr>
        <w:t>tlakové lahve včetně svařovaných, které mu dodavatel lahví poskytuje na lahve vyrobené po 1. 9. 1997, používané k distribuci plynů.</w:t>
      </w:r>
    </w:p>
    <w:p w:rsidR="006E564F" w:rsidRDefault="003D1901">
      <w:pPr>
        <w:pStyle w:val="Heading410"/>
        <w:keepNext/>
        <w:keepLines/>
        <w:numPr>
          <w:ilvl w:val="0"/>
          <w:numId w:val="2"/>
        </w:numPr>
        <w:tabs>
          <w:tab w:val="left" w:pos="294"/>
        </w:tabs>
        <w:spacing w:after="80"/>
      </w:pPr>
      <w:bookmarkStart w:id="20" w:name="bookmark42"/>
      <w:r>
        <w:rPr>
          <w:rStyle w:val="Heading41"/>
          <w:b/>
          <w:bCs/>
          <w:i/>
          <w:iCs/>
        </w:rPr>
        <w:t>Výrobky vyhovují ČSN nebo specifikaci Linde.</w:t>
      </w:r>
      <w:bookmarkEnd w:id="20"/>
    </w:p>
    <w:p w:rsidR="006E564F" w:rsidRDefault="003D1901">
      <w:pPr>
        <w:pStyle w:val="Heading410"/>
        <w:keepNext/>
        <w:keepLines/>
        <w:numPr>
          <w:ilvl w:val="0"/>
          <w:numId w:val="2"/>
        </w:numPr>
        <w:tabs>
          <w:tab w:val="left" w:pos="294"/>
        </w:tabs>
        <w:spacing w:after="80"/>
      </w:pPr>
      <w:r>
        <w:rPr>
          <w:rStyle w:val="Heading41"/>
          <w:b/>
          <w:bCs/>
          <w:i/>
          <w:iCs/>
        </w:rPr>
        <w:t>Tyto Všeobecné podmínky (</w:t>
      </w:r>
      <w:proofErr w:type="spellStart"/>
      <w:r>
        <w:rPr>
          <w:rStyle w:val="Heading41"/>
          <w:b/>
          <w:bCs/>
          <w:i/>
          <w:iCs/>
        </w:rPr>
        <w:t>Form</w:t>
      </w:r>
      <w:proofErr w:type="spellEnd"/>
      <w:r>
        <w:rPr>
          <w:rStyle w:val="Heading41"/>
          <w:b/>
          <w:bCs/>
          <w:i/>
          <w:iCs/>
        </w:rPr>
        <w:t xml:space="preserve"> 1211/19) jsou platné od 1. 8. 2012.</w:t>
      </w:r>
    </w:p>
    <w:p w:rsidR="006E564F" w:rsidRDefault="003D1901">
      <w:pPr>
        <w:pStyle w:val="Bodytext10"/>
      </w:pPr>
      <w:r>
        <w:rPr>
          <w:rStyle w:val="Bodytext1"/>
        </w:rPr>
        <w:t xml:space="preserve">Linde </w:t>
      </w:r>
      <w:proofErr w:type="spellStart"/>
      <w:r>
        <w:rPr>
          <w:rStyle w:val="Bodytext1"/>
        </w:rPr>
        <w:t>Gas</w:t>
      </w:r>
      <w:proofErr w:type="spellEnd"/>
      <w:r>
        <w:rPr>
          <w:rStyle w:val="Bodytext1"/>
        </w:rPr>
        <w:t xml:space="preserve"> a.s</w:t>
      </w:r>
      <w:r>
        <w:rPr>
          <w:rStyle w:val="Bodytext1"/>
        </w:rPr>
        <w:t>.</w:t>
      </w:r>
    </w:p>
    <w:sectPr w:rsidR="006E564F">
      <w:footerReference w:type="default" r:id="rId8"/>
      <w:pgSz w:w="11900" w:h="16840"/>
      <w:pgMar w:top="426" w:right="527" w:bottom="426" w:left="8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901" w:rsidRDefault="003D1901">
      <w:r>
        <w:separator/>
      </w:r>
    </w:p>
  </w:endnote>
  <w:endnote w:type="continuationSeparator" w:id="0">
    <w:p w:rsidR="003D1901" w:rsidRDefault="003D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4F" w:rsidRDefault="003D1901">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545465</wp:posOffset>
              </wp:positionH>
              <wp:positionV relativeFrom="page">
                <wp:posOffset>10378440</wp:posOffset>
              </wp:positionV>
              <wp:extent cx="780415" cy="54610"/>
              <wp:effectExtent l="0" t="0" r="0" b="0"/>
              <wp:wrapNone/>
              <wp:docPr id="3" name="Shape 3"/>
              <wp:cNvGraphicFramePr/>
              <a:graphic xmlns:a="http://schemas.openxmlformats.org/drawingml/2006/main">
                <a:graphicData uri="http://schemas.microsoft.com/office/word/2010/wordprocessingShape">
                  <wps:wsp>
                    <wps:cNvSpPr txBox="1"/>
                    <wps:spPr>
                      <a:xfrm>
                        <a:off x="0" y="0"/>
                        <a:ext cx="780415" cy="54610"/>
                      </a:xfrm>
                      <a:prstGeom prst="rect">
                        <a:avLst/>
                      </a:prstGeom>
                      <a:noFill/>
                    </wps:spPr>
                    <wps:txbx>
                      <w:txbxContent>
                        <w:p w:rsidR="006E564F" w:rsidRDefault="003D1901">
                          <w:pPr>
                            <w:pStyle w:val="Headerorfooter20"/>
                            <w:rPr>
                              <w:sz w:val="12"/>
                              <w:szCs w:val="12"/>
                            </w:rPr>
                          </w:pPr>
                          <w:proofErr w:type="spellStart"/>
                          <w:r>
                            <w:rPr>
                              <w:rStyle w:val="Headerorfooter2"/>
                              <w:rFonts w:ascii="Arial" w:eastAsia="Arial" w:hAnsi="Arial" w:cs="Arial"/>
                              <w:sz w:val="12"/>
                              <w:szCs w:val="12"/>
                            </w:rPr>
                            <w:t>Form</w:t>
                          </w:r>
                          <w:proofErr w:type="spellEnd"/>
                          <w:r>
                            <w:rPr>
                              <w:rStyle w:val="Headerorfooter2"/>
                              <w:rFonts w:ascii="Arial" w:eastAsia="Arial" w:hAnsi="Arial" w:cs="Arial"/>
                              <w:sz w:val="12"/>
                              <w:szCs w:val="12"/>
                            </w:rPr>
                            <w:t xml:space="preserve"> 1203/27 2012.08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42.95pt;margin-top:817.2pt;width:61.45pt;height:4.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5VlQEAACADAAAOAAAAZHJzL2Uyb0RvYy54bWysUttOwzAMfUfiH6K8s3YbN1XrEAiBkBAg&#10;AR+QpckaqYmjOKzd3+Nk3UDwhnhxHds9Pj724mqwHduogAZczaeTkjPlJDTGrWv+/nZ3cskZRuEa&#10;0YFTNd8q5FfL46NF7ys1gxa6RgVGIA6r3te8jdFXRYGyVVbgBLxylNQQrIj0DOuiCaIndNsVs7I8&#10;L3oIjQ8gFSJFb3dJvsz4WisZn7VGFVlXc+IWsw3ZrpItlgtRrYPwrZEjDfEHFlYYR00PULciCvYR&#10;zC8oa2QABB0nEmwBWhup8gw0zbT8Mc1rK7zKs5A46A8y4f/ByqfNS2CmqfmcMycsrSh3ZfMkTe+x&#10;oopXTzVxuIGBVryPIwXTxIMONn1pFkZ5Enl7EFYNkUkKXlyWp9MzziSlzk7Pp1n34utfHzDeK7As&#10;OTUPtLasptg8YiQeVLovSa0c3JmuS/FEcEckeXFYDSPrFTRbIt3TZmvu6PQ46x4cCZeOYO+EvbMa&#10;nQSO/vojUoPcN6HuoMZmtIZMZzyZtOfv71z1ddjLTwAAAP//AwBQSwMEFAAGAAgAAAAhAI36Oprd&#10;AAAADAEAAA8AAABkcnMvZG93bnJldi54bWxMj8tOwzAQRfdI/IM1SOyoTRvaNMSpUCU27CgIiZ0b&#10;T+MIPyLbTZO/Z7qC5dw5uo96NznLRoypD17C40IAQ98G3ftOwufH60MJLGXltbLBo4QZE+ya25ta&#10;VTpc/DuOh9wxMvGpUhJMzkPFeWoNOpUWYUBPv1OITmU6Y8d1VBcyd5YvhVhzp3pPCUYNuDfY/hzO&#10;TsJm+go4JNzj92lso+nn0r7NUt7fTS/PwDJO+Q+Ga32qDg11Ooaz14lZCeXTlkjS16uiAEbEUpQ0&#10;5niVipUA3tT8/4jmFwAA//8DAFBLAQItABQABgAIAAAAIQC2gziS/gAAAOEBAAATAAAAAAAAAAAA&#10;AAAAAAAAAABbQ29udGVudF9UeXBlc10ueG1sUEsBAi0AFAAGAAgAAAAhADj9If/WAAAAlAEAAAsA&#10;AAAAAAAAAAAAAAAALwEAAF9yZWxzLy5yZWxzUEsBAi0AFAAGAAgAAAAhAMqVHlWVAQAAIAMAAA4A&#10;AAAAAAAAAAAAAAAALgIAAGRycy9lMm9Eb2MueG1sUEsBAi0AFAAGAAgAAAAhAI36OprdAAAADAEA&#10;AA8AAAAAAAAAAAAAAAAA7wMAAGRycy9kb3ducmV2LnhtbFBLBQYAAAAABAAEAPMAAAD5BAAAAAA=&#10;" filled="f" stroked="f">
              <v:textbox style="mso-fit-shape-to-text:t" inset="0,0,0,0">
                <w:txbxContent>
                  <w:p w:rsidR="006E564F" w:rsidRDefault="003D1901">
                    <w:pPr>
                      <w:pStyle w:val="Headerorfooter20"/>
                      <w:rPr>
                        <w:sz w:val="12"/>
                        <w:szCs w:val="12"/>
                      </w:rPr>
                    </w:pPr>
                    <w:proofErr w:type="spellStart"/>
                    <w:r>
                      <w:rPr>
                        <w:rStyle w:val="Headerorfooter2"/>
                        <w:rFonts w:ascii="Arial" w:eastAsia="Arial" w:hAnsi="Arial" w:cs="Arial"/>
                        <w:sz w:val="12"/>
                        <w:szCs w:val="12"/>
                      </w:rPr>
                      <w:t>Form</w:t>
                    </w:r>
                    <w:proofErr w:type="spellEnd"/>
                    <w:r>
                      <w:rPr>
                        <w:rStyle w:val="Headerorfooter2"/>
                        <w:rFonts w:ascii="Arial" w:eastAsia="Arial" w:hAnsi="Arial" w:cs="Arial"/>
                        <w:sz w:val="12"/>
                        <w:szCs w:val="12"/>
                      </w:rPr>
                      <w:t xml:space="preserve"> 1203/27 2012.08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4F" w:rsidRDefault="006E564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901" w:rsidRDefault="003D1901"/>
  </w:footnote>
  <w:footnote w:type="continuationSeparator" w:id="0">
    <w:p w:rsidR="003D1901" w:rsidRDefault="003D19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6F1C"/>
    <w:multiLevelType w:val="multilevel"/>
    <w:tmpl w:val="B6E864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3C4C75"/>
    <w:multiLevelType w:val="multilevel"/>
    <w:tmpl w:val="BBB0E232"/>
    <w:lvl w:ilvl="0">
      <w:start w:val="1"/>
      <w:numFmt w:val="decimal"/>
      <w:lvlText w:val="%1."/>
      <w:lvlJc w:val="left"/>
      <w:rPr>
        <w:rFonts w:ascii="Arial" w:eastAsia="Arial" w:hAnsi="Arial" w:cs="Arial"/>
        <w:b/>
        <w:bCs/>
        <w:i/>
        <w:iCs/>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4F"/>
    <w:rsid w:val="003D1901"/>
    <w:rsid w:val="006E564F"/>
    <w:rsid w:val="00AD4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0C23"/>
  <w15:docId w15:val="{F1AA9281-D8E6-45D3-B271-4F0B159F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0"/>
      <w:szCs w:val="10"/>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26"/>
      <w:szCs w:val="26"/>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8"/>
      <w:szCs w:val="8"/>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2"/>
      <w:szCs w:val="12"/>
      <w:u w:val="none"/>
    </w:rPr>
  </w:style>
  <w:style w:type="character" w:customStyle="1" w:styleId="Heading31">
    <w:name w:val="Heading #3|1_"/>
    <w:basedOn w:val="Standardnpsmoodstavce"/>
    <w:link w:val="Heading310"/>
    <w:rPr>
      <w:rFonts w:ascii="Arial" w:eastAsia="Arial" w:hAnsi="Arial" w:cs="Arial"/>
      <w:b/>
      <w:bCs/>
      <w:i w:val="0"/>
      <w:iCs w:val="0"/>
      <w:smallCaps w:val="0"/>
      <w:strike w:val="0"/>
      <w:sz w:val="16"/>
      <w:szCs w:val="16"/>
      <w:u w:val="none"/>
    </w:rPr>
  </w:style>
  <w:style w:type="character" w:customStyle="1" w:styleId="Heading41">
    <w:name w:val="Heading #4|1_"/>
    <w:basedOn w:val="Standardnpsmoodstavce"/>
    <w:link w:val="Heading410"/>
    <w:rPr>
      <w:rFonts w:ascii="Arial" w:eastAsia="Arial" w:hAnsi="Arial" w:cs="Arial"/>
      <w:b/>
      <w:bCs/>
      <w:i/>
      <w:iCs/>
      <w:smallCaps w:val="0"/>
      <w:strike w:val="0"/>
      <w:sz w:val="12"/>
      <w:szCs w:val="12"/>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2"/>
      <w:szCs w:val="12"/>
      <w:u w:val="none"/>
    </w:rPr>
  </w:style>
  <w:style w:type="paragraph" w:customStyle="1" w:styleId="Bodytext20">
    <w:name w:val="Body text|2"/>
    <w:basedOn w:val="Normln"/>
    <w:link w:val="Bodytext2"/>
    <w:rPr>
      <w:rFonts w:ascii="Arial" w:eastAsia="Arial" w:hAnsi="Arial" w:cs="Arial"/>
      <w:sz w:val="16"/>
      <w:szCs w:val="16"/>
    </w:rPr>
  </w:style>
  <w:style w:type="paragraph" w:customStyle="1" w:styleId="Heading210">
    <w:name w:val="Heading #2|1"/>
    <w:basedOn w:val="Normln"/>
    <w:link w:val="Heading21"/>
    <w:pPr>
      <w:outlineLvl w:val="1"/>
    </w:pPr>
    <w:rPr>
      <w:rFonts w:ascii="Arial" w:eastAsia="Arial" w:hAnsi="Arial" w:cs="Arial"/>
      <w:sz w:val="20"/>
      <w:szCs w:val="20"/>
    </w:rPr>
  </w:style>
  <w:style w:type="paragraph" w:customStyle="1" w:styleId="Bodytext30">
    <w:name w:val="Body text|3"/>
    <w:basedOn w:val="Normln"/>
    <w:link w:val="Bodytext3"/>
    <w:pPr>
      <w:spacing w:line="276" w:lineRule="auto"/>
    </w:pPr>
    <w:rPr>
      <w:rFonts w:ascii="Arial" w:eastAsia="Arial" w:hAnsi="Arial" w:cs="Arial"/>
      <w:sz w:val="10"/>
      <w:szCs w:val="10"/>
    </w:rPr>
  </w:style>
  <w:style w:type="paragraph" w:customStyle="1" w:styleId="Heading110">
    <w:name w:val="Heading #1|1"/>
    <w:basedOn w:val="Normln"/>
    <w:link w:val="Heading11"/>
    <w:pPr>
      <w:outlineLvl w:val="0"/>
    </w:pPr>
    <w:rPr>
      <w:rFonts w:ascii="Arial" w:eastAsia="Arial" w:hAnsi="Arial" w:cs="Arial"/>
      <w:sz w:val="26"/>
      <w:szCs w:val="26"/>
    </w:rPr>
  </w:style>
  <w:style w:type="paragraph" w:customStyle="1" w:styleId="Bodytext40">
    <w:name w:val="Body text|4"/>
    <w:basedOn w:val="Normln"/>
    <w:link w:val="Bodytext4"/>
    <w:pPr>
      <w:spacing w:line="252" w:lineRule="auto"/>
    </w:pPr>
    <w:rPr>
      <w:rFonts w:ascii="Arial" w:eastAsia="Arial" w:hAnsi="Arial" w:cs="Arial"/>
      <w:sz w:val="8"/>
      <w:szCs w:val="8"/>
    </w:rPr>
  </w:style>
  <w:style w:type="paragraph" w:customStyle="1" w:styleId="Headerorfooter20">
    <w:name w:val="Header or footer|2"/>
    <w:basedOn w:val="Normln"/>
    <w:link w:val="Headerorfooter2"/>
    <w:rPr>
      <w:sz w:val="20"/>
      <w:szCs w:val="20"/>
    </w:rPr>
  </w:style>
  <w:style w:type="paragraph" w:customStyle="1" w:styleId="Other10">
    <w:name w:val="Other|1"/>
    <w:basedOn w:val="Normln"/>
    <w:link w:val="Other1"/>
    <w:pPr>
      <w:spacing w:after="80"/>
    </w:pPr>
    <w:rPr>
      <w:rFonts w:ascii="Arial" w:eastAsia="Arial" w:hAnsi="Arial" w:cs="Arial"/>
      <w:sz w:val="12"/>
      <w:szCs w:val="12"/>
    </w:rPr>
  </w:style>
  <w:style w:type="paragraph" w:customStyle="1" w:styleId="Heading310">
    <w:name w:val="Heading #3|1"/>
    <w:basedOn w:val="Normln"/>
    <w:link w:val="Heading31"/>
    <w:pPr>
      <w:spacing w:after="140"/>
      <w:outlineLvl w:val="2"/>
    </w:pPr>
    <w:rPr>
      <w:rFonts w:ascii="Arial" w:eastAsia="Arial" w:hAnsi="Arial" w:cs="Arial"/>
      <w:b/>
      <w:bCs/>
      <w:sz w:val="16"/>
      <w:szCs w:val="16"/>
    </w:rPr>
  </w:style>
  <w:style w:type="paragraph" w:customStyle="1" w:styleId="Heading410">
    <w:name w:val="Heading #4|1"/>
    <w:basedOn w:val="Normln"/>
    <w:link w:val="Heading41"/>
    <w:pPr>
      <w:outlineLvl w:val="3"/>
    </w:pPr>
    <w:rPr>
      <w:rFonts w:ascii="Arial" w:eastAsia="Arial" w:hAnsi="Arial" w:cs="Arial"/>
      <w:b/>
      <w:bCs/>
      <w:i/>
      <w:iCs/>
      <w:sz w:val="12"/>
      <w:szCs w:val="12"/>
    </w:rPr>
  </w:style>
  <w:style w:type="paragraph" w:customStyle="1" w:styleId="Bodytext10">
    <w:name w:val="Body text|1"/>
    <w:basedOn w:val="Normln"/>
    <w:link w:val="Bodytext1"/>
    <w:pPr>
      <w:spacing w:after="80"/>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2137</Words>
  <Characters>12614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LINDE TECHNOPLYN a.s.                       TÜV</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 TECHNOPLYN a.s.                       TÜV</dc:title>
  <dc:subject/>
  <dc:creator>Gabriela Vinklerová</dc:creator>
  <cp:keywords/>
  <cp:lastModifiedBy>Vinklerová Gabriela</cp:lastModifiedBy>
  <cp:revision>2</cp:revision>
  <dcterms:created xsi:type="dcterms:W3CDTF">2024-02-15T09:21:00Z</dcterms:created>
  <dcterms:modified xsi:type="dcterms:W3CDTF">2024-02-15T09:21:00Z</dcterms:modified>
</cp:coreProperties>
</file>