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B2" w:rsidRPr="00AC445E" w:rsidRDefault="00D51310">
      <w:pPr>
        <w:spacing w:before="324" w:line="268" w:lineRule="auto"/>
        <w:ind w:left="2808"/>
        <w:rPr>
          <w:rFonts w:ascii="Arial" w:hAnsi="Arial" w:cs="Arial"/>
          <w:b/>
          <w:color w:val="000000"/>
          <w:spacing w:val="-5"/>
          <w:lang w:val="cs-CZ"/>
        </w:rPr>
      </w:pPr>
      <w:r w:rsidRPr="00AC445E">
        <w:rPr>
          <w:rFonts w:ascii="Arial" w:hAnsi="Arial" w:cs="Arial"/>
          <w:b/>
          <w:color w:val="000000"/>
          <w:spacing w:val="-5"/>
          <w:lang w:val="cs-CZ"/>
        </w:rPr>
        <w:t>Smlouva o poskytnutí finančních prostředků z</w:t>
      </w:r>
      <w:r w:rsidR="005D42A5" w:rsidRPr="00AC445E">
        <w:rPr>
          <w:rFonts w:ascii="Arial" w:hAnsi="Arial" w:cs="Arial"/>
          <w:b/>
          <w:color w:val="000000"/>
          <w:spacing w:val="-5"/>
          <w:lang w:val="cs-CZ"/>
        </w:rPr>
        <w:t> </w:t>
      </w:r>
      <w:r w:rsidRPr="00AC445E">
        <w:rPr>
          <w:rFonts w:ascii="Arial" w:hAnsi="Arial" w:cs="Arial"/>
          <w:b/>
          <w:color w:val="000000"/>
          <w:spacing w:val="-5"/>
          <w:lang w:val="cs-CZ"/>
        </w:rPr>
        <w:t>Minigrantu</w:t>
      </w:r>
    </w:p>
    <w:p w:rsidR="005D6DB2" w:rsidRDefault="00D51310" w:rsidP="00AC445E">
      <w:pPr>
        <w:jc w:val="center"/>
        <w:rPr>
          <w:rFonts w:ascii="Arial" w:hAnsi="Arial" w:cs="Arial"/>
          <w:b/>
        </w:rPr>
      </w:pPr>
      <w:r w:rsidRPr="00AC445E">
        <w:rPr>
          <w:rFonts w:ascii="Arial" w:hAnsi="Arial" w:cs="Arial"/>
          <w:b/>
          <w:spacing w:val="-7"/>
          <w:lang w:val="cs-CZ"/>
        </w:rPr>
        <w:t xml:space="preserve">mobility V4 generace Mezinárodního </w:t>
      </w:r>
      <w:r w:rsidRPr="00AC445E">
        <w:rPr>
          <w:rFonts w:ascii="Arial" w:hAnsi="Arial" w:cs="Arial"/>
          <w:b/>
        </w:rPr>
        <w:t>visegrádského fondu č. 12330044</w:t>
      </w:r>
    </w:p>
    <w:p w:rsidR="00AC445E" w:rsidRPr="00AC445E" w:rsidRDefault="00AC445E" w:rsidP="00AC445E">
      <w:pPr>
        <w:jc w:val="center"/>
        <w:rPr>
          <w:rFonts w:ascii="Arial" w:hAnsi="Arial" w:cs="Arial"/>
          <w:b/>
        </w:rPr>
      </w:pPr>
    </w:p>
    <w:p w:rsidR="005D6DB2" w:rsidRDefault="00D51310" w:rsidP="005D42A5">
      <w:pPr>
        <w:jc w:val="center"/>
        <w:rPr>
          <w:b/>
        </w:rPr>
      </w:pPr>
      <w:r w:rsidRPr="005D42A5">
        <w:rPr>
          <w:b/>
        </w:rPr>
        <w:t>(</w:t>
      </w:r>
      <w:proofErr w:type="gramStart"/>
      <w:r w:rsidRPr="005D42A5">
        <w:rPr>
          <w:b/>
        </w:rPr>
        <w:t>dále</w:t>
      </w:r>
      <w:proofErr w:type="gramEnd"/>
      <w:r w:rsidRPr="005D42A5">
        <w:rPr>
          <w:b/>
        </w:rPr>
        <w:t xml:space="preserve"> jen "Smlouva")</w:t>
      </w:r>
    </w:p>
    <w:p w:rsidR="005D42A5" w:rsidRDefault="005D42A5" w:rsidP="005D42A5">
      <w:pPr>
        <w:jc w:val="center"/>
        <w:rPr>
          <w:b/>
        </w:rPr>
      </w:pPr>
    </w:p>
    <w:p w:rsidR="005D42A5" w:rsidRDefault="00D51310" w:rsidP="005D42A5">
      <w:r w:rsidRPr="005D42A5">
        <w:t xml:space="preserve">SMLUVNÍ STRANY </w:t>
      </w:r>
    </w:p>
    <w:p w:rsidR="005D6DB2" w:rsidRPr="005D42A5" w:rsidRDefault="00D51310" w:rsidP="005D42A5">
      <w:r w:rsidRPr="005D42A5">
        <w:t xml:space="preserve">1.1 </w:t>
      </w:r>
      <w:r w:rsidR="005D42A5">
        <w:tab/>
      </w:r>
      <w:r w:rsidR="005D42A5">
        <w:tab/>
      </w:r>
      <w:r w:rsidRPr="005D42A5">
        <w:t>Mezinárodní visegrádský fond</w:t>
      </w:r>
    </w:p>
    <w:p w:rsidR="005D6DB2" w:rsidRPr="005D42A5" w:rsidRDefault="00D51310" w:rsidP="005D42A5">
      <w:pPr>
        <w:ind w:left="708" w:firstLine="708"/>
      </w:pPr>
      <w:r w:rsidRPr="005D42A5">
        <w:t>Adresa:</w:t>
      </w:r>
      <w:r w:rsidRPr="005D42A5">
        <w:tab/>
        <w:t>Hviezdoslavovo nám. 9, 811 02 Bratislava, SK</w:t>
      </w:r>
    </w:p>
    <w:p w:rsidR="005D6DB2" w:rsidRPr="005D42A5" w:rsidRDefault="00D51310" w:rsidP="005D42A5">
      <w:pPr>
        <w:ind w:left="708" w:firstLine="708"/>
      </w:pPr>
      <w:r w:rsidRPr="005D42A5">
        <w:t>ID č.:</w:t>
      </w:r>
      <w:r w:rsidRPr="005D42A5">
        <w:tab/>
        <w:t>36060356</w:t>
      </w:r>
    </w:p>
    <w:p w:rsidR="005D6DB2" w:rsidRPr="005D42A5" w:rsidRDefault="00D51310" w:rsidP="005D42A5">
      <w:pPr>
        <w:ind w:left="708" w:firstLine="708"/>
      </w:pPr>
      <w:r w:rsidRPr="005D42A5">
        <w:t>Jméno banky:</w:t>
      </w:r>
      <w:r w:rsidRPr="005D42A5">
        <w:tab/>
        <w:t xml:space="preserve">Tatra </w:t>
      </w:r>
      <w:proofErr w:type="gramStart"/>
      <w:r w:rsidRPr="005D42A5">
        <w:t>banka</w:t>
      </w:r>
      <w:proofErr w:type="gramEnd"/>
      <w:r w:rsidRPr="005D42A5">
        <w:t>, as</w:t>
      </w:r>
    </w:p>
    <w:p w:rsidR="005D6DB2" w:rsidRPr="005D42A5" w:rsidRDefault="00D51310" w:rsidP="005D42A5">
      <w:pPr>
        <w:ind w:left="708" w:firstLine="708"/>
      </w:pPr>
      <w:r w:rsidRPr="005D42A5">
        <w:t>Bankovní sídlo:</w:t>
      </w:r>
      <w:r w:rsidRPr="005D42A5">
        <w:tab/>
        <w:t>Hodžovo nám. 3, 811 06 Bratislava</w:t>
      </w:r>
    </w:p>
    <w:p w:rsidR="005D6DB2" w:rsidRPr="005D42A5" w:rsidRDefault="00D51310" w:rsidP="005D42A5">
      <w:pPr>
        <w:ind w:left="708" w:firstLine="708"/>
      </w:pPr>
      <w:r w:rsidRPr="005D42A5">
        <w:t>IBAN:</w:t>
      </w:r>
      <w:r w:rsidRPr="005D42A5">
        <w:tab/>
        <w:t>SK2911000000002936000250</w:t>
      </w:r>
    </w:p>
    <w:p w:rsidR="005D6DB2" w:rsidRPr="005D42A5" w:rsidRDefault="00D51310" w:rsidP="005D42A5">
      <w:pPr>
        <w:ind w:left="708" w:firstLine="708"/>
      </w:pPr>
      <w:r w:rsidRPr="005D42A5">
        <w:t>SWIFT/BIC:</w:t>
      </w:r>
      <w:r w:rsidRPr="005D42A5">
        <w:tab/>
        <w:t>TATRSKBX</w:t>
      </w:r>
    </w:p>
    <w:p w:rsidR="005D6DB2" w:rsidRPr="005D42A5" w:rsidRDefault="00D51310" w:rsidP="005D42A5">
      <w:pPr>
        <w:ind w:left="708" w:firstLine="708"/>
      </w:pPr>
      <w:proofErr w:type="gramStart"/>
      <w:r w:rsidRPr="005D42A5">
        <w:t>zastoupená</w:t>
      </w:r>
      <w:proofErr w:type="gramEnd"/>
      <w:r w:rsidRPr="005D42A5">
        <w:t xml:space="preserve">: </w:t>
      </w:r>
      <w:r w:rsidR="00AC445E">
        <w:t>xxxxxx</w:t>
      </w:r>
      <w:r w:rsidRPr="005D42A5">
        <w:t>, výkonným ředitelem</w:t>
      </w:r>
    </w:p>
    <w:p w:rsidR="005D6DB2" w:rsidRDefault="00D51310" w:rsidP="005D42A5">
      <w:pPr>
        <w:ind w:left="708" w:firstLine="708"/>
      </w:pPr>
      <w:proofErr w:type="gramStart"/>
      <w:r w:rsidRPr="005D42A5">
        <w:t>dále</w:t>
      </w:r>
      <w:proofErr w:type="gramEnd"/>
      <w:r w:rsidRPr="005D42A5">
        <w:t xml:space="preserve"> jen "fond"</w:t>
      </w:r>
    </w:p>
    <w:p w:rsidR="005D42A5" w:rsidRPr="005D42A5" w:rsidRDefault="005D42A5" w:rsidP="005D42A5">
      <w:pPr>
        <w:ind w:left="708" w:firstLine="708"/>
      </w:pPr>
    </w:p>
    <w:p w:rsidR="005D6DB2" w:rsidRDefault="00D51310" w:rsidP="005D42A5">
      <w:pPr>
        <w:jc w:val="center"/>
      </w:pPr>
      <w:proofErr w:type="gramStart"/>
      <w:r w:rsidRPr="005D42A5">
        <w:t>a</w:t>
      </w:r>
      <w:proofErr w:type="gramEnd"/>
    </w:p>
    <w:p w:rsidR="005D42A5" w:rsidRPr="005D42A5" w:rsidRDefault="005D42A5" w:rsidP="005D42A5">
      <w:pPr>
        <w:jc w:val="center"/>
      </w:pPr>
    </w:p>
    <w:p w:rsidR="005D6DB2" w:rsidRDefault="00D51310" w:rsidP="005D42A5">
      <w:r w:rsidRPr="005D42A5">
        <w:t>1.2</w:t>
      </w:r>
      <w:r w:rsidR="005D42A5">
        <w:tab/>
      </w:r>
      <w:r w:rsidR="005D42A5">
        <w:tab/>
      </w:r>
      <w:r w:rsidRPr="005D42A5">
        <w:t xml:space="preserve"> Základní škola Neratovice, 28. </w:t>
      </w:r>
      <w:proofErr w:type="gramStart"/>
      <w:r w:rsidRPr="005D42A5">
        <w:t>října</w:t>
      </w:r>
      <w:proofErr w:type="gramEnd"/>
      <w:r w:rsidRPr="005D42A5">
        <w:t xml:space="preserve"> 1157, okr. Mělník</w:t>
      </w:r>
    </w:p>
    <w:p w:rsidR="005D42A5" w:rsidRDefault="005D42A5" w:rsidP="005D42A5">
      <w:r>
        <w:tab/>
      </w:r>
      <w:r>
        <w:tab/>
        <w:t xml:space="preserve">Adresa: 28. </w:t>
      </w:r>
      <w:proofErr w:type="gramStart"/>
      <w:r>
        <w:t>října</w:t>
      </w:r>
      <w:proofErr w:type="gramEnd"/>
      <w:r>
        <w:t xml:space="preserve"> 1157, okres Mělník</w:t>
      </w:r>
    </w:p>
    <w:p w:rsidR="005D42A5" w:rsidRDefault="005D42A5" w:rsidP="005D42A5">
      <w:r>
        <w:tab/>
      </w:r>
      <w:r>
        <w:tab/>
      </w:r>
      <w:r w:rsidRPr="005D42A5">
        <w:t>ID č.:</w:t>
      </w:r>
      <w:r w:rsidRPr="005D42A5">
        <w:tab/>
        <w:t>70888094</w:t>
      </w:r>
    </w:p>
    <w:p w:rsidR="005D42A5" w:rsidRDefault="005D42A5" w:rsidP="005D42A5">
      <w:r>
        <w:tab/>
      </w:r>
      <w:r>
        <w:tab/>
        <w:t xml:space="preserve">Bankovní detail: IBAN </w:t>
      </w:r>
      <w:r w:rsidRPr="005D42A5">
        <w:t>CZ9008000000000465289369</w:t>
      </w:r>
      <w:r w:rsidRPr="005D42A5">
        <w:t xml:space="preserve"> </w:t>
      </w:r>
      <w:r w:rsidRPr="005D42A5">
        <w:t>SWIFT/BIC: GIBACZPX</w:t>
      </w:r>
    </w:p>
    <w:p w:rsidR="005D42A5" w:rsidRDefault="005D42A5" w:rsidP="005D42A5">
      <w:r>
        <w:tab/>
      </w:r>
      <w:r>
        <w:tab/>
        <w:t>Název banky:  Česká spořitelna</w:t>
      </w:r>
    </w:p>
    <w:p w:rsidR="005D42A5" w:rsidRDefault="005D42A5" w:rsidP="005D42A5">
      <w:r>
        <w:tab/>
      </w:r>
      <w:r>
        <w:tab/>
        <w:t>Banka sídlo: Neratovice</w:t>
      </w:r>
    </w:p>
    <w:p w:rsidR="005D42A5" w:rsidRDefault="005D42A5" w:rsidP="005D42A5">
      <w:r>
        <w:tab/>
      </w:r>
      <w:r>
        <w:tab/>
        <w:t xml:space="preserve">Registrovaná DPH </w:t>
      </w:r>
      <w:proofErr w:type="gramStart"/>
      <w:r>
        <w:t>plátce :</w:t>
      </w:r>
      <w:proofErr w:type="gramEnd"/>
      <w:r>
        <w:t xml:space="preserve">  NE</w:t>
      </w:r>
    </w:p>
    <w:p w:rsidR="005D42A5" w:rsidRDefault="005D42A5" w:rsidP="005D42A5">
      <w:r>
        <w:tab/>
      </w:r>
      <w:r>
        <w:tab/>
        <w:t xml:space="preserve">Zastupuje: Radka Millerová </w:t>
      </w:r>
    </w:p>
    <w:p w:rsidR="005D42A5" w:rsidRDefault="005D42A5" w:rsidP="005D42A5"/>
    <w:p w:rsidR="005D42A5" w:rsidRDefault="005D42A5" w:rsidP="005D42A5">
      <w:r>
        <w:tab/>
      </w:r>
      <w:r>
        <w:tab/>
        <w:t>Dale jen “příjemce”</w:t>
      </w:r>
    </w:p>
    <w:p w:rsidR="005D42A5" w:rsidRPr="005D42A5" w:rsidRDefault="005D42A5" w:rsidP="005D42A5">
      <w:r>
        <w:tab/>
      </w:r>
      <w:r>
        <w:tab/>
      </w:r>
    </w:p>
    <w:p w:rsidR="005D42A5" w:rsidRPr="005D42A5" w:rsidRDefault="005D42A5" w:rsidP="005D42A5"/>
    <w:p w:rsidR="005D6DB2" w:rsidRPr="005D42A5" w:rsidRDefault="00D51310" w:rsidP="005D42A5">
      <w:r w:rsidRPr="005D42A5">
        <w:t>1.3 Fond a příjemce společně dále jen „smluvní strany'.</w:t>
      </w:r>
    </w:p>
    <w:p w:rsidR="005D6DB2" w:rsidRDefault="00D51310" w:rsidP="005D42A5">
      <w:r w:rsidRPr="005D42A5">
        <w:t>1.4 Smluvní strany uzavírají tuto Smlouvu o poskytnutí finančních prostředků z Mezinárodního v</w:t>
      </w:r>
      <w:r w:rsidR="005B5C2C" w:rsidRPr="005D42A5">
        <w:t xml:space="preserve">isegrádského fondu za podmínek </w:t>
      </w:r>
      <w:proofErr w:type="gramStart"/>
      <w:r w:rsidR="00623137" w:rsidRPr="005D42A5">
        <w:t>a</w:t>
      </w:r>
      <w:proofErr w:type="gramEnd"/>
      <w:r w:rsidR="00623137" w:rsidRPr="005D42A5">
        <w:t xml:space="preserve"> </w:t>
      </w:r>
      <w:r w:rsidRPr="005D42A5">
        <w:t>s níže uvedeným předmětem.</w:t>
      </w:r>
    </w:p>
    <w:p w:rsidR="005D42A5" w:rsidRPr="005D42A5" w:rsidRDefault="005D42A5" w:rsidP="005D42A5"/>
    <w:p w:rsidR="005D6DB2" w:rsidRDefault="006C18C5" w:rsidP="005D42A5">
      <w:pPr>
        <w:jc w:val="center"/>
      </w:pPr>
      <w:proofErr w:type="gramStart"/>
      <w:r>
        <w:t>2.</w:t>
      </w:r>
      <w:r w:rsidR="00D51310" w:rsidRPr="005D42A5">
        <w:t>PŘEDMĚT</w:t>
      </w:r>
      <w:proofErr w:type="gramEnd"/>
      <w:r w:rsidR="00D51310" w:rsidRPr="005D42A5">
        <w:t xml:space="preserve"> SMLOUVY</w:t>
      </w:r>
    </w:p>
    <w:p w:rsidR="005D42A5" w:rsidRPr="005D42A5" w:rsidRDefault="005D42A5" w:rsidP="005D42A5">
      <w:pPr>
        <w:jc w:val="center"/>
      </w:pPr>
    </w:p>
    <w:p w:rsidR="005D6DB2" w:rsidRPr="005D42A5" w:rsidRDefault="00D51310" w:rsidP="005D42A5">
      <w:r w:rsidRPr="005D42A5">
        <w:t>2.1 Předmětem této smlouvy je stanovení podmínek pro výplatu finanční podp</w:t>
      </w:r>
      <w:r w:rsidR="00623137" w:rsidRPr="005D42A5">
        <w:t>ory z Fondu na podporu aktivit p</w:t>
      </w:r>
      <w:r w:rsidRPr="005D42A5">
        <w:t xml:space="preserve">říjemce v rámci projektu na základě návrhu Příjemce v žádosti podané </w:t>
      </w:r>
      <w:r w:rsidR="00623137" w:rsidRPr="005D42A5">
        <w:t>prostřednictvím o</w:t>
      </w:r>
      <w:r w:rsidRPr="005D42A5">
        <w:t>n-line systé</w:t>
      </w:r>
      <w:r w:rsidR="00623137" w:rsidRPr="005D42A5">
        <w:t xml:space="preserve">mu Fondu, jak je definován </w:t>
      </w:r>
      <w:proofErr w:type="gramStart"/>
      <w:r w:rsidR="00623137" w:rsidRPr="005D42A5">
        <w:t xml:space="preserve">níže </w:t>
      </w:r>
      <w:r w:rsidRPr="005D42A5">
        <w:t xml:space="preserve"> (</w:t>
      </w:r>
      <w:proofErr w:type="gramEnd"/>
      <w:r w:rsidRPr="005D42A5">
        <w:t xml:space="preserve">dále jen „Přihláška") pod pořadovým číslem 12330044 (dále jen „Projekt"). Pro vyloučení jakýchkoliv pochybností smluvní strany prohlašují </w:t>
      </w:r>
      <w:r w:rsidR="00623137" w:rsidRPr="005D42A5">
        <w:t>a souhlasí s tím, že po podání žádosti prostřednictvím o</w:t>
      </w:r>
      <w:r w:rsidRPr="005D42A5">
        <w:t>n-line systému ji nemůže žádná ze smluvních stran měnit.</w:t>
      </w:r>
    </w:p>
    <w:p w:rsidR="005D6DB2" w:rsidRDefault="00D51310" w:rsidP="005D42A5">
      <w:r w:rsidRPr="005D42A5">
        <w:t>2.2 Příjemce grantu určil pro realizaci Projektu následující partnery projektu:</w:t>
      </w:r>
    </w:p>
    <w:p w:rsidR="005D42A5" w:rsidRDefault="005D42A5" w:rsidP="005D42A5"/>
    <w:p w:rsidR="005D42A5" w:rsidRDefault="005D42A5" w:rsidP="005D42A5"/>
    <w:p w:rsidR="005D6DB2" w:rsidRPr="005D42A5" w:rsidRDefault="00D51310" w:rsidP="005D42A5">
      <w:r w:rsidRPr="005D42A5">
        <w:t>Partner č. 1.</w:t>
      </w:r>
    </w:p>
    <w:tbl>
      <w:tblPr>
        <w:tblW w:w="0" w:type="auto"/>
        <w:tblInd w:w="306" w:type="dxa"/>
        <w:tblLayout w:type="fixed"/>
        <w:tblCellMar>
          <w:left w:w="0" w:type="dxa"/>
          <w:right w:w="0" w:type="dxa"/>
        </w:tblCellMar>
        <w:tblLook w:val="0000" w:firstRow="0" w:lastRow="0" w:firstColumn="0" w:lastColumn="0" w:noHBand="0" w:noVBand="0"/>
      </w:tblPr>
      <w:tblGrid>
        <w:gridCol w:w="10605"/>
      </w:tblGrid>
      <w:tr w:rsidR="005D6DB2" w:rsidRPr="005D42A5">
        <w:trPr>
          <w:trHeight w:hRule="exact" w:val="270"/>
        </w:trPr>
        <w:tc>
          <w:tcPr>
            <w:tcW w:w="10605" w:type="dxa"/>
            <w:tcBorders>
              <w:top w:val="single" w:sz="4" w:space="0" w:color="000000"/>
              <w:left w:val="single" w:sz="4" w:space="0" w:color="000000"/>
              <w:bottom w:val="single" w:sz="4" w:space="0" w:color="000000"/>
              <w:right w:val="single" w:sz="4" w:space="0" w:color="000000"/>
            </w:tcBorders>
            <w:vAlign w:val="center"/>
          </w:tcPr>
          <w:p w:rsidR="005D6DB2" w:rsidRPr="005D42A5" w:rsidRDefault="00D51310" w:rsidP="005D42A5">
            <w:r w:rsidRPr="005D42A5">
              <w:t>Název organizace v jejím rodném jazyce: Szkola Podstawowa nr 35 im. Ks. Franciszka Blachnickiego w Rybniku</w:t>
            </w:r>
          </w:p>
        </w:tc>
      </w:tr>
      <w:tr w:rsidR="005D6DB2" w:rsidRPr="005D42A5">
        <w:trPr>
          <w:trHeight w:hRule="exact" w:val="252"/>
        </w:trPr>
        <w:tc>
          <w:tcPr>
            <w:tcW w:w="10605" w:type="dxa"/>
            <w:tcBorders>
              <w:top w:val="single" w:sz="4" w:space="0" w:color="000000"/>
              <w:left w:val="single" w:sz="4" w:space="0" w:color="000000"/>
              <w:bottom w:val="single" w:sz="4" w:space="0" w:color="000000"/>
              <w:right w:val="single" w:sz="4" w:space="0" w:color="000000"/>
            </w:tcBorders>
            <w:vAlign w:val="center"/>
          </w:tcPr>
          <w:p w:rsidR="005D6DB2" w:rsidRPr="005D42A5" w:rsidRDefault="00D51310" w:rsidP="005D42A5">
            <w:r w:rsidRPr="005D42A5">
              <w:t xml:space="preserve">Název organizace v angličtině: </w:t>
            </w:r>
            <w:r w:rsidR="00623137" w:rsidRPr="005D42A5">
              <w:t>Franciszek Blachnicki Primary School No. 35 in Rybnik</w:t>
            </w:r>
          </w:p>
        </w:tc>
      </w:tr>
      <w:tr w:rsidR="005D6DB2" w:rsidRPr="005D42A5">
        <w:trPr>
          <w:trHeight w:hRule="exact" w:val="263"/>
        </w:trPr>
        <w:tc>
          <w:tcPr>
            <w:tcW w:w="10605" w:type="dxa"/>
            <w:tcBorders>
              <w:top w:val="single" w:sz="4" w:space="0" w:color="000000"/>
              <w:left w:val="single" w:sz="4" w:space="0" w:color="000000"/>
              <w:bottom w:val="single" w:sz="4" w:space="0" w:color="000000"/>
              <w:right w:val="single" w:sz="4" w:space="0" w:color="000000"/>
            </w:tcBorders>
            <w:vAlign w:val="center"/>
          </w:tcPr>
          <w:p w:rsidR="005D6DB2" w:rsidRPr="005D42A5" w:rsidRDefault="00623137" w:rsidP="005D42A5">
            <w:r w:rsidRPr="005D42A5">
              <w:t>Adresa: ul. Ślaska</w:t>
            </w:r>
            <w:r w:rsidR="00D51310" w:rsidRPr="005D42A5">
              <w:t xml:space="preserve"> 18a, Rybnik, 44-206, Polsko</w:t>
            </w:r>
            <w:r w:rsidR="00D51310" w:rsidRPr="005D42A5">
              <w:tab/>
              <w:t>Polsko</w:t>
            </w:r>
          </w:p>
        </w:tc>
      </w:tr>
      <w:tr w:rsidR="005D6DB2" w:rsidRPr="005D42A5">
        <w:trPr>
          <w:trHeight w:hRule="exact" w:val="255"/>
        </w:trPr>
        <w:tc>
          <w:tcPr>
            <w:tcW w:w="10605" w:type="dxa"/>
            <w:tcBorders>
              <w:top w:val="single" w:sz="4" w:space="0" w:color="000000"/>
              <w:left w:val="single" w:sz="4" w:space="0" w:color="000000"/>
              <w:bottom w:val="single" w:sz="4" w:space="0" w:color="000000"/>
              <w:right w:val="single" w:sz="4" w:space="0" w:color="000000"/>
            </w:tcBorders>
            <w:vAlign w:val="center"/>
          </w:tcPr>
          <w:p w:rsidR="005D6DB2" w:rsidRPr="005D42A5" w:rsidRDefault="00D51310" w:rsidP="005D42A5">
            <w:r w:rsidRPr="005D42A5">
              <w:t>Statutární zástupce: Ewa Tyl-Korzeniewska</w:t>
            </w:r>
          </w:p>
        </w:tc>
      </w:tr>
      <w:tr w:rsidR="005D6DB2" w:rsidRPr="005D42A5">
        <w:trPr>
          <w:trHeight w:hRule="exact" w:val="264"/>
        </w:trPr>
        <w:tc>
          <w:tcPr>
            <w:tcW w:w="10605" w:type="dxa"/>
            <w:tcBorders>
              <w:top w:val="single" w:sz="4" w:space="0" w:color="000000"/>
              <w:left w:val="single" w:sz="4" w:space="0" w:color="000000"/>
              <w:bottom w:val="single" w:sz="4" w:space="0" w:color="000000"/>
              <w:right w:val="single" w:sz="4" w:space="0" w:color="000000"/>
            </w:tcBorders>
            <w:vAlign w:val="center"/>
          </w:tcPr>
          <w:p w:rsidR="005D6DB2" w:rsidRPr="005D42A5" w:rsidRDefault="00D51310" w:rsidP="005D42A5">
            <w:r w:rsidRPr="005D42A5">
              <w:t>BIN: 241798913</w:t>
            </w:r>
            <w:r w:rsidRPr="005D42A5">
              <w:tab/>
              <w:t>Registrovaný plátce DPH: ne</w:t>
            </w:r>
          </w:p>
        </w:tc>
      </w:tr>
    </w:tbl>
    <w:p w:rsidR="005D6DB2" w:rsidRPr="005D42A5" w:rsidRDefault="005D6DB2" w:rsidP="005D42A5"/>
    <w:p w:rsidR="005D6DB2" w:rsidRPr="005D42A5" w:rsidRDefault="00D51310" w:rsidP="005D42A5">
      <w:pPr>
        <w:sectPr w:rsidR="005D6DB2" w:rsidRPr="005D42A5">
          <w:pgSz w:w="11918" w:h="16854"/>
          <w:pgMar w:top="172" w:right="435" w:bottom="532" w:left="503" w:header="720" w:footer="720" w:gutter="0"/>
          <w:cols w:space="708"/>
        </w:sectPr>
      </w:pPr>
      <w:r w:rsidRPr="005D42A5">
        <w:t xml:space="preserve">Všichni výše </w:t>
      </w:r>
      <w:proofErr w:type="gramStart"/>
      <w:r w:rsidRPr="005D42A5">
        <w:t xml:space="preserve">uvedení </w:t>
      </w:r>
      <w:r w:rsidR="00F060BD">
        <w:t xml:space="preserve"> </w:t>
      </w:r>
      <w:r w:rsidR="00F060BD" w:rsidRPr="00F060BD">
        <w:t>partneři</w:t>
      </w:r>
      <w:proofErr w:type="gramEnd"/>
      <w:r w:rsidR="00F060BD" w:rsidRPr="00F060BD">
        <w:t xml:space="preserve"> dále společně je</w:t>
      </w:r>
      <w:r w:rsidR="00F060BD">
        <w:t>n jako „Partneři projektu.</w:t>
      </w:r>
      <w:bookmarkStart w:id="0" w:name="_GoBack"/>
      <w:bookmarkEnd w:id="0"/>
    </w:p>
    <w:p w:rsidR="005D6DB2" w:rsidRPr="005D42A5" w:rsidRDefault="00D51310" w:rsidP="008908C5">
      <w:pPr>
        <w:jc w:val="both"/>
      </w:pPr>
      <w:r w:rsidRPr="005D42A5">
        <w:lastRenderedPageBreak/>
        <w:t>2.3 Předmět Projektu bude Fondem podpořen částkou do výše 5 200</w:t>
      </w:r>
      <w:proofErr w:type="gramStart"/>
      <w:r w:rsidRPr="005D42A5">
        <w:t>,00</w:t>
      </w:r>
      <w:proofErr w:type="gramEnd"/>
      <w:r w:rsidRPr="005D42A5">
        <w:t xml:space="preserve"> € za podmínek uvedených dále v této Smlouvě (dále jen „Grant").</w:t>
      </w:r>
    </w:p>
    <w:p w:rsidR="005D6DB2" w:rsidRPr="005D42A5" w:rsidRDefault="00D51310" w:rsidP="008908C5">
      <w:pPr>
        <w:jc w:val="both"/>
      </w:pPr>
      <w:r w:rsidRPr="005D42A5">
        <w:t>2.4 Příjemce je povinen realizovat Projekt v souladu s časovým rámcem a finančními a jinými podmínkami stanovenými ve Smlouvě.</w:t>
      </w:r>
    </w:p>
    <w:p w:rsidR="005D6DB2" w:rsidRDefault="00D51310" w:rsidP="008908C5">
      <w:pPr>
        <w:jc w:val="both"/>
      </w:pPr>
      <w:r w:rsidRPr="005D42A5">
        <w:t>2.5 Pří</w:t>
      </w:r>
      <w:r w:rsidR="00623137" w:rsidRPr="005D42A5">
        <w:t xml:space="preserve">jemce grantu je povinen vkládat </w:t>
      </w:r>
      <w:r w:rsidR="00CB50E5" w:rsidRPr="005D42A5">
        <w:t>aktuální informace o P</w:t>
      </w:r>
      <w:r w:rsidRPr="005D42A5">
        <w:t xml:space="preserve">rojektu písemně nebo prostřednictvím on-line systému pro správu grantů dostupného </w:t>
      </w:r>
      <w:proofErr w:type="gramStart"/>
      <w:r w:rsidRPr="005D42A5">
        <w:t>na</w:t>
      </w:r>
      <w:proofErr w:type="gramEnd"/>
      <w:r w:rsidRPr="005D42A5">
        <w:t xml:space="preserve"> http://my.visegradfund.org/</w:t>
      </w:r>
      <w:r w:rsidRPr="005D42A5">
        <w:tab/>
      </w:r>
    </w:p>
    <w:p w:rsidR="008908C5" w:rsidRPr="005D42A5" w:rsidRDefault="008908C5" w:rsidP="008908C5">
      <w:pPr>
        <w:jc w:val="both"/>
      </w:pPr>
    </w:p>
    <w:p w:rsidR="00CB50E5" w:rsidRDefault="005D42A5" w:rsidP="006C18C5">
      <w:pPr>
        <w:jc w:val="center"/>
      </w:pPr>
      <w:proofErr w:type="gramStart"/>
      <w:r w:rsidRPr="005D42A5">
        <w:t>3.</w:t>
      </w:r>
      <w:r w:rsidR="00D51310" w:rsidRPr="005D42A5">
        <w:t>REALIZACE</w:t>
      </w:r>
      <w:proofErr w:type="gramEnd"/>
      <w:r w:rsidR="00D51310" w:rsidRPr="005D42A5">
        <w:t xml:space="preserve"> PROJEKTU</w:t>
      </w:r>
    </w:p>
    <w:p w:rsidR="008908C5" w:rsidRPr="005D42A5" w:rsidRDefault="008908C5" w:rsidP="008908C5">
      <w:pPr>
        <w:jc w:val="both"/>
      </w:pPr>
    </w:p>
    <w:p w:rsidR="005D6DB2" w:rsidRPr="005D42A5" w:rsidRDefault="00D51310" w:rsidP="008908C5">
      <w:pPr>
        <w:jc w:val="both"/>
      </w:pPr>
      <w:r w:rsidRPr="005D42A5">
        <w:t>3.1 Smluvní strany se do</w:t>
      </w:r>
      <w:r w:rsidR="005D42A5" w:rsidRPr="005D42A5">
        <w:t xml:space="preserve">hodly, že Projekt bude trvat </w:t>
      </w:r>
      <w:proofErr w:type="gramStart"/>
      <w:r w:rsidR="005D42A5" w:rsidRPr="005D42A5">
        <w:t>od</w:t>
      </w:r>
      <w:proofErr w:type="gramEnd"/>
      <w:r w:rsidR="005D42A5" w:rsidRPr="005D42A5">
        <w:t xml:space="preserve"> </w:t>
      </w:r>
      <w:r w:rsidRPr="005D42A5">
        <w:t>15. 1. 2024 do 14. 6. 2024 (dále jen „Doba realizace").</w:t>
      </w:r>
    </w:p>
    <w:p w:rsidR="005D6DB2" w:rsidRPr="005D42A5" w:rsidRDefault="00D51310" w:rsidP="008908C5">
      <w:pPr>
        <w:jc w:val="both"/>
      </w:pPr>
      <w:r w:rsidRPr="005D42A5">
        <w:t>3.2 Jednotlivé fáze realizace Projektu jsou uvedeny v Příloze č. 1 této Smlouvy („Seznam akcí"). Příjemce grantu je povinen vést aktuální Kalendář akcí. Jakákoli změna v termínech, místech nebo typech a názvech akcí původně stanovených v Kalendáři akcí musí být aktualizována a potvrzena v On-line systému nejpozději 10 kalendářních dnů před plánovaným termínem.</w:t>
      </w:r>
    </w:p>
    <w:p w:rsidR="00CB50E5" w:rsidRDefault="006C18C5" w:rsidP="006C18C5">
      <w:pPr>
        <w:jc w:val="center"/>
      </w:pPr>
      <w:proofErr w:type="gramStart"/>
      <w:r>
        <w:t>4.</w:t>
      </w:r>
      <w:r w:rsidR="00D51310" w:rsidRPr="005D42A5">
        <w:t>PLATBA</w:t>
      </w:r>
      <w:proofErr w:type="gramEnd"/>
      <w:r w:rsidR="00D51310" w:rsidRPr="005D42A5">
        <w:t xml:space="preserve"> GRANTU</w:t>
      </w:r>
    </w:p>
    <w:p w:rsidR="008908C5" w:rsidRPr="005D42A5" w:rsidRDefault="008908C5" w:rsidP="008908C5">
      <w:pPr>
        <w:jc w:val="both"/>
      </w:pPr>
    </w:p>
    <w:p w:rsidR="005D6DB2" w:rsidRPr="005D42A5" w:rsidRDefault="00D51310" w:rsidP="008908C5">
      <w:pPr>
        <w:jc w:val="both"/>
      </w:pPr>
      <w:r w:rsidRPr="005D42A5">
        <w:t xml:space="preserve">4.1 Grant bude příjemci vyplacen za podmínek uvedených v bodě </w:t>
      </w:r>
      <w:proofErr w:type="gramStart"/>
      <w:r w:rsidRPr="005D42A5">
        <w:t>4.2 těchto</w:t>
      </w:r>
      <w:proofErr w:type="gramEnd"/>
      <w:r w:rsidRPr="005D42A5">
        <w:t xml:space="preserve"> podmínek ve 2 splátkách takto:</w:t>
      </w:r>
    </w:p>
    <w:p w:rsidR="005D6DB2" w:rsidRPr="005D42A5" w:rsidRDefault="00D51310" w:rsidP="008908C5">
      <w:pPr>
        <w:jc w:val="both"/>
      </w:pPr>
      <w:r w:rsidRPr="005D42A5">
        <w:t xml:space="preserve">1. </w:t>
      </w:r>
      <w:proofErr w:type="gramStart"/>
      <w:r w:rsidRPr="005D42A5">
        <w:t>splátka</w:t>
      </w:r>
      <w:proofErr w:type="gramEnd"/>
      <w:r w:rsidRPr="005D42A5">
        <w:t xml:space="preserve"> ve výši 4160,00 € do 15 pracovních dnů po doručení platné a účinné Smlouvy příjemcem grantu</w:t>
      </w:r>
    </w:p>
    <w:p w:rsidR="005D6DB2" w:rsidRPr="005D42A5" w:rsidRDefault="00D51310" w:rsidP="008908C5">
      <w:pPr>
        <w:jc w:val="both"/>
      </w:pPr>
      <w:r w:rsidRPr="005D42A5">
        <w:t xml:space="preserve">Fond ("První splátka"); Smluvní strany se dohodly, že příjemce je povinen doručit Fondu závěrečnou zprávu, jejíž obsah a náležitosti jsou uvedeny ve Směrnici V4 Gen zveřejněné a dostupné </w:t>
      </w:r>
      <w:proofErr w:type="gramStart"/>
      <w:r w:rsidRPr="005D42A5">
        <w:t>na</w:t>
      </w:r>
      <w:proofErr w:type="gramEnd"/>
      <w:r w:rsidRPr="005D42A5">
        <w:t xml:space="preserve"> webových stránkách Fondu;</w:t>
      </w:r>
    </w:p>
    <w:p w:rsidR="005D6DB2" w:rsidRPr="005D42A5" w:rsidRDefault="00D51310" w:rsidP="008908C5">
      <w:pPr>
        <w:jc w:val="both"/>
      </w:pPr>
      <w:r w:rsidRPr="005D42A5">
        <w:t>2. (</w:t>
      </w:r>
      <w:proofErr w:type="gramStart"/>
      <w:r w:rsidRPr="005D42A5">
        <w:t>a</w:t>
      </w:r>
      <w:proofErr w:type="gramEnd"/>
      <w:r w:rsidRPr="005D42A5">
        <w:t xml:space="preserve"> poslední) splátka ve výši 1 040,00 € do 15 pracovních dnů po schvá</w:t>
      </w:r>
      <w:r w:rsidR="00CB50E5" w:rsidRPr="005D42A5">
        <w:t xml:space="preserve">lení Závěrečné zprávy Fondem </w:t>
      </w:r>
    </w:p>
    <w:p w:rsidR="005D6DB2" w:rsidRPr="005D42A5" w:rsidRDefault="00D51310" w:rsidP="008908C5">
      <w:pPr>
        <w:jc w:val="both"/>
      </w:pPr>
      <w:r w:rsidRPr="005D42A5">
        <w:t>Článek 6 těchto Podmínek (dále jen „Konečná splátka"). Smluvní strany se dohodly, že Závěrečná splátka musí být předfinancována příjemcem grantu, a pokud bude řádně schválen za podmínek zde stanoven</w:t>
      </w:r>
      <w:r w:rsidR="00CB50E5" w:rsidRPr="005D42A5">
        <w:t>ých, Fond vrátí dlužnou částku z</w:t>
      </w:r>
      <w:r w:rsidRPr="005D42A5">
        <w:t>ávěrečné splátky.</w:t>
      </w:r>
    </w:p>
    <w:p w:rsidR="005D6DB2" w:rsidRPr="005D42A5" w:rsidRDefault="00D51310" w:rsidP="008908C5">
      <w:pPr>
        <w:jc w:val="both"/>
      </w:pPr>
      <w:r w:rsidRPr="005D42A5">
        <w:t xml:space="preserve">4.2 Příjemce má nárok </w:t>
      </w:r>
      <w:proofErr w:type="gramStart"/>
      <w:r w:rsidRPr="005D42A5">
        <w:t>na</w:t>
      </w:r>
      <w:proofErr w:type="gramEnd"/>
      <w:r w:rsidRPr="005D42A5">
        <w:t xml:space="preserve"> 2. </w:t>
      </w:r>
      <w:proofErr w:type="gramStart"/>
      <w:r w:rsidRPr="005D42A5">
        <w:t>splátku</w:t>
      </w:r>
      <w:proofErr w:type="gramEnd"/>
      <w:r w:rsidRPr="005D42A5">
        <w:t xml:space="preserve"> a poslední splátku dotace pouze se souhlasem Fondu za </w:t>
      </w:r>
      <w:r w:rsidR="00CB50E5" w:rsidRPr="005D42A5">
        <w:t xml:space="preserve">předpokladu, že </w:t>
      </w:r>
      <w:r w:rsidRPr="005D42A5">
        <w:t xml:space="preserve"> byly příslušné zprávy týkající se konkrétní splátky doručeny Fondu ve lhůtách uvedených v čl. 6. této smlouvy a v Seznamu akcí, jak je uvedeno v </w:t>
      </w:r>
      <w:r w:rsidR="00CB50E5" w:rsidRPr="005D42A5">
        <w:t xml:space="preserve">příloze č. 1 této smlouvy a </w:t>
      </w:r>
      <w:r w:rsidRPr="005D42A5">
        <w:t xml:space="preserve"> takové zprávy byly schváleny Fondem podle článku 6 těchto podmínek.</w:t>
      </w:r>
    </w:p>
    <w:p w:rsidR="005D6DB2" w:rsidRPr="005D42A5" w:rsidRDefault="00D51310" w:rsidP="008908C5">
      <w:pPr>
        <w:jc w:val="both"/>
      </w:pPr>
      <w:r w:rsidRPr="005D42A5">
        <w:t xml:space="preserve">4.3 Fond si vyhrazuje právo odmítnout vyplacení Grantu nebo jakékoli jeho části v případě, že příjemce nedodržuje buď Pokyny V4 Gen uvedené v 4.4 a platné v době podání Žádosti a/nebo ustanovení této smlouvy a/nebo v případě, že počet přímých účastníků a počet dnů bude nižší než je uvedeno v Seznamu akcí. V takovém případě nemá příjemce grantu nárok </w:t>
      </w:r>
      <w:proofErr w:type="gramStart"/>
      <w:r w:rsidRPr="005D42A5">
        <w:t>na</w:t>
      </w:r>
      <w:proofErr w:type="gramEnd"/>
      <w:r w:rsidRPr="005D42A5">
        <w:t xml:space="preserve"> žádnou výplatu.</w:t>
      </w:r>
    </w:p>
    <w:p w:rsidR="005D6DB2" w:rsidRPr="005D42A5" w:rsidRDefault="00D51310" w:rsidP="008908C5">
      <w:pPr>
        <w:jc w:val="both"/>
      </w:pPr>
      <w:r w:rsidRPr="005D42A5">
        <w:t xml:space="preserve">4.4 Příjemce prohlašuje, že se před podpisem této smlouvy seznámil se Směrnicemi V4 Gen Fondu, které jsou zveřejněny </w:t>
      </w:r>
      <w:proofErr w:type="gramStart"/>
      <w:r w:rsidRPr="005D42A5">
        <w:t>na</w:t>
      </w:r>
      <w:proofErr w:type="gramEnd"/>
      <w:r w:rsidRPr="005D42A5">
        <w:t xml:space="preserve"> webových stránkách Fondu (</w:t>
      </w:r>
      <w:hyperlink r:id="rId5">
        <w:r w:rsidRPr="005D42A5">
          <w:rPr>
            <w:rStyle w:val="Hypertextovodkaz"/>
          </w:rPr>
          <w:t>www.visegradfund.org</w:t>
        </w:r>
      </w:hyperlink>
      <w:r w:rsidRPr="005D42A5">
        <w:t xml:space="preserve">). Příjemce je povinen přijmout všechna taková pravidla a zásady Fondu. </w:t>
      </w:r>
    </w:p>
    <w:p w:rsidR="005D6DB2" w:rsidRDefault="00D51310" w:rsidP="008908C5">
      <w:pPr>
        <w:jc w:val="both"/>
      </w:pPr>
      <w:r w:rsidRPr="005D42A5">
        <w:t xml:space="preserve">4.5 Fond je oprávněn měnit Směrnice V4 Gen a je v takovém případě povinen zpřístupnit jejich platnou verzi </w:t>
      </w:r>
      <w:proofErr w:type="gramStart"/>
      <w:r w:rsidRPr="005D42A5">
        <w:t>na</w:t>
      </w:r>
      <w:proofErr w:type="gramEnd"/>
      <w:r w:rsidRPr="005D42A5">
        <w:t xml:space="preserve"> webových stránkách Fondu (</w:t>
      </w:r>
      <w:hyperlink r:id="rId6">
        <w:r w:rsidRPr="005D42A5">
          <w:rPr>
            <w:rStyle w:val="Hypertextovodkaz"/>
          </w:rPr>
          <w:t>www.visegradfund.org</w:t>
        </w:r>
      </w:hyperlink>
      <w:r w:rsidRPr="005D42A5">
        <w:t xml:space="preserve">). </w:t>
      </w:r>
      <w:proofErr w:type="gramStart"/>
      <w:r w:rsidRPr="005D42A5">
        <w:t>a</w:t>
      </w:r>
      <w:proofErr w:type="gramEnd"/>
      <w:r w:rsidRPr="005D42A5">
        <w:t xml:space="preserve"> informovat příjemce grantu.</w:t>
      </w:r>
    </w:p>
    <w:p w:rsidR="008908C5" w:rsidRPr="005D42A5" w:rsidRDefault="008908C5" w:rsidP="008908C5">
      <w:pPr>
        <w:jc w:val="both"/>
      </w:pPr>
    </w:p>
    <w:p w:rsidR="005D6DB2" w:rsidRDefault="00D51310" w:rsidP="008908C5">
      <w:pPr>
        <w:jc w:val="center"/>
      </w:pPr>
      <w:r w:rsidRPr="005D42A5">
        <w:t>5. VYUŽITÍ GRANTU</w:t>
      </w:r>
    </w:p>
    <w:p w:rsidR="008908C5" w:rsidRPr="005D42A5" w:rsidRDefault="008908C5" w:rsidP="008908C5">
      <w:pPr>
        <w:jc w:val="center"/>
      </w:pPr>
    </w:p>
    <w:p w:rsidR="005D6DB2" w:rsidRPr="005D42A5" w:rsidRDefault="00D51310" w:rsidP="005D42A5">
      <w:r w:rsidRPr="005D42A5">
        <w:t xml:space="preserve">5.1 Grant použije Příjemce pouze </w:t>
      </w:r>
      <w:proofErr w:type="gramStart"/>
      <w:r w:rsidRPr="005D42A5">
        <w:t>na</w:t>
      </w:r>
      <w:proofErr w:type="gramEnd"/>
      <w:r w:rsidRPr="005D42A5">
        <w:t xml:space="preserve"> úhradu přímých výdajů Projektu v Období realizace Projektu dle Seznamu akcí, který tvoří Přílohu č. 1 této Smlouvy.</w:t>
      </w:r>
    </w:p>
    <w:p w:rsidR="005D6DB2" w:rsidRPr="005D42A5" w:rsidRDefault="00D51310" w:rsidP="005D42A5">
      <w:r w:rsidRPr="005D42A5">
        <w:t xml:space="preserve">5.2 Náklady požadované </w:t>
      </w:r>
      <w:proofErr w:type="gramStart"/>
      <w:r w:rsidRPr="005D42A5">
        <w:t>na</w:t>
      </w:r>
      <w:proofErr w:type="gramEnd"/>
      <w:r w:rsidRPr="005D42A5">
        <w:t xml:space="preserve"> Projekt z Grantu nesmějí překročit schválenou částku.</w:t>
      </w:r>
    </w:p>
    <w:p w:rsidR="005D6DB2" w:rsidRPr="005D42A5" w:rsidRDefault="00D51310" w:rsidP="005D42A5">
      <w:r w:rsidRPr="005D42A5">
        <w:t xml:space="preserve">5.3 Grant lze čerpat pouze během smluveného Období realizace. Část Grantu nevyužitá během Období realizace vrátí Příjemce Fondu </w:t>
      </w:r>
      <w:proofErr w:type="gramStart"/>
      <w:r w:rsidRPr="005D42A5">
        <w:t>na</w:t>
      </w:r>
      <w:proofErr w:type="gramEnd"/>
      <w:r w:rsidRPr="005D42A5">
        <w:t xml:space="preserve"> požádání do 15 pracovních dnů.</w:t>
      </w:r>
    </w:p>
    <w:p w:rsidR="005D6DB2" w:rsidRPr="005D42A5" w:rsidRDefault="00D51310" w:rsidP="005D42A5">
      <w:r w:rsidRPr="005D42A5">
        <w:t>5.4 Příjemce dotace využije v souladu s Rozpočtem efektivně a hospodárně.</w:t>
      </w:r>
    </w:p>
    <w:p w:rsidR="005D6DB2" w:rsidRPr="005D42A5" w:rsidRDefault="00D51310" w:rsidP="005D42A5">
      <w:r w:rsidRPr="005D42A5">
        <w:t xml:space="preserve">5.5 Rozpočet je sestaven jako jednorázová částka </w:t>
      </w:r>
      <w:proofErr w:type="gramStart"/>
      <w:r w:rsidRPr="005D42A5">
        <w:t>na</w:t>
      </w:r>
      <w:proofErr w:type="gramEnd"/>
      <w:r w:rsidRPr="005D42A5">
        <w:t xml:space="preserve"> základě počtu přímých účastníků a počtu dní uvedených v Seznamu akcí, který tvoří přílohu č. 1 této smlouvy. V případě nižšího počtu přímých účastníků a/nebo počtu dní si Fond vyhrazuje právo snížit 2</w:t>
      </w:r>
      <w:proofErr w:type="gramStart"/>
      <w:r w:rsidRPr="005D42A5">
        <w:t>./</w:t>
      </w:r>
      <w:proofErr w:type="gramEnd"/>
      <w:r w:rsidRPr="005D42A5">
        <w:t xml:space="preserve">Konečnou splátku ve výši dle pravidel Fondu stanovených v Směrnicích V4 Gen a/nebo požadovat vrácení prostředky z 1. </w:t>
      </w:r>
      <w:proofErr w:type="gramStart"/>
      <w:r w:rsidRPr="005D42A5">
        <w:t>splátky</w:t>
      </w:r>
      <w:proofErr w:type="gramEnd"/>
      <w:r w:rsidRPr="005D42A5">
        <w:t>.</w:t>
      </w:r>
    </w:p>
    <w:p w:rsidR="005D6DB2" w:rsidRPr="005D42A5" w:rsidRDefault="00D51310" w:rsidP="005D42A5">
      <w:r w:rsidRPr="005D42A5">
        <w:t xml:space="preserve">5.6 Finanční prostředky dotace jiné než režijní náklady nelze použít </w:t>
      </w:r>
      <w:proofErr w:type="gramStart"/>
      <w:r w:rsidRPr="005D42A5">
        <w:t>na</w:t>
      </w:r>
      <w:proofErr w:type="gramEnd"/>
      <w:r w:rsidRPr="005D42A5">
        <w:t>:</w:t>
      </w:r>
    </w:p>
    <w:tbl>
      <w:tblPr>
        <w:tblW w:w="0" w:type="auto"/>
        <w:tblInd w:w="309" w:type="dxa"/>
        <w:tblLayout w:type="fixed"/>
        <w:tblCellMar>
          <w:left w:w="0" w:type="dxa"/>
          <w:right w:w="0" w:type="dxa"/>
        </w:tblCellMar>
        <w:tblLook w:val="0000" w:firstRow="0" w:lastRow="0" w:firstColumn="0" w:lastColumn="0" w:noHBand="0" w:noVBand="0"/>
      </w:tblPr>
      <w:tblGrid>
        <w:gridCol w:w="10606"/>
      </w:tblGrid>
      <w:tr w:rsidR="005D6DB2" w:rsidRPr="005D42A5">
        <w:trPr>
          <w:trHeight w:hRule="exact" w:val="292"/>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r w:rsidRPr="005D42A5">
              <w:t>kapitálové investice (hmotný/nehmotný majetek);</w:t>
            </w:r>
          </w:p>
        </w:tc>
      </w:tr>
      <w:tr w:rsidR="005D6DB2" w:rsidRPr="005D42A5">
        <w:trPr>
          <w:trHeight w:hRule="exact" w:val="288"/>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r w:rsidRPr="005D42A5">
              <w:t>vrácení DPH příjemcům, kteří žádají o náhradu DPH od místních úřadů;</w:t>
            </w:r>
          </w:p>
        </w:tc>
      </w:tr>
      <w:tr w:rsidR="005D6DB2" w:rsidRPr="005D42A5">
        <w:trPr>
          <w:trHeight w:hRule="exact" w:val="291"/>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proofErr w:type="gramStart"/>
            <w:r w:rsidRPr="005D42A5">
              <w:t>vlastní</w:t>
            </w:r>
            <w:proofErr w:type="gramEnd"/>
            <w:r w:rsidRPr="005D42A5">
              <w:t xml:space="preserve"> nepřímé náklady příjemce grantu (účty za elektřinu/plyn/vodu/telefon atd.);</w:t>
            </w:r>
          </w:p>
        </w:tc>
      </w:tr>
      <w:tr w:rsidR="005D6DB2" w:rsidRPr="005D42A5">
        <w:trPr>
          <w:trHeight w:hRule="exact" w:val="288"/>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r w:rsidRPr="005D42A5">
              <w:t>interní náklady nebo faktury (pronájem vlastních prostor, vlastní ubytování a stravování); a</w:t>
            </w:r>
          </w:p>
        </w:tc>
      </w:tr>
      <w:tr w:rsidR="005D6DB2" w:rsidRPr="005D42A5">
        <w:trPr>
          <w:trHeight w:hRule="exact" w:val="540"/>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r w:rsidRPr="005D42A5">
              <w:t xml:space="preserve">Vlastní práce příjemce - např. </w:t>
            </w:r>
            <w:proofErr w:type="gramStart"/>
            <w:r w:rsidRPr="005D42A5">
              <w:t>koordinace</w:t>
            </w:r>
            <w:proofErr w:type="gramEnd"/>
            <w:r w:rsidRPr="005D42A5">
              <w:t xml:space="preserve"> Projektu, mzdy, finanční ohodnocení zaměstnanců (případně jakékoli výdaje související se zaměstnáváním dle zákoníku práce, včetně denních diet, zkrácených úvazků apod.).</w:t>
            </w:r>
          </w:p>
        </w:tc>
      </w:tr>
    </w:tbl>
    <w:p w:rsidR="005D6DB2" w:rsidRPr="005D42A5" w:rsidRDefault="005D6DB2" w:rsidP="005D42A5">
      <w:pPr>
        <w:sectPr w:rsidR="005D6DB2" w:rsidRPr="005D42A5" w:rsidSect="009320EA">
          <w:pgSz w:w="11918" w:h="16854"/>
          <w:pgMar w:top="340" w:right="414" w:bottom="624" w:left="482" w:header="720" w:footer="720" w:gutter="0"/>
          <w:cols w:space="708"/>
        </w:sectPr>
      </w:pPr>
    </w:p>
    <w:p w:rsidR="005D6DB2" w:rsidRDefault="008908C5" w:rsidP="008908C5">
      <w:pPr>
        <w:jc w:val="center"/>
      </w:pPr>
      <w:proofErr w:type="gramStart"/>
      <w:r>
        <w:lastRenderedPageBreak/>
        <w:t>6.</w:t>
      </w:r>
      <w:r w:rsidR="00D51310" w:rsidRPr="005D42A5">
        <w:t>OZNAMOVACÍ</w:t>
      </w:r>
      <w:proofErr w:type="gramEnd"/>
      <w:r w:rsidR="00D51310" w:rsidRPr="005D42A5">
        <w:t xml:space="preserve"> POVINNOSTI A SOUVISEJÍCÍ SMLUVNÍ PODMÍNKY</w:t>
      </w:r>
    </w:p>
    <w:p w:rsidR="006C18C5" w:rsidRPr="005D42A5" w:rsidRDefault="006C18C5" w:rsidP="008908C5">
      <w:pPr>
        <w:jc w:val="center"/>
      </w:pPr>
    </w:p>
    <w:p w:rsidR="005D6DB2" w:rsidRPr="005D42A5" w:rsidRDefault="00D51310" w:rsidP="005D42A5">
      <w:r w:rsidRPr="005D42A5">
        <w:t>6.1 Příjemce grantu je povinen neprodleně písemně informovat Fond o všech okolnostech, které mohou ovlivnit realizaci Projektu, nebo o jakýchkoli změnách smluvních podmínek. O těchto okolnostech a změnách rozhoduje statutární zástupce Fondu.</w:t>
      </w:r>
    </w:p>
    <w:p w:rsidR="005D6DB2" w:rsidRPr="005D42A5" w:rsidRDefault="00D51310" w:rsidP="005D42A5">
      <w:r w:rsidRPr="005D42A5">
        <w:t>6.2 Příjemce doručí Fondu:</w:t>
      </w:r>
    </w:p>
    <w:p w:rsidR="008908C5" w:rsidRDefault="00D51310" w:rsidP="005D42A5">
      <w:r w:rsidRPr="005D42A5">
        <w:t>Zpráva:</w:t>
      </w:r>
    </w:p>
    <w:p w:rsidR="005D6DB2" w:rsidRPr="005D42A5" w:rsidRDefault="008908C5" w:rsidP="005D42A5">
      <w:r>
        <w:tab/>
      </w:r>
      <w:r>
        <w:tab/>
      </w:r>
      <w:r>
        <w:tab/>
      </w:r>
      <w:r w:rsidR="00D51310" w:rsidRPr="005D42A5">
        <w:tab/>
        <w:t>Pokrývá období od-do:</w:t>
      </w:r>
      <w:r w:rsidR="00D51310" w:rsidRPr="005D42A5">
        <w:tab/>
        <w:t>Poslední doručení zprávy:</w:t>
      </w:r>
    </w:p>
    <w:tbl>
      <w:tblPr>
        <w:tblW w:w="0" w:type="auto"/>
        <w:tblLayout w:type="fixed"/>
        <w:tblCellMar>
          <w:left w:w="0" w:type="dxa"/>
          <w:right w:w="0" w:type="dxa"/>
        </w:tblCellMar>
        <w:tblLook w:val="0000" w:firstRow="0" w:lastRow="0" w:firstColumn="0" w:lastColumn="0" w:noHBand="0" w:noVBand="0"/>
      </w:tblPr>
      <w:tblGrid>
        <w:gridCol w:w="2375"/>
        <w:gridCol w:w="680"/>
        <w:gridCol w:w="526"/>
        <w:gridCol w:w="2347"/>
        <w:gridCol w:w="5032"/>
      </w:tblGrid>
      <w:tr w:rsidR="005D6DB2" w:rsidRPr="005D42A5">
        <w:trPr>
          <w:trHeight w:hRule="exact" w:val="382"/>
        </w:trPr>
        <w:tc>
          <w:tcPr>
            <w:tcW w:w="2375" w:type="dxa"/>
            <w:tcBorders>
              <w:top w:val="none" w:sz="0" w:space="0" w:color="000000"/>
              <w:left w:val="none" w:sz="0" w:space="0" w:color="000000"/>
              <w:bottom w:val="none" w:sz="0" w:space="0" w:color="000000"/>
              <w:right w:val="none" w:sz="0" w:space="0" w:color="000000"/>
            </w:tcBorders>
            <w:vAlign w:val="bottom"/>
          </w:tcPr>
          <w:p w:rsidR="005D6DB2" w:rsidRPr="005D42A5" w:rsidRDefault="00D51310" w:rsidP="005D42A5">
            <w:r w:rsidRPr="005D42A5">
              <w:t>Závěrečná zpráva s účetní závěrkou</w:t>
            </w:r>
          </w:p>
        </w:tc>
        <w:tc>
          <w:tcPr>
            <w:tcW w:w="680" w:type="dxa"/>
            <w:tcBorders>
              <w:top w:val="none" w:sz="0" w:space="0" w:color="000000"/>
              <w:left w:val="none" w:sz="0" w:space="0" w:color="000000"/>
              <w:bottom w:val="none" w:sz="0" w:space="0" w:color="000000"/>
              <w:right w:val="none" w:sz="0" w:space="0" w:color="000000"/>
            </w:tcBorders>
            <w:vAlign w:val="center"/>
          </w:tcPr>
          <w:p w:rsidR="005D6DB2" w:rsidRPr="005D42A5" w:rsidRDefault="00D51310" w:rsidP="005D42A5">
            <w:r w:rsidRPr="005D42A5">
              <w:t>15. 1.</w:t>
            </w:r>
          </w:p>
        </w:tc>
        <w:tc>
          <w:tcPr>
            <w:tcW w:w="526" w:type="dxa"/>
            <w:tcBorders>
              <w:top w:val="none" w:sz="0" w:space="0" w:color="000000"/>
              <w:left w:val="none" w:sz="0" w:space="0" w:color="000000"/>
              <w:bottom w:val="none" w:sz="0" w:space="0" w:color="000000"/>
              <w:right w:val="none" w:sz="0" w:space="0" w:color="000000"/>
            </w:tcBorders>
            <w:vAlign w:val="center"/>
          </w:tcPr>
          <w:p w:rsidR="005D6DB2" w:rsidRPr="005D42A5" w:rsidRDefault="00D51310" w:rsidP="005D42A5">
            <w:r w:rsidRPr="005D42A5">
              <w:t>2024-14. 6.</w:t>
            </w:r>
          </w:p>
        </w:tc>
        <w:tc>
          <w:tcPr>
            <w:tcW w:w="2347" w:type="dxa"/>
            <w:tcBorders>
              <w:top w:val="none" w:sz="0" w:space="0" w:color="000000"/>
              <w:left w:val="none" w:sz="0" w:space="0" w:color="000000"/>
              <w:bottom w:val="none" w:sz="0" w:space="0" w:color="000000"/>
              <w:right w:val="none" w:sz="0" w:space="0" w:color="000000"/>
            </w:tcBorders>
            <w:vAlign w:val="center"/>
          </w:tcPr>
          <w:p w:rsidR="005D6DB2" w:rsidRPr="005D42A5" w:rsidRDefault="00D51310" w:rsidP="005D42A5">
            <w:r w:rsidRPr="005D42A5">
              <w:t>2024</w:t>
            </w:r>
          </w:p>
        </w:tc>
        <w:tc>
          <w:tcPr>
            <w:tcW w:w="5032" w:type="dxa"/>
            <w:tcBorders>
              <w:top w:val="none" w:sz="0" w:space="0" w:color="000000"/>
              <w:left w:val="none" w:sz="0" w:space="0" w:color="000000"/>
              <w:bottom w:val="none" w:sz="0" w:space="0" w:color="000000"/>
              <w:right w:val="none" w:sz="0" w:space="0" w:color="000000"/>
            </w:tcBorders>
            <w:vAlign w:val="center"/>
          </w:tcPr>
          <w:p w:rsidR="005D6DB2" w:rsidRPr="005D42A5" w:rsidRDefault="00D51310" w:rsidP="005D42A5">
            <w:r w:rsidRPr="005D42A5">
              <w:t>12/07/2024</w:t>
            </w:r>
          </w:p>
        </w:tc>
      </w:tr>
      <w:tr w:rsidR="005D6DB2" w:rsidRPr="005D42A5">
        <w:trPr>
          <w:trHeight w:hRule="exact" w:val="273"/>
        </w:trPr>
        <w:tc>
          <w:tcPr>
            <w:tcW w:w="2375" w:type="dxa"/>
            <w:tcBorders>
              <w:top w:val="none" w:sz="0" w:space="0" w:color="000000"/>
              <w:left w:val="none" w:sz="0" w:space="0" w:color="000000"/>
              <w:bottom w:val="none" w:sz="0" w:space="0" w:color="000000"/>
              <w:right w:val="none" w:sz="0" w:space="0" w:color="000000"/>
            </w:tcBorders>
            <w:vAlign w:val="center"/>
          </w:tcPr>
          <w:p w:rsidR="005D6DB2" w:rsidRPr="005D42A5" w:rsidRDefault="00D51310" w:rsidP="005D42A5">
            <w:r w:rsidRPr="005D42A5">
              <w:t>Fotografie dokumentující Seznam</w:t>
            </w:r>
          </w:p>
        </w:tc>
        <w:tc>
          <w:tcPr>
            <w:tcW w:w="680" w:type="dxa"/>
            <w:tcBorders>
              <w:top w:val="none" w:sz="0" w:space="0" w:color="000000"/>
              <w:left w:val="none" w:sz="0" w:space="0" w:color="000000"/>
              <w:bottom w:val="none" w:sz="0" w:space="0" w:color="000000"/>
              <w:right w:val="none" w:sz="0" w:space="0" w:color="000000"/>
            </w:tcBorders>
            <w:vAlign w:val="center"/>
          </w:tcPr>
          <w:p w:rsidR="005D6DB2" w:rsidRPr="005D42A5" w:rsidRDefault="00D51310" w:rsidP="005D42A5">
            <w:r w:rsidRPr="005D42A5">
              <w:t>15.1.</w:t>
            </w:r>
          </w:p>
        </w:tc>
        <w:tc>
          <w:tcPr>
            <w:tcW w:w="526" w:type="dxa"/>
            <w:tcBorders>
              <w:top w:val="none" w:sz="0" w:space="0" w:color="000000"/>
              <w:left w:val="none" w:sz="0" w:space="0" w:color="000000"/>
              <w:bottom w:val="none" w:sz="0" w:space="0" w:color="000000"/>
              <w:right w:val="none" w:sz="0" w:space="0" w:color="000000"/>
            </w:tcBorders>
            <w:vAlign w:val="center"/>
          </w:tcPr>
          <w:p w:rsidR="005D6DB2" w:rsidRPr="005D42A5" w:rsidRDefault="00D51310" w:rsidP="005D42A5">
            <w:r w:rsidRPr="005D42A5">
              <w:t>2024-14. 6.</w:t>
            </w:r>
          </w:p>
        </w:tc>
        <w:tc>
          <w:tcPr>
            <w:tcW w:w="2347" w:type="dxa"/>
            <w:tcBorders>
              <w:top w:val="none" w:sz="0" w:space="0" w:color="000000"/>
              <w:left w:val="none" w:sz="0" w:space="0" w:color="000000"/>
              <w:bottom w:val="none" w:sz="0" w:space="0" w:color="000000"/>
              <w:right w:val="none" w:sz="0" w:space="0" w:color="000000"/>
            </w:tcBorders>
            <w:vAlign w:val="center"/>
          </w:tcPr>
          <w:p w:rsidR="005D6DB2" w:rsidRPr="005D42A5" w:rsidRDefault="00D51310" w:rsidP="005D42A5">
            <w:r w:rsidRPr="005D42A5">
              <w:t>2024</w:t>
            </w:r>
          </w:p>
        </w:tc>
        <w:tc>
          <w:tcPr>
            <w:tcW w:w="5032" w:type="dxa"/>
            <w:tcBorders>
              <w:top w:val="none" w:sz="0" w:space="0" w:color="000000"/>
              <w:left w:val="none" w:sz="0" w:space="0" w:color="000000"/>
              <w:bottom w:val="none" w:sz="0" w:space="0" w:color="000000"/>
              <w:right w:val="none" w:sz="0" w:space="0" w:color="000000"/>
            </w:tcBorders>
            <w:vAlign w:val="center"/>
          </w:tcPr>
          <w:p w:rsidR="005D6DB2" w:rsidRDefault="00D51310" w:rsidP="005D42A5">
            <w:r w:rsidRPr="005D42A5">
              <w:t>12/07/2024</w:t>
            </w:r>
          </w:p>
          <w:p w:rsidR="008908C5" w:rsidRPr="005D42A5" w:rsidRDefault="008908C5" w:rsidP="005D42A5"/>
        </w:tc>
      </w:tr>
      <w:tr w:rsidR="005D6DB2" w:rsidRPr="005D42A5">
        <w:trPr>
          <w:trHeight w:hRule="exact" w:val="227"/>
        </w:trPr>
        <w:tc>
          <w:tcPr>
            <w:tcW w:w="2375" w:type="dxa"/>
            <w:tcBorders>
              <w:top w:val="none" w:sz="0" w:space="0" w:color="000000"/>
              <w:left w:val="none" w:sz="0" w:space="0" w:color="000000"/>
              <w:bottom w:val="none" w:sz="0" w:space="0" w:color="000000"/>
              <w:right w:val="none" w:sz="0" w:space="0" w:color="000000"/>
            </w:tcBorders>
            <w:vAlign w:val="center"/>
          </w:tcPr>
          <w:p w:rsidR="005D6DB2" w:rsidRPr="005D42A5" w:rsidRDefault="00D51310" w:rsidP="005D42A5">
            <w:r w:rsidRPr="005D42A5">
              <w:t>Události</w:t>
            </w:r>
          </w:p>
        </w:tc>
        <w:tc>
          <w:tcPr>
            <w:tcW w:w="680" w:type="dxa"/>
            <w:tcBorders>
              <w:top w:val="none" w:sz="0" w:space="0" w:color="000000"/>
              <w:left w:val="none" w:sz="0" w:space="0" w:color="000000"/>
              <w:bottom w:val="none" w:sz="0" w:space="0" w:color="000000"/>
              <w:right w:val="none" w:sz="0" w:space="0" w:color="000000"/>
            </w:tcBorders>
          </w:tcPr>
          <w:p w:rsidR="005D6DB2" w:rsidRPr="005D42A5" w:rsidRDefault="005D6DB2" w:rsidP="005D42A5"/>
        </w:tc>
        <w:tc>
          <w:tcPr>
            <w:tcW w:w="526" w:type="dxa"/>
            <w:tcBorders>
              <w:top w:val="none" w:sz="0" w:space="0" w:color="000000"/>
              <w:left w:val="none" w:sz="0" w:space="0" w:color="000000"/>
              <w:bottom w:val="none" w:sz="0" w:space="0" w:color="000000"/>
              <w:right w:val="none" w:sz="0" w:space="0" w:color="000000"/>
            </w:tcBorders>
          </w:tcPr>
          <w:p w:rsidR="005D6DB2" w:rsidRPr="005D42A5" w:rsidRDefault="005D6DB2" w:rsidP="005D42A5"/>
        </w:tc>
        <w:tc>
          <w:tcPr>
            <w:tcW w:w="2347" w:type="dxa"/>
            <w:tcBorders>
              <w:top w:val="none" w:sz="0" w:space="0" w:color="000000"/>
              <w:left w:val="none" w:sz="0" w:space="0" w:color="000000"/>
              <w:bottom w:val="none" w:sz="0" w:space="0" w:color="000000"/>
              <w:right w:val="none" w:sz="0" w:space="0" w:color="000000"/>
            </w:tcBorders>
          </w:tcPr>
          <w:p w:rsidR="005D6DB2" w:rsidRPr="005D42A5" w:rsidRDefault="005D6DB2" w:rsidP="005D42A5"/>
        </w:tc>
        <w:tc>
          <w:tcPr>
            <w:tcW w:w="5032" w:type="dxa"/>
            <w:tcBorders>
              <w:top w:val="none" w:sz="0" w:space="0" w:color="000000"/>
              <w:left w:val="none" w:sz="0" w:space="0" w:color="000000"/>
              <w:bottom w:val="none" w:sz="0" w:space="0" w:color="000000"/>
              <w:right w:val="none" w:sz="0" w:space="0" w:color="000000"/>
            </w:tcBorders>
          </w:tcPr>
          <w:p w:rsidR="005D6DB2" w:rsidRPr="005D42A5" w:rsidRDefault="005D6DB2" w:rsidP="005D42A5"/>
        </w:tc>
      </w:tr>
    </w:tbl>
    <w:p w:rsidR="005D6DB2" w:rsidRPr="005D42A5" w:rsidRDefault="005D6DB2" w:rsidP="005D42A5"/>
    <w:p w:rsidR="005D6DB2" w:rsidRPr="005D42A5" w:rsidRDefault="00D51310" w:rsidP="005D42A5">
      <w:r w:rsidRPr="005D42A5">
        <w:t>6.3 Závěrečná zpráva podle tohoto článku bude zpracována v kvalifikované formě a podle požadavků a pokynů zveřejněných na webových stránkách Fondu, zejména ve Směrnicích V4 Gen. Fond si vyhrazuje právo odmítnout jakoukoli zprávu, která tento požadavek nesplňuje.</w:t>
      </w:r>
    </w:p>
    <w:p w:rsidR="005D6DB2" w:rsidRPr="005D42A5" w:rsidRDefault="00D51310" w:rsidP="005D42A5">
      <w:r w:rsidRPr="005D42A5">
        <w:t xml:space="preserve">6.4 Závěrečná zpráva bude vytištěna, podepsána </w:t>
      </w:r>
      <w:proofErr w:type="gramStart"/>
      <w:r w:rsidRPr="005D42A5">
        <w:t>a</w:t>
      </w:r>
      <w:proofErr w:type="gramEnd"/>
      <w:r w:rsidRPr="005D42A5">
        <w:t xml:space="preserve"> orazítkována oprávněným zástupcem příjemce grantu a její sken bude doručen Fondu.</w:t>
      </w:r>
    </w:p>
    <w:p w:rsidR="005D6DB2" w:rsidRPr="005D42A5" w:rsidRDefault="00D51310" w:rsidP="005D42A5">
      <w:r w:rsidRPr="005D42A5">
        <w:t xml:space="preserve">6.5 Finanční výkaz v rámci Závěrečné zprávy shrnuje veškeré výdaje související s Grantem </w:t>
      </w:r>
      <w:proofErr w:type="gramStart"/>
      <w:r w:rsidRPr="005D42A5">
        <w:t>a</w:t>
      </w:r>
      <w:proofErr w:type="gramEnd"/>
      <w:r w:rsidRPr="005D42A5">
        <w:t xml:space="preserve"> uvádí výdaje související s Projektem. Veškeré související finanční dokumenty (účtenky, účty, smlouvy, faktury atd.) související s Grantem musí být uchovávány po dobu minimálně 10 let a jejich kopie/skeny musí být </w:t>
      </w:r>
      <w:proofErr w:type="gramStart"/>
      <w:r w:rsidRPr="005D42A5">
        <w:t>na</w:t>
      </w:r>
      <w:proofErr w:type="gramEnd"/>
      <w:r w:rsidRPr="005D42A5">
        <w:t xml:space="preserve"> vyžádání doručeny Fondu.</w:t>
      </w:r>
    </w:p>
    <w:p w:rsidR="005D6DB2" w:rsidRPr="005D42A5" w:rsidRDefault="00D51310" w:rsidP="005D42A5">
      <w:r w:rsidRPr="005D42A5">
        <w:t>6.6 Fond má právo ověřit jakékoli údaje poskytnuté příjemcem Fondu. Příjemce grantu uděluje Fondu oprávnění činit jménem příjemce veškeré úkony nezbytné k ověření jakýchkoli údajů poskytnutých příjemcem Fondu.</w:t>
      </w:r>
    </w:p>
    <w:p w:rsidR="005D6DB2" w:rsidRPr="005D42A5" w:rsidRDefault="00D51310" w:rsidP="005D42A5">
      <w:r w:rsidRPr="005D42A5">
        <w:t>6.7 V případě jakýchkoli výhrad Fondu k poskytnutým zprávám nebo jakékoli k nim připojené dokumentaci je příjemce povinen tyto zprávy nebo dokumentaci upravit podle požadavků Fondu ve lhůtě stanovené Fondem.</w:t>
      </w:r>
    </w:p>
    <w:p w:rsidR="005D6DB2" w:rsidRDefault="00D51310" w:rsidP="005D42A5">
      <w:r w:rsidRPr="005D42A5">
        <w:t>6.8 Fond si vyhrazuje právo určit způsobilost každého nákladu, který má být hrazen Fondem.</w:t>
      </w:r>
    </w:p>
    <w:p w:rsidR="008908C5" w:rsidRPr="005D42A5" w:rsidRDefault="008908C5" w:rsidP="005D42A5"/>
    <w:p w:rsidR="005D6DB2" w:rsidRDefault="008908C5" w:rsidP="008908C5">
      <w:pPr>
        <w:jc w:val="center"/>
      </w:pPr>
      <w:r>
        <w:t xml:space="preserve">7. </w:t>
      </w:r>
      <w:r w:rsidR="00D51310" w:rsidRPr="005D42A5">
        <w:t>DALŠÍ SMLUVNÍ PODMÍNKY</w:t>
      </w:r>
    </w:p>
    <w:p w:rsidR="008908C5" w:rsidRPr="005D42A5" w:rsidRDefault="008908C5" w:rsidP="008908C5">
      <w:pPr>
        <w:jc w:val="center"/>
      </w:pPr>
    </w:p>
    <w:p w:rsidR="005D6DB2" w:rsidRPr="005D42A5" w:rsidRDefault="00D51310" w:rsidP="005D42A5">
      <w:r w:rsidRPr="005D42A5">
        <w:t>7.1 Veškerá formální komunikace s Fondem musí probíhat v angličtině.</w:t>
      </w:r>
    </w:p>
    <w:p w:rsidR="005D6DB2" w:rsidRPr="005D42A5" w:rsidRDefault="00D51310" w:rsidP="005D42A5">
      <w:r w:rsidRPr="005D42A5">
        <w:t>7.2 Příjemce grantu je povinen uvést bankovní účet pro účely výplaty grantu realizovaného Fondem. Všechny platby projektu musí být provedeny prostřednictvím bankovního účtu vlastněného příjemcem grantu.</w:t>
      </w:r>
    </w:p>
    <w:p w:rsidR="005D6DB2" w:rsidRPr="005D42A5" w:rsidRDefault="00D51310" w:rsidP="005D42A5">
      <w:r w:rsidRPr="005D42A5">
        <w:t>7.3 Příjemce grantu je povinen potvrdit podporu Projektu Fondem (i) ve všech prostorách, kde se akce v rámci Projektu konají (a viditelně vystavit logo Fondu), (ii) ve všech tištěných materiálech distribuovaných v rámci Projektu. , (iii) ve všech veřejných prohlášeních a prezentacích a (</w:t>
      </w:r>
      <w:proofErr w:type="gramStart"/>
      <w:r w:rsidRPr="005D42A5">
        <w:t>iv</w:t>
      </w:r>
      <w:proofErr w:type="gramEnd"/>
      <w:r w:rsidRPr="005D42A5">
        <w:t xml:space="preserve">) na všech webových stránkách spojených s Projektem. Všechna poděkování musí viditelně nést aktuální verzi loga fondu a pokud jsou online, musí být přímo propojena s </w:t>
      </w:r>
      <w:hyperlink r:id="rId7">
        <w:r w:rsidRPr="005D42A5">
          <w:rPr>
            <w:rStyle w:val="Hypertextovodkaz"/>
          </w:rPr>
          <w:t>www.visegradfund.org</w:t>
        </w:r>
      </w:hyperlink>
      <w:r w:rsidRPr="005D42A5">
        <w:t>. Poděkování v místě konání akce musí být přítomno po dobu trvání akcí; on-line potvrzení musí zůstat aktivní minimálně po celou smluvní dobu Projektu. Příjemce grantu zajistí, aby kterýkoli z jeho projektových partnerů uznal podporu Fondu pro projekt ve stejném rozsahu, v jakém je příjemce grantu povinen podle této smlouvy. Další povinnosti příjemce ohledně uznání podpory Projektu Fondem jsou uvedeny v Logo a Poděkování</w:t>
      </w:r>
    </w:p>
    <w:p w:rsidR="005D6DB2" w:rsidRPr="005D42A5" w:rsidRDefault="00D51310" w:rsidP="005D42A5">
      <w:r w:rsidRPr="005D42A5">
        <w:t xml:space="preserve">Manuálu (příloha Směrnice V4 Gen) Fondu zveřejněném </w:t>
      </w:r>
      <w:proofErr w:type="gramStart"/>
      <w:r w:rsidRPr="005D42A5">
        <w:t>na</w:t>
      </w:r>
      <w:proofErr w:type="gramEnd"/>
      <w:r w:rsidRPr="005D42A5">
        <w:t xml:space="preserve"> webových stránkách Fondu a příjemce prohlašuje, že před podpisem tohoto Smlouvou se seznámil s V4 Gen Guidelines a bude se těmito zásadami řídit.</w:t>
      </w:r>
    </w:p>
    <w:p w:rsidR="005D6DB2" w:rsidRPr="005D42A5" w:rsidRDefault="00D51310" w:rsidP="005D42A5">
      <w:r w:rsidRPr="005D42A5">
        <w:t xml:space="preserve">7.4 Fond si vyhrazuje právo provádět monitorovací návštěvy Projektu a jeho realizace a provádět finanční kontrolu Projektu a v případě potřeby si vyžádat další dokumentaci k Projektu. Příjemce je povinen umožnit návštěvy pracovníků Fondu nebo pracovníků k tomu pověřených Fondem, umožnit finanční kontrolu a </w:t>
      </w:r>
      <w:proofErr w:type="gramStart"/>
      <w:r w:rsidRPr="005D42A5">
        <w:t>na</w:t>
      </w:r>
      <w:proofErr w:type="gramEnd"/>
      <w:r w:rsidRPr="005D42A5">
        <w:t xml:space="preserve"> požádání poskytnout veškeré materiály související s Projektem.</w:t>
      </w:r>
    </w:p>
    <w:p w:rsidR="005D6DB2" w:rsidRPr="005D42A5" w:rsidRDefault="00D51310" w:rsidP="005D42A5">
      <w:r w:rsidRPr="005D42A5">
        <w:t>7.5 Fond (nebo Fondem pověřená osoba) je oprávněna provést v Době realizace audit Příjemce. Příjemce je povinen podstoupit tento audit a poskytnout Fondu veškeré účetní a jiné doklady související s Grantem a pořídit a doručit Fondu z nich kopie.</w:t>
      </w:r>
    </w:p>
    <w:p w:rsidR="005D6DB2" w:rsidRPr="005D42A5" w:rsidRDefault="00D51310" w:rsidP="005D42A5">
      <w:r w:rsidRPr="005D42A5">
        <w:t>7.6 Fond se zavazuje poskytnout příjemci podpory nezbytnou kooperativní podporu.</w:t>
      </w:r>
    </w:p>
    <w:p w:rsidR="005D6DB2" w:rsidRPr="005D42A5" w:rsidRDefault="00D51310" w:rsidP="005D42A5">
      <w:r w:rsidRPr="005D42A5">
        <w:t xml:space="preserve">7.7 Obě smluvní strany mohou zpřístupnit informace o Projektu a umožnit přístup veřejnosti k účasti </w:t>
      </w:r>
      <w:proofErr w:type="gramStart"/>
      <w:r w:rsidRPr="005D42A5">
        <w:t>na</w:t>
      </w:r>
      <w:proofErr w:type="gramEnd"/>
      <w:r w:rsidRPr="005D42A5">
        <w:t xml:space="preserve"> Projektu. 7.8 Příjemce bere </w:t>
      </w:r>
      <w:proofErr w:type="gramStart"/>
      <w:r w:rsidRPr="005D42A5">
        <w:t>na</w:t>
      </w:r>
      <w:proofErr w:type="gramEnd"/>
      <w:r w:rsidRPr="005D42A5">
        <w:t xml:space="preserve"> vědomí, že Fond nenese žádnou odpovědnost za obsah jakéhokoli výstupu Projektu.</w:t>
      </w:r>
    </w:p>
    <w:p w:rsidR="005D6DB2" w:rsidRPr="005D42A5" w:rsidRDefault="005D6DB2" w:rsidP="005D42A5">
      <w:pPr>
        <w:sectPr w:rsidR="005D6DB2" w:rsidRPr="005D42A5">
          <w:pgSz w:w="11918" w:h="16854"/>
          <w:pgMar w:top="170" w:right="419" w:bottom="2814" w:left="479" w:header="720" w:footer="720" w:gutter="0"/>
          <w:cols w:space="708"/>
        </w:sectPr>
      </w:pPr>
    </w:p>
    <w:p w:rsidR="005D6DB2" w:rsidRPr="005D42A5" w:rsidRDefault="00D51310" w:rsidP="005D42A5">
      <w:r w:rsidRPr="005D42A5">
        <w:lastRenderedPageBreak/>
        <w:t>7.9 Příjemce prohlašuje, že je nositelem všech práv duševního vlastnictví a/nebo autorských práv k jakýmkoli výstupům Projektu nebo jakékoli jeho části</w:t>
      </w:r>
    </w:p>
    <w:p w:rsidR="005D6DB2" w:rsidRPr="005D42A5" w:rsidRDefault="00D51310" w:rsidP="005D42A5">
      <w:r w:rsidRPr="005D42A5">
        <w:t>(</w:t>
      </w:r>
      <w:proofErr w:type="gramStart"/>
      <w:r w:rsidRPr="005D42A5">
        <w:t>dále</w:t>
      </w:r>
      <w:proofErr w:type="gramEnd"/>
      <w:r w:rsidRPr="005D42A5">
        <w:t xml:space="preserve"> jen „Výstupy"). Příjemce uděluje Fondu podle ustanovení zákona č. 185/2015 Sb. Autorský zákon (dále jen „autorský zákon") nevýhradní bezplatnou licenci bez územních, časových, věcných a technologických omezení na jakékoli Výstupy Projektu nebo jeho části, takže Fond má zejména právo:</w:t>
      </w:r>
    </w:p>
    <w:tbl>
      <w:tblPr>
        <w:tblW w:w="0" w:type="auto"/>
        <w:tblInd w:w="331" w:type="dxa"/>
        <w:tblLayout w:type="fixed"/>
        <w:tblCellMar>
          <w:left w:w="0" w:type="dxa"/>
          <w:right w:w="0" w:type="dxa"/>
        </w:tblCellMar>
        <w:tblLook w:val="0000" w:firstRow="0" w:lastRow="0" w:firstColumn="0" w:lastColumn="0" w:noHBand="0" w:noVBand="0"/>
      </w:tblPr>
      <w:tblGrid>
        <w:gridCol w:w="10606"/>
      </w:tblGrid>
      <w:tr w:rsidR="005D6DB2" w:rsidRPr="005D42A5">
        <w:trPr>
          <w:trHeight w:hRule="exact" w:val="299"/>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proofErr w:type="gramStart"/>
            <w:r w:rsidRPr="005D42A5">
              <w:t>zveřejňovat</w:t>
            </w:r>
            <w:proofErr w:type="gramEnd"/>
            <w:r w:rsidRPr="005D42A5">
              <w:t xml:space="preserve"> Výstupy a jakýmkoli způsobem je zveřejňovat, </w:t>
            </w:r>
            <w:hyperlink r:id="rId8">
              <w:r w:rsidRPr="005D42A5">
                <w:rPr>
                  <w:rStyle w:val="Hypertextovodkaz"/>
                </w:rPr>
                <w:t xml:space="preserve">např. </w:t>
              </w:r>
              <w:proofErr w:type="gramStart"/>
              <w:r w:rsidRPr="005D42A5">
                <w:rPr>
                  <w:rStyle w:val="Hypertextovodkaz"/>
                </w:rPr>
                <w:t>na</w:t>
              </w:r>
              <w:proofErr w:type="gramEnd"/>
            </w:hyperlink>
            <w:r w:rsidRPr="005D42A5">
              <w:t xml:space="preserve"> webových stránkách Fondu, v jakýchkoli materiálech Fondu apod.;</w:t>
            </w:r>
          </w:p>
        </w:tc>
      </w:tr>
      <w:tr w:rsidR="005D6DB2" w:rsidRPr="005D42A5">
        <w:trPr>
          <w:trHeight w:hRule="exact" w:val="288"/>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r w:rsidRPr="005D42A5">
              <w:t>měnit a zpracovávat Výstupy, zejména využívat Výstupy k vytváření nového díla, podle potřeb Fondu;</w:t>
            </w:r>
          </w:p>
        </w:tc>
      </w:tr>
      <w:tr w:rsidR="005D6DB2" w:rsidRPr="005D42A5">
        <w:trPr>
          <w:trHeight w:hRule="exact" w:val="291"/>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r w:rsidRPr="005D42A5">
              <w:t>zařadit Výstupy do databáze podle § 131 autorského zákona;</w:t>
            </w:r>
          </w:p>
        </w:tc>
      </w:tr>
      <w:tr w:rsidR="005D6DB2" w:rsidRPr="005D42A5">
        <w:trPr>
          <w:trHeight w:hRule="exact" w:val="285"/>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r w:rsidRPr="005D42A5">
              <w:t>sloučit Výstupy s jakýmikoli jinými výstupy nebo prací;</w:t>
            </w:r>
          </w:p>
        </w:tc>
      </w:tr>
      <w:tr w:rsidR="005D6DB2" w:rsidRPr="005D42A5">
        <w:trPr>
          <w:trHeight w:hRule="exact" w:val="291"/>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r w:rsidRPr="005D42A5">
              <w:t>pořizovat kopie Výstupů;</w:t>
            </w:r>
          </w:p>
        </w:tc>
      </w:tr>
      <w:tr w:rsidR="005D6DB2" w:rsidRPr="005D42A5">
        <w:trPr>
          <w:trHeight w:hRule="exact" w:val="288"/>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r w:rsidRPr="005D42A5">
              <w:t>veřejně distribuovat Výstupy;</w:t>
            </w:r>
          </w:p>
        </w:tc>
      </w:tr>
      <w:tr w:rsidR="005D6DB2" w:rsidRPr="005D42A5">
        <w:trPr>
          <w:trHeight w:hRule="exact" w:val="302"/>
        </w:trPr>
        <w:tc>
          <w:tcPr>
            <w:tcW w:w="10606" w:type="dxa"/>
            <w:tcBorders>
              <w:top w:val="single" w:sz="5" w:space="0" w:color="000000"/>
              <w:left w:val="single" w:sz="5" w:space="0" w:color="000000"/>
              <w:bottom w:val="single" w:sz="5" w:space="0" w:color="000000"/>
              <w:right w:val="single" w:sz="5" w:space="0" w:color="000000"/>
            </w:tcBorders>
            <w:vAlign w:val="center"/>
          </w:tcPr>
          <w:p w:rsidR="005D6DB2" w:rsidRPr="005D42A5" w:rsidRDefault="00D51310" w:rsidP="005D42A5">
            <w:proofErr w:type="gramStart"/>
            <w:r w:rsidRPr="005D42A5">
              <w:t>nakládat</w:t>
            </w:r>
            <w:proofErr w:type="gramEnd"/>
            <w:r w:rsidRPr="005D42A5">
              <w:t xml:space="preserve"> s Výstupy jiným způsobem, který lze přičíst autorovi podle ustanovení autorského zákona.</w:t>
            </w:r>
          </w:p>
        </w:tc>
      </w:tr>
    </w:tbl>
    <w:p w:rsidR="005D6DB2" w:rsidRPr="005D42A5" w:rsidRDefault="005D6DB2" w:rsidP="005D42A5"/>
    <w:p w:rsidR="005D6DB2" w:rsidRDefault="00D51310" w:rsidP="005D42A5">
      <w:r w:rsidRPr="005D42A5">
        <w:t xml:space="preserve">7.10 Smluvní strany se dohodly, že budou dodržovat zásady udržitelnosti životního prostředí všemi možnými prostředky ve vztahu k Projektu (úspora elektřiny, vody a dalších zdrojů, preferování místního zboží a služeb a tisk pouze v případě potřeby a </w:t>
      </w:r>
      <w:proofErr w:type="gramStart"/>
      <w:r w:rsidRPr="005D42A5">
        <w:t>na</w:t>
      </w:r>
      <w:proofErr w:type="gramEnd"/>
      <w:r w:rsidRPr="005D42A5">
        <w:t xml:space="preserve"> obě strany papíru atd.). ).</w:t>
      </w:r>
    </w:p>
    <w:p w:rsidR="008908C5" w:rsidRPr="005D42A5" w:rsidRDefault="008908C5" w:rsidP="005D42A5"/>
    <w:p w:rsidR="005D6DB2" w:rsidRDefault="00D51310" w:rsidP="008908C5">
      <w:pPr>
        <w:jc w:val="center"/>
      </w:pPr>
      <w:r w:rsidRPr="005D42A5">
        <w:t>8. SMLUVNÍ SANKCE</w:t>
      </w:r>
    </w:p>
    <w:p w:rsidR="008908C5" w:rsidRPr="005D42A5" w:rsidRDefault="008908C5" w:rsidP="008908C5">
      <w:pPr>
        <w:jc w:val="center"/>
      </w:pPr>
    </w:p>
    <w:p w:rsidR="005D6DB2" w:rsidRPr="005D42A5" w:rsidRDefault="00D51310" w:rsidP="005D42A5">
      <w:r w:rsidRPr="005D42A5">
        <w:t xml:space="preserve">8.1 Fond má vůči příjemci nárok </w:t>
      </w:r>
      <w:proofErr w:type="gramStart"/>
      <w:r w:rsidRPr="005D42A5">
        <w:t>na</w:t>
      </w:r>
      <w:proofErr w:type="gramEnd"/>
      <w:r w:rsidRPr="005D42A5">
        <w:t xml:space="preserve"> smluvní pokutu ve výši 20 % z částky dotace (dále jen „smluvní pokuta"), pokud:</w:t>
      </w:r>
    </w:p>
    <w:p w:rsidR="005D6DB2" w:rsidRPr="005D42A5" w:rsidRDefault="00D51310" w:rsidP="005D42A5">
      <w:r w:rsidRPr="005D42A5">
        <w:t>jakékoli údaje poskytnuté příjemcem grantu se ukáží jako nepravdivé nebo neaktuální, nebo příjemce nedoručí Fondu včas některou ze zpráv podle této smlouvy nebo příjemce nedodrží rozpočet nebo grant nebo jakékoli jiné její část je použita v rozporu s podmínkami stanovenými v této Smlouvě nebo Příjemce poruší jakoukoli svou povinnost vyplývající z článku 7 této Smlouvy.</w:t>
      </w:r>
    </w:p>
    <w:p w:rsidR="005D6DB2" w:rsidRPr="005D42A5" w:rsidRDefault="00D51310" w:rsidP="005D42A5">
      <w:r w:rsidRPr="005D42A5">
        <w:t xml:space="preserve">a) </w:t>
      </w:r>
      <w:proofErr w:type="gramStart"/>
      <w:r w:rsidRPr="005D42A5">
        <w:t>jakékoli</w:t>
      </w:r>
      <w:proofErr w:type="gramEnd"/>
      <w:r w:rsidRPr="005D42A5">
        <w:t xml:space="preserve"> údaje poskytnuté příjemcem grantu se ukáží jako nepravdivé nebo</w:t>
      </w:r>
    </w:p>
    <w:p w:rsidR="005D6DB2" w:rsidRPr="005D42A5" w:rsidRDefault="00D51310" w:rsidP="005D42A5">
      <w:proofErr w:type="gramStart"/>
      <w:r w:rsidRPr="005D42A5">
        <w:t>neaktuální</w:t>
      </w:r>
      <w:proofErr w:type="gramEnd"/>
      <w:r w:rsidRPr="005D42A5">
        <w:t>, nebo b) příjemce včas nedoručí Fondu některou ze zpráv dle této smlouvy nebo c) příjemce</w:t>
      </w:r>
    </w:p>
    <w:p w:rsidR="005D6DB2" w:rsidRPr="005D42A5" w:rsidRDefault="000B5DCF" w:rsidP="005D42A5">
      <w:proofErr w:type="gramStart"/>
      <w:r w:rsidRPr="005D42A5">
        <w:t>grantu</w:t>
      </w:r>
      <w:proofErr w:type="gramEnd"/>
      <w:r w:rsidRPr="005D42A5">
        <w:t xml:space="preserve"> nedoručí </w:t>
      </w:r>
      <w:r w:rsidR="00D51310" w:rsidRPr="005D42A5">
        <w:t xml:space="preserve"> Rozpočet nebo Grant nebo jeho část je použit v rozporu s podmínkami stanovenými v této Smlouvě, nebo d) Příjemce poruší kteroukoli svou povinnost vyplývající z článku 7 této Smlouvy.</w:t>
      </w:r>
    </w:p>
    <w:p w:rsidR="005D6DB2" w:rsidRPr="005D42A5" w:rsidRDefault="00D51310" w:rsidP="005D42A5">
      <w:r w:rsidRPr="005D42A5">
        <w:t xml:space="preserve">8.2 Smluvní pokutu uhradí příjemce do </w:t>
      </w:r>
      <w:proofErr w:type="gramStart"/>
      <w:r w:rsidRPr="005D42A5">
        <w:t>15 pracovních</w:t>
      </w:r>
      <w:proofErr w:type="gramEnd"/>
      <w:r w:rsidRPr="005D42A5">
        <w:t xml:space="preserve"> dnů od písemného oznámení Fondu. Zaplacením smluvní pokuty není dotčeno právo Fondu požadovat náhradu škody za škodu způsobenou Fondu.</w:t>
      </w:r>
    </w:p>
    <w:p w:rsidR="005D6DB2" w:rsidRPr="005D42A5" w:rsidRDefault="00D51310" w:rsidP="005D42A5">
      <w:r w:rsidRPr="005D42A5">
        <w:t xml:space="preserve">8.3 Fond je oprávněn odstoupit </w:t>
      </w:r>
      <w:proofErr w:type="gramStart"/>
      <w:r w:rsidRPr="005D42A5">
        <w:t>od</w:t>
      </w:r>
      <w:proofErr w:type="gramEnd"/>
      <w:r w:rsidRPr="005D42A5">
        <w:t xml:space="preserve"> Smlouvy v případě, že:</w:t>
      </w:r>
    </w:p>
    <w:tbl>
      <w:tblPr>
        <w:tblW w:w="0" w:type="auto"/>
        <w:tblInd w:w="331" w:type="dxa"/>
        <w:tblLayout w:type="fixed"/>
        <w:tblCellMar>
          <w:left w:w="0" w:type="dxa"/>
          <w:right w:w="0" w:type="dxa"/>
        </w:tblCellMar>
        <w:tblLook w:val="0000" w:firstRow="0" w:lastRow="0" w:firstColumn="0" w:lastColumn="0" w:noHBand="0" w:noVBand="0"/>
      </w:tblPr>
      <w:tblGrid>
        <w:gridCol w:w="10606"/>
      </w:tblGrid>
      <w:tr w:rsidR="005D6DB2" w:rsidRPr="005D42A5">
        <w:trPr>
          <w:trHeight w:hRule="exact" w:val="295"/>
        </w:trPr>
        <w:tc>
          <w:tcPr>
            <w:tcW w:w="10606" w:type="dxa"/>
            <w:tcBorders>
              <w:top w:val="single" w:sz="4" w:space="0" w:color="000000"/>
              <w:left w:val="single" w:sz="4" w:space="0" w:color="000000"/>
              <w:bottom w:val="single" w:sz="4" w:space="0" w:color="000000"/>
              <w:right w:val="single" w:sz="4" w:space="0" w:color="000000"/>
            </w:tcBorders>
            <w:vAlign w:val="center"/>
          </w:tcPr>
          <w:p w:rsidR="005D6DB2" w:rsidRPr="005D42A5" w:rsidRDefault="00D51310" w:rsidP="005D42A5">
            <w:r w:rsidRPr="005D42A5">
              <w:t>příjemce dotace poskytne jakýkoli druh nepravdivých/nesprávných údajů/informací, popř</w:t>
            </w:r>
          </w:p>
        </w:tc>
      </w:tr>
      <w:tr w:rsidR="005D6DB2" w:rsidRPr="005D42A5">
        <w:trPr>
          <w:trHeight w:hRule="exact" w:val="533"/>
        </w:trPr>
        <w:tc>
          <w:tcPr>
            <w:tcW w:w="10606" w:type="dxa"/>
            <w:tcBorders>
              <w:top w:val="single" w:sz="4" w:space="0" w:color="000000"/>
              <w:left w:val="single" w:sz="4" w:space="0" w:color="000000"/>
              <w:bottom w:val="single" w:sz="4" w:space="0" w:color="000000"/>
              <w:right w:val="single" w:sz="4" w:space="0" w:color="000000"/>
            </w:tcBorders>
          </w:tcPr>
          <w:p w:rsidR="005D6DB2" w:rsidRPr="005D42A5" w:rsidRDefault="00D51310" w:rsidP="005D42A5">
            <w:r w:rsidRPr="005D42A5">
              <w:t>některý ze smluvních požadavků není ze strany příjemce dodržen nebo je příjemcem grantu porušen a příjemce takový nedostatek nebo porušení neodstraní v dodatečné přiměřené lhůtě poskytnuté Fondem v písemné výzvě k nápravě, nebo</w:t>
            </w:r>
          </w:p>
        </w:tc>
      </w:tr>
      <w:tr w:rsidR="005D6DB2" w:rsidRPr="005D42A5">
        <w:trPr>
          <w:trHeight w:hRule="exact" w:val="522"/>
        </w:trPr>
        <w:tc>
          <w:tcPr>
            <w:tcW w:w="10606" w:type="dxa"/>
            <w:tcBorders>
              <w:top w:val="single" w:sz="4" w:space="0" w:color="000000"/>
              <w:left w:val="single" w:sz="4" w:space="0" w:color="000000"/>
              <w:bottom w:val="single" w:sz="4" w:space="0" w:color="000000"/>
              <w:right w:val="single" w:sz="4" w:space="0" w:color="000000"/>
            </w:tcBorders>
          </w:tcPr>
          <w:p w:rsidR="005D6DB2" w:rsidRPr="005D42A5" w:rsidRDefault="00D51310" w:rsidP="005D42A5">
            <w:proofErr w:type="gramStart"/>
            <w:r w:rsidRPr="005D42A5">
              <w:t>jsou</w:t>
            </w:r>
            <w:proofErr w:type="gramEnd"/>
            <w:r w:rsidRPr="005D42A5">
              <w:t xml:space="preserve"> zjištěny nedostatky, které by mohly podstatným způsobem ovlivnit výsledek nebo schválený harmonogram realizace Projektu, zejména, ale nikoli výhradně, Výstupy Projektu nesplňují požadavek dle této Smlouvy a jejích příloh, popř.</w:t>
            </w:r>
          </w:p>
        </w:tc>
      </w:tr>
      <w:tr w:rsidR="005D6DB2" w:rsidRPr="005D42A5">
        <w:trPr>
          <w:trHeight w:hRule="exact" w:val="292"/>
        </w:trPr>
        <w:tc>
          <w:tcPr>
            <w:tcW w:w="10606" w:type="dxa"/>
            <w:tcBorders>
              <w:top w:val="single" w:sz="4" w:space="0" w:color="000000"/>
              <w:left w:val="single" w:sz="4" w:space="0" w:color="000000"/>
              <w:bottom w:val="single" w:sz="4" w:space="0" w:color="000000"/>
              <w:right w:val="single" w:sz="4" w:space="0" w:color="000000"/>
            </w:tcBorders>
            <w:vAlign w:val="center"/>
          </w:tcPr>
          <w:p w:rsidR="005D6DB2" w:rsidRPr="005D42A5" w:rsidRDefault="00D51310" w:rsidP="005D42A5">
            <w:r w:rsidRPr="005D42A5">
              <w:t>poškozuje dobrou pověst Fondu příjemce, popř</w:t>
            </w:r>
          </w:p>
        </w:tc>
      </w:tr>
      <w:tr w:rsidR="005D6DB2" w:rsidRPr="005D42A5">
        <w:trPr>
          <w:trHeight w:hRule="exact" w:val="536"/>
        </w:trPr>
        <w:tc>
          <w:tcPr>
            <w:tcW w:w="10606" w:type="dxa"/>
            <w:tcBorders>
              <w:top w:val="single" w:sz="4" w:space="0" w:color="000000"/>
              <w:left w:val="single" w:sz="4" w:space="0" w:color="000000"/>
              <w:bottom w:val="single" w:sz="4" w:space="0" w:color="000000"/>
              <w:right w:val="single" w:sz="4" w:space="0" w:color="000000"/>
            </w:tcBorders>
          </w:tcPr>
          <w:p w:rsidR="005D6DB2" w:rsidRPr="005D42A5" w:rsidRDefault="00D51310" w:rsidP="005D42A5">
            <w:r w:rsidRPr="005D42A5">
              <w:t>Fond se dozví o zneužití finančních prostředků poskytnutých Příjemci Fondem nebo jsou prostředky poskytnuté Fondem použity úmyslně či z nedbalosti k jinému účelu uvedenému v Projektu.</w:t>
            </w:r>
          </w:p>
        </w:tc>
      </w:tr>
    </w:tbl>
    <w:p w:rsidR="005D6DB2" w:rsidRPr="005D42A5" w:rsidRDefault="005D6DB2" w:rsidP="005D42A5"/>
    <w:p w:rsidR="005D6DB2" w:rsidRPr="005D42A5" w:rsidRDefault="00D51310" w:rsidP="005D42A5">
      <w:r w:rsidRPr="005D42A5">
        <w:t xml:space="preserve">8.4 Oznámení o odstoupení se doručuje písemně, osobně nebo doporučeně poštou </w:t>
      </w:r>
      <w:proofErr w:type="gramStart"/>
      <w:r w:rsidRPr="005D42A5">
        <w:t>na</w:t>
      </w:r>
      <w:proofErr w:type="gramEnd"/>
      <w:r w:rsidRPr="005D42A5">
        <w:t xml:space="preserve"> adresu příslušné smluvní strany uvedenou v této smlouvě. Oznámení o odstoupení se považuje za doručené dnem jeho doručení. Je-li doručení oznámení o odstoupení příslušnou smluvní stranou odmítnuto, je dnem odmítnutí datum doručení. V případě poštovních zásilek se oznámení o odstoupení považuje za doručené třetím dnem jeho poštovního uložení, bez ohledu </w:t>
      </w:r>
      <w:proofErr w:type="gramStart"/>
      <w:r w:rsidRPr="005D42A5">
        <w:t>na</w:t>
      </w:r>
      <w:proofErr w:type="gramEnd"/>
      <w:r w:rsidRPr="005D42A5">
        <w:t xml:space="preserve"> to, že</w:t>
      </w:r>
    </w:p>
    <w:p w:rsidR="005D6DB2" w:rsidRPr="005D42A5" w:rsidRDefault="00D51310" w:rsidP="005D42A5">
      <w:proofErr w:type="gramStart"/>
      <w:r w:rsidRPr="005D42A5">
        <w:t>se</w:t>
      </w:r>
      <w:proofErr w:type="gramEnd"/>
      <w:r w:rsidRPr="005D42A5">
        <w:t xml:space="preserve"> adresát o tomto uložení dozvěděl.</w:t>
      </w:r>
    </w:p>
    <w:p w:rsidR="005D6DB2" w:rsidRPr="005D42A5" w:rsidRDefault="00D51310" w:rsidP="005D42A5">
      <w:r w:rsidRPr="005D42A5">
        <w:t xml:space="preserve">8.5 Dojde-li k ukončení Smlouvy odstoupením Fondu </w:t>
      </w:r>
      <w:proofErr w:type="gramStart"/>
      <w:r w:rsidRPr="005D42A5">
        <w:t>od</w:t>
      </w:r>
      <w:proofErr w:type="gramEnd"/>
      <w:r w:rsidRPr="005D42A5">
        <w:t xml:space="preserve"> ní, je Příjemce automaticky povinen vrátit Fondu částku vyplacené Dotace do 15 pracovních dnů.</w:t>
      </w:r>
    </w:p>
    <w:p w:rsidR="005D6DB2" w:rsidRPr="005D42A5" w:rsidRDefault="00D51310" w:rsidP="005D42A5">
      <w:r w:rsidRPr="005D42A5">
        <w:t>8.6 V případě, že Příjemce nedodrží Rozpočet nebo Grant či jeho část použije v rozporu s podmínkami stanovenými v této Smlouvě, je Příjemce povinen vrátit Fondu částku vypl</w:t>
      </w:r>
      <w:r w:rsidR="000B5DCF" w:rsidRPr="005D42A5">
        <w:t xml:space="preserve">aceného Grantu do 15 pracovních dnů na </w:t>
      </w:r>
      <w:r w:rsidRPr="005D42A5">
        <w:t>výzvu fondu.</w:t>
      </w:r>
    </w:p>
    <w:p w:rsidR="005D6DB2" w:rsidRPr="005D42A5" w:rsidRDefault="00D51310" w:rsidP="005D42A5">
      <w:r w:rsidRPr="005D42A5">
        <w:t>8.7 Zjistí-li Fond nedostatky, které by mohly podstatným způsobem ovlivnit výsledek nebo schválený harmonogram realizace Projektu, vyhrazuje si Fond právo pozastavit výplatu Dotace nebo jakékoli její části na dobu určitou.</w:t>
      </w:r>
    </w:p>
    <w:p w:rsidR="005D6DB2" w:rsidRPr="005D42A5" w:rsidRDefault="00D51310" w:rsidP="005D42A5">
      <w:r w:rsidRPr="005D42A5">
        <w:t xml:space="preserve">8.8 Pokud se Fond kdykoli (tj. i po realizaci Projektu) dozví o zneužití finančních prostředků poskytnutých Fondem příjemci a/nebo o neohlášených změnách v rámci Projektu a vnitřních změnách příjemce ovlivňujících čerpání grantu. </w:t>
      </w:r>
      <w:proofErr w:type="gramStart"/>
      <w:r w:rsidRPr="005D42A5">
        <w:t>poskytnutý</w:t>
      </w:r>
      <w:proofErr w:type="gramEnd"/>
      <w:r w:rsidRPr="005D42A5">
        <w:t xml:space="preserve"> Grant (zejména, nikoli však výhradně, změny jména, sídla, statutárních zástupců, registrace k DPH apod.), je příjemce povinen vrátit Fondu celou poskytnutou částku do 15 pracovních dnů na výzvu fondu.</w:t>
      </w:r>
    </w:p>
    <w:p w:rsidR="005D6DB2" w:rsidRPr="005D42A5" w:rsidRDefault="005D6DB2" w:rsidP="005D42A5">
      <w:pPr>
        <w:sectPr w:rsidR="005D6DB2" w:rsidRPr="005D42A5">
          <w:pgSz w:w="11918" w:h="16854"/>
          <w:pgMar w:top="172" w:right="438" w:bottom="1672" w:left="460" w:header="720" w:footer="720" w:gutter="0"/>
          <w:cols w:space="708"/>
        </w:sectPr>
      </w:pPr>
    </w:p>
    <w:p w:rsidR="005D6DB2" w:rsidRDefault="008908C5" w:rsidP="008908C5">
      <w:pPr>
        <w:jc w:val="center"/>
      </w:pPr>
      <w:r>
        <w:lastRenderedPageBreak/>
        <w:t xml:space="preserve">9. </w:t>
      </w:r>
      <w:r w:rsidR="00D51310" w:rsidRPr="005D42A5">
        <w:t>ZPRACOVÁNÍ OSOBNÍCH ÚDAJŮ</w:t>
      </w:r>
    </w:p>
    <w:p w:rsidR="008908C5" w:rsidRPr="005D42A5" w:rsidRDefault="008908C5" w:rsidP="008908C5">
      <w:pPr>
        <w:jc w:val="center"/>
      </w:pPr>
    </w:p>
    <w:p w:rsidR="005D6DB2" w:rsidRPr="005D42A5" w:rsidRDefault="00D51310" w:rsidP="005D42A5">
      <w:r w:rsidRPr="005D42A5">
        <w:t xml:space="preserve">9.1 Smluvní strany se dohodly, že každá smluvní strana je povinna dodržovat příslušné předpisy související se zpracováním osobních údajů zejména dle Nařízení Evropského parlamentu a Rady (EU) 2016/679 ze dne 27. </w:t>
      </w:r>
      <w:proofErr w:type="gramStart"/>
      <w:r w:rsidRPr="005D42A5">
        <w:t>dubna</w:t>
      </w:r>
      <w:proofErr w:type="gramEnd"/>
      <w:r w:rsidRPr="005D42A5">
        <w:t xml:space="preserve"> 2016, o ochraně přírodních osob v souvislosti se zpracováním osobních údajů a o volném pohybu těchto údajů a o zrušení směrnice 95/46/ES (obecné nařízení o ochraně osobních údajů) na vlastní odpovědnost, pokud není v této dohodě uvedeno jinak.</w:t>
      </w:r>
    </w:p>
    <w:p w:rsidR="005D6DB2" w:rsidRPr="005D42A5" w:rsidRDefault="00D51310" w:rsidP="005D42A5">
      <w:r w:rsidRPr="005D42A5">
        <w:t xml:space="preserve">9.2 Smluvní strany se dohodly, že povinnost Fondu vyplývající z čl. 14 Obecného nařízení o ochraně osobních údajů vůči všem žadatelům/ dotčeným osobám, jejichž osobní údaje bude příjemce </w:t>
      </w:r>
      <w:proofErr w:type="gramStart"/>
      <w:r w:rsidRPr="005D42A5">
        <w:t>na</w:t>
      </w:r>
      <w:proofErr w:type="gramEnd"/>
      <w:r w:rsidRPr="005D42A5">
        <w:t xml:space="preserve"> základě této smlouvy Fondu poskytovat - poskytnout všem žadatelům/dotčeným</w:t>
      </w:r>
      <w:r w:rsidR="000B5DCF" w:rsidRPr="005D42A5">
        <w:t xml:space="preserve"> </w:t>
      </w:r>
      <w:r w:rsidRPr="005D42A5">
        <w:t>osobám s informacemi o zpracování jejich osobních údajů Fondem ponese příjemce grantu. Příjemce grantu je povinen zejména předat všem žadatelům/ dotčeným spolu s přijetím žádosti o finanční podporu písemnou informaci o zpracování osobních údajů jménem Fondu proti potvrzení příslušného žadatele/dotčené osoby. Vzor písemných informací o zpracování osobních údajů žadatelů Fondem tvoří přílohu č. 2 této smlouvy.</w:t>
      </w:r>
    </w:p>
    <w:p w:rsidR="005D6DB2" w:rsidRDefault="00D51310" w:rsidP="005D42A5">
      <w:r w:rsidRPr="005D42A5">
        <w:t>9.3 Příjemce je povinen doručit písemnou informaci o zpracování osobních údajů Fondem potvrzenou všemi žadateli/dotčenými osobami spolu se seznamem žadatelů.</w:t>
      </w:r>
    </w:p>
    <w:p w:rsidR="008908C5" w:rsidRPr="005D42A5" w:rsidRDefault="008908C5" w:rsidP="005D42A5"/>
    <w:p w:rsidR="005D6DB2" w:rsidRPr="005D42A5" w:rsidRDefault="008908C5" w:rsidP="008908C5">
      <w:pPr>
        <w:jc w:val="center"/>
      </w:pPr>
      <w:r>
        <w:t xml:space="preserve">10. </w:t>
      </w:r>
      <w:r w:rsidR="00D51310" w:rsidRPr="005D42A5">
        <w:t>ZÁVĚREČNÁ USTANOVENÍ</w:t>
      </w:r>
    </w:p>
    <w:p w:rsidR="008908C5" w:rsidRDefault="008908C5" w:rsidP="005D42A5"/>
    <w:p w:rsidR="005D6DB2" w:rsidRPr="005D42A5" w:rsidRDefault="00D51310" w:rsidP="005D42A5">
      <w:r w:rsidRPr="005D42A5">
        <w:t>10.1 Tato smlouva se řídí slovenským právem. Na vztahy upravené touto Smlouvou z ní vyplývající a související s touto Smlouvou se použijí příslušná ustanovení Občanského zákoníku Slovenské republiky a dalších souvisejících předpisů Slovenské republiky.</w:t>
      </w:r>
    </w:p>
    <w:p w:rsidR="005D6DB2" w:rsidRPr="005D42A5" w:rsidRDefault="00D51310" w:rsidP="005D42A5">
      <w:r w:rsidRPr="005D42A5">
        <w:t>10.2 Případné spory vyplývající z této smlouvy, které nebylo možné vyřešit vzájemnou dohodou smluvních stran, budou řešeny slovenskými soudy.</w:t>
      </w:r>
    </w:p>
    <w:p w:rsidR="005D6DB2" w:rsidRPr="005D42A5" w:rsidRDefault="00D51310" w:rsidP="005D42A5">
      <w:r w:rsidRPr="005D42A5">
        <w:t xml:space="preserve">10.3 Tato Smlouva nabývá platnosti dnem jejího podpisu oběma Smluvními stranami. Tato Smlouva se uzavírá </w:t>
      </w:r>
      <w:proofErr w:type="gramStart"/>
      <w:r w:rsidRPr="005D42A5">
        <w:t>na</w:t>
      </w:r>
      <w:proofErr w:type="gramEnd"/>
      <w:r w:rsidRPr="005D42A5">
        <w:t xml:space="preserve"> dobu určitou do 23.</w:t>
      </w:r>
      <w:r w:rsidR="009A7CDC" w:rsidRPr="005D42A5">
        <w:t xml:space="preserve"> </w:t>
      </w:r>
      <w:r w:rsidRPr="005D42A5">
        <w:t>08.</w:t>
      </w:r>
      <w:r w:rsidR="009A7CDC" w:rsidRPr="005D42A5">
        <w:t xml:space="preserve"> </w:t>
      </w:r>
      <w:r w:rsidRPr="005D42A5">
        <w:t xml:space="preserve">2024 (tj. doba realizace + 50 pracovních dnů), s výjimkou ustanovení v bodě 8.8 této smlouvy, které zůstává platné </w:t>
      </w:r>
      <w:proofErr w:type="gramStart"/>
      <w:r w:rsidRPr="005D42A5">
        <w:t>a</w:t>
      </w:r>
      <w:proofErr w:type="gramEnd"/>
      <w:r w:rsidRPr="005D42A5">
        <w:t xml:space="preserve"> účinné po dobu neurčitou.</w:t>
      </w:r>
    </w:p>
    <w:p w:rsidR="005D6DB2" w:rsidRPr="005D42A5" w:rsidRDefault="00D51310" w:rsidP="005D42A5">
      <w:r w:rsidRPr="005D42A5">
        <w:t xml:space="preserve">10.4 Obě smluvní strany prohlašují, že tuto Smlouvu uzavírají ze své svobodné vůle, přečetly si její obsah a </w:t>
      </w:r>
      <w:proofErr w:type="gramStart"/>
      <w:r w:rsidRPr="005D42A5">
        <w:t>na</w:t>
      </w:r>
      <w:proofErr w:type="gramEnd"/>
      <w:r w:rsidRPr="005D42A5">
        <w:t xml:space="preserve"> důkaz svého souhlasu s jejím zněním ji dobrovolně podepisují jako správnou.</w:t>
      </w:r>
    </w:p>
    <w:p w:rsidR="005D6DB2" w:rsidRPr="005D42A5" w:rsidRDefault="00D51310" w:rsidP="005D42A5">
      <w:r w:rsidRPr="005D42A5">
        <w:t>10.5 Smlouva je vyhotovena ve dvou stejných stejnopisech v anglickém jazyce. Každá smluvní strana obdrží jeden stejnopis smlouvy.</w:t>
      </w:r>
    </w:p>
    <w:p w:rsidR="008908C5" w:rsidRDefault="008908C5" w:rsidP="005D42A5"/>
    <w:p w:rsidR="005D6DB2" w:rsidRDefault="00D51310" w:rsidP="005D42A5">
      <w:r w:rsidRPr="005D42A5">
        <w:t>V Bratislavě dne 10.</w:t>
      </w:r>
      <w:r w:rsidR="009A7CDC" w:rsidRPr="005D42A5">
        <w:t xml:space="preserve"> </w:t>
      </w:r>
      <w:r w:rsidRPr="005D42A5">
        <w:t>01.</w:t>
      </w:r>
      <w:r w:rsidR="009A7CDC" w:rsidRPr="005D42A5">
        <w:t xml:space="preserve"> </w:t>
      </w:r>
      <w:r w:rsidRPr="005D42A5">
        <w:t>2024</w:t>
      </w:r>
    </w:p>
    <w:p w:rsidR="008908C5" w:rsidRDefault="008908C5" w:rsidP="005D42A5"/>
    <w:p w:rsidR="008908C5" w:rsidRDefault="008908C5" w:rsidP="005D42A5"/>
    <w:p w:rsidR="008908C5" w:rsidRPr="005D42A5" w:rsidRDefault="008908C5" w:rsidP="005D42A5"/>
    <w:p w:rsidR="005D6DB2" w:rsidRPr="005D42A5" w:rsidRDefault="00D51310" w:rsidP="005D42A5">
      <w:r w:rsidRPr="005D42A5">
        <w:t>Podpis statutárního zástupce Fondu</w:t>
      </w:r>
      <w:r w:rsidRPr="005D42A5">
        <w:tab/>
        <w:t>Podpis statutárního zástupce (zástupců) příjemce grantu</w:t>
      </w:r>
    </w:p>
    <w:sectPr w:rsidR="005D6DB2" w:rsidRPr="005D42A5">
      <w:pgSz w:w="11918" w:h="16854"/>
      <w:pgMar w:top="108" w:right="602" w:bottom="6956" w:left="296"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C12"/>
    <w:multiLevelType w:val="multilevel"/>
    <w:tmpl w:val="1A0A7C0A"/>
    <w:lvl w:ilvl="0">
      <w:start w:val="1"/>
      <w:numFmt w:val="lowerLetter"/>
      <w:lvlText w:val="%1)"/>
      <w:lvlJc w:val="left"/>
      <w:pPr>
        <w:tabs>
          <w:tab w:val="decimal" w:pos="216"/>
        </w:tabs>
        <w:ind w:left="720"/>
      </w:pPr>
      <w:rPr>
        <w:rFonts w:ascii="Tahoma" w:hAnsi="Tahoma"/>
        <w:strike w:val="0"/>
        <w:color w:val="000000"/>
        <w:spacing w:val="7"/>
        <w:w w:val="100"/>
        <w:sz w:val="1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3248F"/>
    <w:multiLevelType w:val="multilevel"/>
    <w:tmpl w:val="66DEDEB4"/>
    <w:lvl w:ilvl="0">
      <w:start w:val="9"/>
      <w:numFmt w:val="decimal"/>
      <w:lvlText w:val="%1."/>
      <w:lvlJc w:val="left"/>
      <w:pPr>
        <w:tabs>
          <w:tab w:val="decimal" w:pos="144"/>
        </w:tabs>
        <w:ind w:left="720"/>
      </w:pPr>
      <w:rPr>
        <w:rFonts w:ascii="Arial" w:hAnsi="Arial"/>
        <w:strike w:val="0"/>
        <w:color w:val="000000"/>
        <w:spacing w:val="0"/>
        <w:w w:val="100"/>
        <w:sz w:val="1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F11CDB"/>
    <w:multiLevelType w:val="multilevel"/>
    <w:tmpl w:val="6B867810"/>
    <w:lvl w:ilvl="0">
      <w:start w:val="6"/>
      <w:numFmt w:val="decimal"/>
      <w:lvlText w:val="%1."/>
      <w:lvlJc w:val="left"/>
      <w:pPr>
        <w:tabs>
          <w:tab w:val="decimal" w:pos="144"/>
        </w:tabs>
        <w:ind w:left="720"/>
      </w:pPr>
      <w:rPr>
        <w:rFonts w:ascii="Tahoma" w:hAnsi="Tahoma"/>
        <w:strike w:val="0"/>
        <w:color w:val="000000"/>
        <w:spacing w:val="12"/>
        <w:w w:val="100"/>
        <w:sz w:val="1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6D4336"/>
    <w:multiLevelType w:val="multilevel"/>
    <w:tmpl w:val="6122C8DA"/>
    <w:lvl w:ilvl="0">
      <w:start w:val="3"/>
      <w:numFmt w:val="decimal"/>
      <w:lvlText w:val="%1."/>
      <w:lvlJc w:val="left"/>
      <w:pPr>
        <w:tabs>
          <w:tab w:val="decimal" w:pos="144"/>
        </w:tabs>
        <w:ind w:left="720"/>
      </w:pPr>
      <w:rPr>
        <w:rFonts w:ascii="Verdana" w:hAnsi="Verdana"/>
        <w:strike w:val="0"/>
        <w:color w:val="000000"/>
        <w:spacing w:val="19"/>
        <w:w w:val="100"/>
        <w:sz w:val="1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DB1C2D"/>
    <w:multiLevelType w:val="multilevel"/>
    <w:tmpl w:val="47A4DD6A"/>
    <w:lvl w:ilvl="0">
      <w:start w:val="7"/>
      <w:numFmt w:val="decimal"/>
      <w:lvlText w:val="%1."/>
      <w:lvlJc w:val="left"/>
      <w:pPr>
        <w:tabs>
          <w:tab w:val="decimal" w:pos="144"/>
        </w:tabs>
        <w:ind w:left="720"/>
      </w:pPr>
      <w:rPr>
        <w:rFonts w:ascii="Tahoma" w:hAnsi="Tahoma"/>
        <w:strike w:val="0"/>
        <w:color w:val="000000"/>
        <w:spacing w:val="16"/>
        <w:w w:val="100"/>
        <w:sz w:val="1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136D2C"/>
    <w:multiLevelType w:val="multilevel"/>
    <w:tmpl w:val="EB7CA01A"/>
    <w:lvl w:ilvl="0">
      <w:start w:val="1"/>
      <w:numFmt w:val="decimal"/>
      <w:lvlText w:val="%1."/>
      <w:lvlJc w:val="left"/>
      <w:pPr>
        <w:tabs>
          <w:tab w:val="decimal" w:pos="144"/>
        </w:tabs>
        <w:ind w:left="720"/>
      </w:pPr>
      <w:rPr>
        <w:rFonts w:ascii="Arial" w:hAnsi="Arial"/>
        <w:b/>
        <w:strike w:val="0"/>
        <w:color w:val="000000"/>
        <w:spacing w:val="-4"/>
        <w:w w:val="100"/>
        <w:sz w:val="15"/>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494DE7"/>
    <w:multiLevelType w:val="multilevel"/>
    <w:tmpl w:val="CAFC9BE4"/>
    <w:lvl w:ilvl="0">
      <w:start w:val="1"/>
      <w:numFmt w:val="lowerLetter"/>
      <w:lvlText w:val="%1)"/>
      <w:lvlJc w:val="left"/>
      <w:pPr>
        <w:tabs>
          <w:tab w:val="decimal" w:pos="216"/>
        </w:tabs>
        <w:ind w:left="720"/>
      </w:pPr>
      <w:rPr>
        <w:rFonts w:ascii="Verdana" w:hAnsi="Verdana"/>
        <w:strike w:val="0"/>
        <w:color w:val="000000"/>
        <w:spacing w:val="0"/>
        <w:w w:val="100"/>
        <w:sz w:val="1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7945CE"/>
    <w:multiLevelType w:val="multilevel"/>
    <w:tmpl w:val="7AAA6DDE"/>
    <w:lvl w:ilvl="0">
      <w:start w:val="1"/>
      <w:numFmt w:val="lowerLetter"/>
      <w:lvlText w:val="%1)"/>
      <w:lvlJc w:val="left"/>
      <w:pPr>
        <w:tabs>
          <w:tab w:val="decimal" w:pos="144"/>
        </w:tabs>
        <w:ind w:left="720"/>
      </w:pPr>
      <w:rPr>
        <w:rFonts w:ascii="Tahoma" w:hAnsi="Tahoma"/>
        <w:strike w:val="0"/>
        <w:color w:val="000000"/>
        <w:spacing w:val="9"/>
        <w:w w:val="100"/>
        <w:sz w:val="1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C81E0D"/>
    <w:multiLevelType w:val="multilevel"/>
    <w:tmpl w:val="18C6BF64"/>
    <w:lvl w:ilvl="0">
      <w:start w:val="1"/>
      <w:numFmt w:val="bullet"/>
      <w:lvlText w:val=""/>
      <w:lvlJc w:val="left"/>
      <w:pPr>
        <w:tabs>
          <w:tab w:val="decimal" w:pos="72"/>
        </w:tabs>
        <w:ind w:left="720"/>
      </w:pPr>
      <w:rPr>
        <w:rFonts w:ascii="Symbol" w:hAnsi="Symbol"/>
        <w:strike w:val="0"/>
        <w:color w:val="000000"/>
        <w:spacing w:val="7"/>
        <w:w w:val="100"/>
        <w:sz w:val="1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8"/>
  </w:num>
  <w:num w:numId="4">
    <w:abstractNumId w:val="7"/>
  </w:num>
  <w:num w:numId="5">
    <w:abstractNumId w:val="2"/>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B2"/>
    <w:rsid w:val="00070B9D"/>
    <w:rsid w:val="000B5DCF"/>
    <w:rsid w:val="005B5C2C"/>
    <w:rsid w:val="005D42A5"/>
    <w:rsid w:val="005D6DB2"/>
    <w:rsid w:val="00623137"/>
    <w:rsid w:val="006C18C5"/>
    <w:rsid w:val="008908C5"/>
    <w:rsid w:val="009320EA"/>
    <w:rsid w:val="009A7CDC"/>
    <w:rsid w:val="00AC445E"/>
    <w:rsid w:val="00C476E7"/>
    <w:rsid w:val="00CB50E5"/>
    <w:rsid w:val="00D51310"/>
    <w:rsid w:val="00F06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ED79"/>
  <w15:docId w15:val="{8C0148C2-3830-4F24-82A3-93BFC76B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42A5"/>
    <w:pPr>
      <w:ind w:left="720"/>
      <w:contextualSpacing/>
    </w:pPr>
  </w:style>
  <w:style w:type="character" w:styleId="Hypertextovodkaz">
    <w:name w:val="Hyperlink"/>
    <w:basedOn w:val="Standardnpsmoodstavce"/>
    <w:uiPriority w:val="99"/>
    <w:unhideWhenUsed/>
    <w:rsid w:val="005D42A5"/>
    <w:rPr>
      <w:color w:val="0000FF" w:themeColor="hyperlink"/>
      <w:u w:val="single"/>
    </w:rPr>
  </w:style>
  <w:style w:type="paragraph" w:styleId="Textbubliny">
    <w:name w:val="Balloon Text"/>
    <w:basedOn w:val="Normln"/>
    <w:link w:val="TextbublinyChar"/>
    <w:uiPriority w:val="99"/>
    <w:semiHidden/>
    <w:unhideWhenUsed/>
    <w:rsid w:val="009320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2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p&#345;.na" TargetMode="External"/><Relationship Id="rId3" Type="http://schemas.openxmlformats.org/officeDocument/2006/relationships/settings" Target="settings.xml"/><Relationship Id="rId7" Type="http://schemas.openxmlformats.org/officeDocument/2006/relationships/hyperlink" Target="http://www.visegrad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egradfund.org" TargetMode="External"/><Relationship Id="rId5" Type="http://schemas.openxmlformats.org/officeDocument/2006/relationships/hyperlink" Target="http://www.visegradfu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2569</Words>
  <Characters>15161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Millerová</dc:creator>
  <cp:keywords/>
  <dc:description/>
  <cp:lastModifiedBy>Iva Hubínková</cp:lastModifiedBy>
  <cp:revision>4</cp:revision>
  <cp:lastPrinted>2024-02-15T08:50:00Z</cp:lastPrinted>
  <dcterms:created xsi:type="dcterms:W3CDTF">2024-02-15T08:49:00Z</dcterms:created>
  <dcterms:modified xsi:type="dcterms:W3CDTF">2024-02-15T08:51:00Z</dcterms:modified>
</cp:coreProperties>
</file>