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99AA" w14:textId="55DC1443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D65784">
        <w:rPr>
          <w:rFonts w:ascii="Palatino Linotype" w:hAnsi="Palatino Linotype"/>
          <w:b/>
          <w:bCs/>
          <w:smallCaps/>
          <w:sz w:val="18"/>
          <w:szCs w:val="18"/>
        </w:rPr>
        <w:t>467/2023</w:t>
      </w:r>
    </w:p>
    <w:p w14:paraId="6CA00B36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52DB0B8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38553B7D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8D80C44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535B6F15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5C1656C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175CD68D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F9F8B81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06B7BB1E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51922CEA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FD1DDA1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295E0E3D" w14:textId="77777777" w:rsidR="00D65784" w:rsidRPr="001F0491" w:rsidRDefault="00D65784" w:rsidP="00D65784">
      <w:pPr>
        <w:rPr>
          <w:rFonts w:ascii="Palatino Linotype" w:hAnsi="Palatino Linotype"/>
          <w:b/>
          <w:sz w:val="18"/>
          <w:szCs w:val="18"/>
        </w:rPr>
      </w:pPr>
      <w:r w:rsidRPr="001F0491">
        <w:rPr>
          <w:rFonts w:ascii="Palatino Linotype" w:hAnsi="Palatino Linotype"/>
          <w:b/>
          <w:sz w:val="18"/>
          <w:szCs w:val="18"/>
        </w:rPr>
        <w:t>Galerie hlavního města Prahy</w:t>
      </w:r>
    </w:p>
    <w:p w14:paraId="1854F249" w14:textId="77777777" w:rsidR="00D65784" w:rsidRPr="001F0491" w:rsidRDefault="00D65784" w:rsidP="00D65784">
      <w:pPr>
        <w:rPr>
          <w:rFonts w:ascii="Palatino Linotype" w:hAnsi="Palatino Linotype"/>
          <w:sz w:val="18"/>
          <w:szCs w:val="18"/>
        </w:rPr>
      </w:pPr>
      <w:r w:rsidRPr="001F0491">
        <w:rPr>
          <w:rFonts w:ascii="Palatino Linotype" w:hAnsi="Palatino Linotype"/>
          <w:sz w:val="18"/>
          <w:szCs w:val="18"/>
        </w:rPr>
        <w:t>Staroměstské náměstí 605/13, 110 00 Praha 1</w:t>
      </w:r>
    </w:p>
    <w:p w14:paraId="0DDF8FDF" w14:textId="77777777" w:rsidR="00D65784" w:rsidRPr="001F0491" w:rsidRDefault="00D65784" w:rsidP="00D65784">
      <w:pPr>
        <w:rPr>
          <w:rFonts w:ascii="Palatino Linotype" w:hAnsi="Palatino Linotype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zastoupená PhDr. Magdalenou Juříkovou, ředitelkou</w:t>
      </w:r>
    </w:p>
    <w:p w14:paraId="549F1E13" w14:textId="77777777" w:rsidR="00D65784" w:rsidRPr="001F0491" w:rsidRDefault="00D65784" w:rsidP="00D65784">
      <w:pPr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IČ: 00064416</w:t>
      </w:r>
    </w:p>
    <w:p w14:paraId="7751A45A" w14:textId="77777777" w:rsidR="00D65784" w:rsidRPr="001F0491" w:rsidRDefault="00D65784" w:rsidP="00D65784">
      <w:pPr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DIČ: CZ00064416</w:t>
      </w:r>
    </w:p>
    <w:p w14:paraId="121B0EA7" w14:textId="77777777" w:rsidR="00D65784" w:rsidRPr="001F0491" w:rsidRDefault="00D65784" w:rsidP="00D6578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F0491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31C34193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AB761EC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58345314" w14:textId="4F958A51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5B178E">
        <w:rPr>
          <w:rFonts w:ascii="Palatino Linotype" w:hAnsi="Palatino Linotype"/>
          <w:sz w:val="18"/>
          <w:szCs w:val="18"/>
        </w:rPr>
        <w:t>7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6A6416E1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1CCEB62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12F4FD6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4F1691C5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FE301EB" w14:textId="52109F54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</w:t>
      </w:r>
      <w:r w:rsidRPr="00D65784">
        <w:rPr>
          <w:rFonts w:ascii="Palatino Linotype" w:hAnsi="Palatino Linotype"/>
          <w:sz w:val="18"/>
          <w:szCs w:val="18"/>
        </w:rPr>
        <w:t>zavazuje uhradit veškeré náklady spojené s realizací výpůjčky</w:t>
      </w:r>
      <w:r w:rsidR="00850BC7" w:rsidRPr="00D65784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D65784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D65784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D65784">
        <w:rPr>
          <w:rFonts w:ascii="Palatino Linotype" w:hAnsi="Palatino Linotype"/>
          <w:snapToGrid/>
          <w:sz w:val="18"/>
          <w:szCs w:val="18"/>
        </w:rPr>
        <w:t> </w:t>
      </w:r>
      <w:r w:rsidR="00850BC7" w:rsidRPr="00D65784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D65784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D65784">
        <w:rPr>
          <w:rFonts w:ascii="Palatino Linotype" w:hAnsi="Palatino Linotype"/>
          <w:snapToGrid/>
          <w:sz w:val="18"/>
          <w:szCs w:val="18"/>
        </w:rPr>
        <w:t>.</w:t>
      </w:r>
    </w:p>
    <w:p w14:paraId="32CD558F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0A5829D7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49DD3E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3B97FF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2E6E3A7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55C588B9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751CE233" w14:textId="77777777" w:rsidR="00750228" w:rsidRPr="001D381F" w:rsidRDefault="00750228" w:rsidP="00750228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Přepravu předmětu výpůjčky na místo určení a zpět na místo vrácení nebo tam, kam Půjčitel určí, obstará Vypůjčitel na svůj náklad a nebezpečí, a to za podmínek</w:t>
      </w:r>
      <w:r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Vypůjčitele. </w:t>
      </w:r>
    </w:p>
    <w:p w14:paraId="701EC565" w14:textId="77777777" w:rsidR="00750228" w:rsidRPr="001D381F" w:rsidRDefault="00750228" w:rsidP="00750228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Podmínky balení Předmětu výpůjčky při transportu jsou blíže specifikovány v příloze č. 1 této smlouvy.</w:t>
      </w:r>
    </w:p>
    <w:p w14:paraId="4B8A7879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A3C86E9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1F106107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2670ED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6B19BB5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76AF58C6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3FEDA4F5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1ADE1CC1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601D21B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1EE64647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D65784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0322DDED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6BA86F30" w14:textId="0EA39E84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</w:t>
      </w:r>
      <w:r w:rsidR="000666EC" w:rsidRPr="009B6A01">
        <w:rPr>
          <w:rFonts w:ascii="Palatino Linotype" w:hAnsi="Palatino Linotype"/>
          <w:sz w:val="18"/>
          <w:szCs w:val="18"/>
        </w:rPr>
        <w:t xml:space="preserve">ICCROM, tj. při teplotě </w:t>
      </w:r>
      <w:r w:rsidR="00850BC7" w:rsidRPr="009B6A01">
        <w:rPr>
          <w:rFonts w:ascii="Palatino Linotype" w:hAnsi="Palatino Linotype"/>
          <w:sz w:val="18"/>
          <w:szCs w:val="18"/>
        </w:rPr>
        <w:t>20 ± 2°</w:t>
      </w:r>
      <w:r w:rsidR="000666EC" w:rsidRPr="009B6A01">
        <w:rPr>
          <w:rFonts w:ascii="Palatino Linotype" w:hAnsi="Palatino Linotype"/>
          <w:sz w:val="18"/>
          <w:szCs w:val="18"/>
        </w:rPr>
        <w:t>C</w:t>
      </w:r>
      <w:r w:rsidR="009B6A01" w:rsidRPr="009B6A01">
        <w:rPr>
          <w:rFonts w:ascii="Palatino Linotype" w:hAnsi="Palatino Linotype"/>
          <w:sz w:val="18"/>
          <w:szCs w:val="18"/>
        </w:rPr>
        <w:t xml:space="preserve">, </w:t>
      </w:r>
      <w:r w:rsidR="000666EC" w:rsidRPr="009B6A01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9B6A01">
        <w:rPr>
          <w:rFonts w:ascii="Palatino Linotype" w:hAnsi="Palatino Linotype"/>
          <w:sz w:val="18"/>
          <w:szCs w:val="18"/>
        </w:rPr>
        <w:t>50</w:t>
      </w:r>
      <w:r w:rsidR="000666EC" w:rsidRPr="009B6A01">
        <w:rPr>
          <w:rFonts w:ascii="Palatino Linotype" w:hAnsi="Palatino Linotype"/>
          <w:sz w:val="18"/>
          <w:szCs w:val="18"/>
        </w:rPr>
        <w:t xml:space="preserve"> </w:t>
      </w:r>
      <w:r w:rsidR="00850BC7" w:rsidRPr="009B6A01">
        <w:rPr>
          <w:rFonts w:ascii="Palatino Linotype" w:hAnsi="Palatino Linotype"/>
          <w:sz w:val="18"/>
          <w:szCs w:val="18"/>
        </w:rPr>
        <w:t xml:space="preserve">± </w:t>
      </w:r>
      <w:r w:rsidR="000666EC" w:rsidRPr="009B6A01">
        <w:rPr>
          <w:rFonts w:ascii="Palatino Linotype" w:hAnsi="Palatino Linotype"/>
          <w:sz w:val="18"/>
          <w:szCs w:val="18"/>
        </w:rPr>
        <w:t>5 %</w:t>
      </w:r>
      <w:r w:rsidR="009B6A01" w:rsidRPr="009B6A01">
        <w:rPr>
          <w:rFonts w:ascii="Palatino Linotype" w:hAnsi="Palatino Linotype"/>
          <w:sz w:val="18"/>
          <w:szCs w:val="18"/>
        </w:rPr>
        <w:t xml:space="preserve"> a intenzitě osvětlení max. 150 luxů</w:t>
      </w:r>
      <w:r w:rsidR="000666EC" w:rsidRPr="009B6A01">
        <w:rPr>
          <w:rFonts w:ascii="Palatino Linotype" w:hAnsi="Palatino Linotype"/>
          <w:sz w:val="18"/>
          <w:szCs w:val="18"/>
        </w:rPr>
        <w:t xml:space="preserve">. Práce na papíře budou vystavovány </w:t>
      </w:r>
      <w:r w:rsidR="00ED6DAE" w:rsidRPr="009B6A01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9B6A01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9B6A01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9B6A01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7BE7715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20EB27BD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78603F98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1F74A46E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58D4CD53" w14:textId="5B742C5C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76D5E049" w14:textId="77777777" w:rsidR="00526F63" w:rsidRPr="00D6578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D65784">
        <w:rPr>
          <w:rFonts w:ascii="Palatino Linotype" w:hAnsi="Palatino Linotype"/>
          <w:sz w:val="18"/>
          <w:szCs w:val="18"/>
        </w:rPr>
        <w:t>Uveřejnění Smlouvy v registru smluv</w:t>
      </w:r>
    </w:p>
    <w:p w14:paraId="060A4962" w14:textId="77777777" w:rsidR="002D5827" w:rsidRPr="00D65784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D65784">
        <w:rPr>
          <w:rFonts w:ascii="Palatino Linotype" w:hAnsi="Palatino Linotype"/>
          <w:sz w:val="18"/>
          <w:szCs w:val="18"/>
        </w:rPr>
        <w:t xml:space="preserve">Tuto </w:t>
      </w:r>
      <w:r w:rsidR="0058488F" w:rsidRPr="00D65784">
        <w:rPr>
          <w:rFonts w:ascii="Palatino Linotype" w:hAnsi="Palatino Linotype"/>
          <w:sz w:val="18"/>
          <w:szCs w:val="18"/>
        </w:rPr>
        <w:t>S</w:t>
      </w:r>
      <w:r w:rsidRPr="00D6578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D65784">
        <w:rPr>
          <w:rFonts w:ascii="Palatino Linotype" w:hAnsi="Palatino Linotype"/>
          <w:sz w:val="18"/>
          <w:szCs w:val="18"/>
        </w:rPr>
        <w:t>Půjčitel. Příloha č. 1 této S</w:t>
      </w:r>
      <w:r w:rsidRPr="00D6578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D65784">
        <w:rPr>
          <w:rFonts w:ascii="Palatino Linotype" w:hAnsi="Palatino Linotype"/>
          <w:sz w:val="18"/>
          <w:szCs w:val="18"/>
        </w:rPr>
        <w:t>ědictví a sbírek P</w:t>
      </w:r>
      <w:r w:rsidRPr="00D6578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D65784">
        <w:rPr>
          <w:rFonts w:ascii="Palatino Linotype" w:hAnsi="Palatino Linotype"/>
          <w:sz w:val="18"/>
          <w:szCs w:val="18"/>
        </w:rPr>
        <w:t>P</w:t>
      </w:r>
      <w:r w:rsidRPr="00D6578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D65784">
        <w:rPr>
          <w:rFonts w:ascii="Palatino Linotype" w:hAnsi="Palatino Linotype"/>
          <w:sz w:val="18"/>
          <w:szCs w:val="18"/>
        </w:rPr>
        <w:t>S</w:t>
      </w:r>
      <w:r w:rsidRPr="00D65784">
        <w:rPr>
          <w:rFonts w:ascii="Palatino Linotype" w:hAnsi="Palatino Linotype"/>
          <w:sz w:val="18"/>
          <w:szCs w:val="18"/>
        </w:rPr>
        <w:t xml:space="preserve">mlouvy </w:t>
      </w:r>
      <w:r w:rsidR="0058488F" w:rsidRPr="00D65784">
        <w:rPr>
          <w:rFonts w:ascii="Palatino Linotype" w:hAnsi="Palatino Linotype"/>
          <w:sz w:val="18"/>
          <w:szCs w:val="18"/>
        </w:rPr>
        <w:t>V</w:t>
      </w:r>
      <w:r w:rsidRPr="00D6578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D65784">
        <w:rPr>
          <w:rFonts w:ascii="Palatino Linotype" w:hAnsi="Palatino Linotype"/>
          <w:sz w:val="18"/>
          <w:szCs w:val="18"/>
        </w:rPr>
        <w:t>P</w:t>
      </w:r>
      <w:r w:rsidRPr="00D6578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D65784">
        <w:rPr>
          <w:rFonts w:ascii="Palatino Linotype" w:hAnsi="Palatino Linotype"/>
          <w:sz w:val="18"/>
          <w:szCs w:val="18"/>
        </w:rPr>
        <w:t>P</w:t>
      </w:r>
      <w:r w:rsidRPr="00D6578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D65784">
        <w:rPr>
          <w:rFonts w:ascii="Palatino Linotype" w:hAnsi="Palatino Linotype"/>
          <w:sz w:val="18"/>
          <w:szCs w:val="18"/>
        </w:rPr>
        <w:t>P</w:t>
      </w:r>
      <w:r w:rsidRPr="00D65784">
        <w:rPr>
          <w:rFonts w:ascii="Palatino Linotype" w:hAnsi="Palatino Linotype"/>
          <w:sz w:val="18"/>
          <w:szCs w:val="18"/>
        </w:rPr>
        <w:t>ůj</w:t>
      </w:r>
      <w:r w:rsidR="0058488F" w:rsidRPr="00D65784">
        <w:rPr>
          <w:rFonts w:ascii="Palatino Linotype" w:hAnsi="Palatino Linotype"/>
          <w:sz w:val="18"/>
          <w:szCs w:val="18"/>
        </w:rPr>
        <w:t>čitel je dále oprávněn od této S</w:t>
      </w:r>
      <w:r w:rsidRPr="00D65784">
        <w:rPr>
          <w:rFonts w:ascii="Palatino Linotype" w:hAnsi="Palatino Linotype"/>
          <w:sz w:val="18"/>
          <w:szCs w:val="18"/>
        </w:rPr>
        <w:t>mlouvy odstoupit.</w:t>
      </w:r>
      <w:r w:rsidR="003C4538" w:rsidRPr="00D6578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D65784">
        <w:rPr>
          <w:rFonts w:ascii="Palatino Linotype" w:hAnsi="Palatino Linotype"/>
          <w:sz w:val="18"/>
          <w:szCs w:val="18"/>
        </w:rPr>
        <w:t>S</w:t>
      </w:r>
      <w:r w:rsidR="003C4538" w:rsidRPr="00D6578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</w:t>
      </w:r>
      <w:r w:rsidR="003C4538" w:rsidRPr="00D65784">
        <w:rPr>
          <w:rFonts w:ascii="Palatino Linotype" w:hAnsi="Palatino Linotype"/>
          <w:sz w:val="18"/>
          <w:szCs w:val="18"/>
        </w:rPr>
        <w:lastRenderedPageBreak/>
        <w:t xml:space="preserve">dle zákona o registru smluv, je povinna na to Národní galerii v Praze současně s uzavřením této </w:t>
      </w:r>
      <w:r w:rsidR="00314558" w:rsidRPr="00D65784">
        <w:rPr>
          <w:rFonts w:ascii="Palatino Linotype" w:hAnsi="Palatino Linotype"/>
          <w:sz w:val="18"/>
          <w:szCs w:val="18"/>
        </w:rPr>
        <w:t>S</w:t>
      </w:r>
      <w:r w:rsidR="003C4538" w:rsidRPr="00D65784">
        <w:rPr>
          <w:rFonts w:ascii="Palatino Linotype" w:hAnsi="Palatino Linotype"/>
          <w:sz w:val="18"/>
          <w:szCs w:val="18"/>
        </w:rPr>
        <w:t>mlouvy písemně upozornit.</w:t>
      </w:r>
    </w:p>
    <w:p w14:paraId="53ADE7A0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519BD9B6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62FC0D3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A9482C5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2E69C6D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2AFCEE2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D65784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D65784">
        <w:rPr>
          <w:rFonts w:ascii="Palatino Linotype" w:hAnsi="Palatino Linotype"/>
          <w:sz w:val="18"/>
          <w:szCs w:val="18"/>
        </w:rPr>
        <w:t>dnem jejího podpisu a účinnosti</w:t>
      </w:r>
      <w:r w:rsidRPr="00D65784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44495125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BBABF66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64D866B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72A92F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754A3E9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520F27E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C03A5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7488A1A" w14:textId="77777777" w:rsidR="00D65784" w:rsidRPr="001F0491" w:rsidRDefault="00BA5565" w:rsidP="00D6578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65784" w:rsidRPr="001F0491">
        <w:rPr>
          <w:rFonts w:ascii="Palatino Linotype" w:hAnsi="Palatino Linotype"/>
          <w:snapToGrid w:val="0"/>
          <w:sz w:val="18"/>
          <w:szCs w:val="18"/>
        </w:rPr>
        <w:t>PhDr. Magdalena Juříková</w:t>
      </w:r>
    </w:p>
    <w:p w14:paraId="54E6B36D" w14:textId="77777777" w:rsidR="00D65784" w:rsidRPr="001F0491" w:rsidRDefault="00D65784" w:rsidP="00D6578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vedoucí Odboru dokumentace sbírkového fondu</w:t>
      </w:r>
      <w:r w:rsidRPr="001F0491">
        <w:rPr>
          <w:rFonts w:ascii="Palatino Linotype" w:hAnsi="Palatino Linotype"/>
          <w:snapToGrid w:val="0"/>
          <w:sz w:val="18"/>
          <w:szCs w:val="18"/>
        </w:rPr>
        <w:tab/>
        <w:t>ředitelka GHMP</w:t>
      </w:r>
    </w:p>
    <w:p w14:paraId="078B8EA8" w14:textId="5C047667" w:rsidR="00BA5565" w:rsidRPr="001D381F" w:rsidRDefault="00D65784" w:rsidP="00D6578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F0491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0FEC7A1B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0FE343E6" w14:textId="6983353D" w:rsidR="00750228" w:rsidRPr="00D303A0" w:rsidRDefault="00750228" w:rsidP="00D303A0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  <w:highlight w:val="magenta"/>
        </w:rPr>
      </w:pPr>
    </w:p>
    <w:sectPr w:rsidR="00750228" w:rsidRPr="00D303A0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B7CE" w14:textId="77777777" w:rsidR="009E0CD7" w:rsidRDefault="009E0CD7" w:rsidP="007013F0">
      <w:r>
        <w:separator/>
      </w:r>
    </w:p>
  </w:endnote>
  <w:endnote w:type="continuationSeparator" w:id="0">
    <w:p w14:paraId="6D542D9C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4732" w14:textId="77777777" w:rsidR="007C29AE" w:rsidRDefault="007C29AE">
    <w:pPr>
      <w:pStyle w:val="Zpat"/>
    </w:pPr>
  </w:p>
  <w:p w14:paraId="58BB2D6B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4476" w14:textId="38342A6A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C929E4">
      <w:rPr>
        <w:bCs/>
        <w:noProof/>
      </w:rPr>
      <w:t>7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0563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0930" w14:textId="5436FBDA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C929E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0563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8FCF" w14:textId="0457E0E2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C929E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 w:rsidR="0092244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59D9" w14:textId="77777777" w:rsidR="009E0CD7" w:rsidRDefault="009E0CD7" w:rsidP="007013F0">
      <w:r>
        <w:separator/>
      </w:r>
    </w:p>
  </w:footnote>
  <w:footnote w:type="continuationSeparator" w:id="0">
    <w:p w14:paraId="5B650BE7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9CD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596FC04" wp14:editId="2C4EEC1D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846D13" w14:textId="77777777" w:rsidR="00264377" w:rsidRDefault="00264377" w:rsidP="001D381F">
    <w:pPr>
      <w:pStyle w:val="Zhlav"/>
    </w:pPr>
  </w:p>
  <w:p w14:paraId="325958A1" w14:textId="77777777" w:rsidR="001D381F" w:rsidRDefault="001D381F" w:rsidP="001D381F">
    <w:pPr>
      <w:pStyle w:val="Zhlav"/>
    </w:pPr>
  </w:p>
  <w:p w14:paraId="28A9F374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4670929"/>
    <w:multiLevelType w:val="hybridMultilevel"/>
    <w:tmpl w:val="172E98F8"/>
    <w:lvl w:ilvl="0" w:tplc="C34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703749252">
    <w:abstractNumId w:val="0"/>
  </w:num>
  <w:num w:numId="2" w16cid:durableId="295453163">
    <w:abstractNumId w:val="2"/>
  </w:num>
  <w:num w:numId="3" w16cid:durableId="1242639685">
    <w:abstractNumId w:val="11"/>
  </w:num>
  <w:num w:numId="4" w16cid:durableId="1851214329">
    <w:abstractNumId w:val="7"/>
  </w:num>
  <w:num w:numId="5" w16cid:durableId="325744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5855">
    <w:abstractNumId w:val="9"/>
  </w:num>
  <w:num w:numId="7" w16cid:durableId="116457881">
    <w:abstractNumId w:val="9"/>
    <w:lvlOverride w:ilvl="0">
      <w:startOverride w:val="1"/>
    </w:lvlOverride>
  </w:num>
  <w:num w:numId="8" w16cid:durableId="1007561334">
    <w:abstractNumId w:val="9"/>
    <w:lvlOverride w:ilvl="0">
      <w:startOverride w:val="1"/>
    </w:lvlOverride>
  </w:num>
  <w:num w:numId="9" w16cid:durableId="1402873134">
    <w:abstractNumId w:val="9"/>
    <w:lvlOverride w:ilvl="0">
      <w:startOverride w:val="1"/>
    </w:lvlOverride>
  </w:num>
  <w:num w:numId="10" w16cid:durableId="1027869507">
    <w:abstractNumId w:val="9"/>
    <w:lvlOverride w:ilvl="0">
      <w:startOverride w:val="1"/>
    </w:lvlOverride>
  </w:num>
  <w:num w:numId="11" w16cid:durableId="1145200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440936">
    <w:abstractNumId w:val="4"/>
  </w:num>
  <w:num w:numId="13" w16cid:durableId="391003212">
    <w:abstractNumId w:val="2"/>
  </w:num>
  <w:num w:numId="14" w16cid:durableId="259336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3761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518431">
    <w:abstractNumId w:val="9"/>
    <w:lvlOverride w:ilvl="0">
      <w:startOverride w:val="1"/>
    </w:lvlOverride>
  </w:num>
  <w:num w:numId="17" w16cid:durableId="632489284">
    <w:abstractNumId w:val="9"/>
    <w:lvlOverride w:ilvl="0">
      <w:startOverride w:val="1"/>
    </w:lvlOverride>
  </w:num>
  <w:num w:numId="18" w16cid:durableId="1221866618">
    <w:abstractNumId w:val="9"/>
    <w:lvlOverride w:ilvl="0">
      <w:startOverride w:val="1"/>
    </w:lvlOverride>
  </w:num>
  <w:num w:numId="19" w16cid:durableId="1144589000">
    <w:abstractNumId w:val="9"/>
    <w:lvlOverride w:ilvl="0">
      <w:startOverride w:val="1"/>
    </w:lvlOverride>
  </w:num>
  <w:num w:numId="20" w16cid:durableId="843202862">
    <w:abstractNumId w:val="9"/>
    <w:lvlOverride w:ilvl="0">
      <w:startOverride w:val="1"/>
    </w:lvlOverride>
  </w:num>
  <w:num w:numId="21" w16cid:durableId="1549027145">
    <w:abstractNumId w:val="9"/>
    <w:lvlOverride w:ilvl="0">
      <w:startOverride w:val="1"/>
    </w:lvlOverride>
  </w:num>
  <w:num w:numId="22" w16cid:durableId="211383964">
    <w:abstractNumId w:val="6"/>
  </w:num>
  <w:num w:numId="23" w16cid:durableId="1107391022">
    <w:abstractNumId w:val="5"/>
  </w:num>
  <w:num w:numId="24" w16cid:durableId="288979151">
    <w:abstractNumId w:val="10"/>
  </w:num>
  <w:num w:numId="25" w16cid:durableId="1390030517">
    <w:abstractNumId w:val="8"/>
  </w:num>
  <w:num w:numId="26" w16cid:durableId="373232568">
    <w:abstractNumId w:val="3"/>
  </w:num>
  <w:num w:numId="27" w16cid:durableId="43197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A3A0D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5632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62F0A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A5F20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736F3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05B33"/>
    <w:rsid w:val="00413629"/>
    <w:rsid w:val="004141D8"/>
    <w:rsid w:val="00416ABA"/>
    <w:rsid w:val="00424312"/>
    <w:rsid w:val="0042685A"/>
    <w:rsid w:val="00442BB1"/>
    <w:rsid w:val="00450078"/>
    <w:rsid w:val="0045503A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77875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178E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531C4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50228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477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9167A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2444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B6A01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1A1D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747B0"/>
    <w:rsid w:val="00C84B05"/>
    <w:rsid w:val="00C929E4"/>
    <w:rsid w:val="00C95A5B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03A0"/>
    <w:rsid w:val="00D31645"/>
    <w:rsid w:val="00D40C33"/>
    <w:rsid w:val="00D5339D"/>
    <w:rsid w:val="00D54146"/>
    <w:rsid w:val="00D54DBF"/>
    <w:rsid w:val="00D55019"/>
    <w:rsid w:val="00D61AF6"/>
    <w:rsid w:val="00D62B4D"/>
    <w:rsid w:val="00D65784"/>
    <w:rsid w:val="00D738AE"/>
    <w:rsid w:val="00D74152"/>
    <w:rsid w:val="00D80E94"/>
    <w:rsid w:val="00D852B3"/>
    <w:rsid w:val="00D96562"/>
    <w:rsid w:val="00DA1BB9"/>
    <w:rsid w:val="00DA25EA"/>
    <w:rsid w:val="00DB5E86"/>
    <w:rsid w:val="00DB76B4"/>
    <w:rsid w:val="00DC4141"/>
    <w:rsid w:val="00DD16F6"/>
    <w:rsid w:val="00DD6324"/>
    <w:rsid w:val="00DE4E12"/>
    <w:rsid w:val="00DF3D27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A6AAE"/>
    <w:rsid w:val="00EC638F"/>
    <w:rsid w:val="00ED6265"/>
    <w:rsid w:val="00ED6DAE"/>
    <w:rsid w:val="00ED7FAF"/>
    <w:rsid w:val="00EE1D39"/>
    <w:rsid w:val="00EE446D"/>
    <w:rsid w:val="00EE6076"/>
    <w:rsid w:val="00EE6E3D"/>
    <w:rsid w:val="00EF2CBD"/>
    <w:rsid w:val="00EF3C04"/>
    <w:rsid w:val="00EF4648"/>
    <w:rsid w:val="00F034A5"/>
    <w:rsid w:val="00F16B65"/>
    <w:rsid w:val="00F16FA8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1BE079C1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1230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2024-02-14T13:27:00Z</dcterms:created>
  <dcterms:modified xsi:type="dcterms:W3CDTF">2024-02-14T13:27:00Z</dcterms:modified>
</cp:coreProperties>
</file>