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903" w14:textId="77777777" w:rsidR="007D0756" w:rsidRPr="007D0756" w:rsidRDefault="007D0756" w:rsidP="007D0756">
      <w:pPr>
        <w:spacing w:line="280" w:lineRule="atLeast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bidi="en-US"/>
        </w:rPr>
      </w:pPr>
      <w:bookmarkStart w:id="0" w:name="_Hlk124338220"/>
      <w:r w:rsidRPr="007D0756">
        <w:rPr>
          <w:rFonts w:ascii="Arial" w:eastAsia="Times New Roman" w:hAnsi="Arial" w:cs="Arial"/>
          <w:b/>
          <w:color w:val="000000"/>
          <w:sz w:val="28"/>
          <w:szCs w:val="20"/>
          <w:lang w:bidi="en-US"/>
        </w:rPr>
        <w:t xml:space="preserve">Smlouva o poskytování poradenských služeb při přípravě podkladů pro jednání Komise pro promíjení penále </w:t>
      </w:r>
    </w:p>
    <w:p w14:paraId="1E18F2CC" w14:textId="77777777" w:rsidR="007D0756" w:rsidRPr="007D0756" w:rsidRDefault="007D0756" w:rsidP="007D0756">
      <w:pPr>
        <w:spacing w:line="280" w:lineRule="atLeast"/>
        <w:ind w:firstLine="284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bidi="en-US"/>
        </w:rPr>
      </w:pPr>
    </w:p>
    <w:p w14:paraId="3E273342" w14:textId="77777777" w:rsidR="007D0756" w:rsidRPr="007D0756" w:rsidRDefault="007D0756" w:rsidP="007D0756">
      <w:pPr>
        <w:spacing w:after="120" w:line="280" w:lineRule="atLeast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noProof/>
          <w:color w:val="000000"/>
          <w:sz w:val="20"/>
          <w:szCs w:val="20"/>
          <w:lang w:bidi="en-US"/>
        </w:rPr>
        <w:t>uzavřená níže uvedeného dne dle § 1746 odst. 2 zákona č. 89/2012 Sb., občanský zákoník (dále jen „občanský zákoník“) mezi</w:t>
      </w:r>
    </w:p>
    <w:p w14:paraId="00E638D5" w14:textId="77777777" w:rsidR="007D0756" w:rsidRPr="007D0756" w:rsidRDefault="007D0756" w:rsidP="007D0756">
      <w:pPr>
        <w:spacing w:after="120" w:line="280" w:lineRule="atLeast"/>
        <w:jc w:val="center"/>
        <w:rPr>
          <w:rFonts w:ascii="Arial" w:eastAsia="Times New Roman" w:hAnsi="Arial" w:cs="Arial"/>
          <w:b/>
          <w:noProof/>
          <w:color w:val="000000"/>
          <w:sz w:val="20"/>
          <w:szCs w:val="20"/>
          <w:lang w:bidi="en-US"/>
        </w:rPr>
      </w:pPr>
      <w:bookmarkStart w:id="1" w:name="_Toc240703969"/>
      <w:bookmarkStart w:id="2" w:name="_Toc240704343"/>
      <w:bookmarkStart w:id="3" w:name="_Toc240792061"/>
      <w:bookmarkStart w:id="4" w:name="_Toc240792921"/>
      <w:bookmarkStart w:id="5" w:name="_Toc241496085"/>
      <w:bookmarkStart w:id="6" w:name="_Toc241501186"/>
      <w:bookmarkStart w:id="7" w:name="_Toc241501583"/>
      <w:bookmarkStart w:id="8" w:name="_Toc241657900"/>
      <w:bookmarkStart w:id="9" w:name="_Toc243380723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B1EEC4B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bidi="en-US"/>
        </w:rPr>
      </w:pPr>
    </w:p>
    <w:p w14:paraId="0C5BB378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b/>
          <w:color w:val="000000"/>
          <w:sz w:val="20"/>
          <w:szCs w:val="20"/>
          <w:lang w:bidi="en-US"/>
        </w:rPr>
        <w:t>Česká republika – Ministerstvo práce a sociálních věcí</w:t>
      </w:r>
    </w:p>
    <w:p w14:paraId="3500C6BE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se sídlem: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Na Poříčním právu 1/376, 128 01 Praha 2</w:t>
      </w:r>
    </w:p>
    <w:p w14:paraId="79D5356F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zastoupena: 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Ing. Tomášem Machancem, MBA, ředitelem odboru sociálního pojištění</w:t>
      </w:r>
    </w:p>
    <w:p w14:paraId="036FD3AF" w14:textId="333A0A2D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IČ: 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00551023</w:t>
      </w:r>
    </w:p>
    <w:p w14:paraId="74188F1A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DIČ: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není plátcem DPH</w:t>
      </w:r>
    </w:p>
    <w:p w14:paraId="6D36D0ED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bankovní spojení: 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SimSun" w:hAnsi="Arial" w:cs="Arial"/>
          <w:color w:val="000000"/>
          <w:sz w:val="20"/>
          <w:szCs w:val="20"/>
          <w:lang w:bidi="en-US"/>
        </w:rPr>
        <w:t>Česká národní banka, pobočka Praha,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D0756">
        <w:rPr>
          <w:rFonts w:ascii="Arial" w:eastAsia="SimSun" w:hAnsi="Arial" w:cs="Arial"/>
          <w:color w:val="000000"/>
          <w:sz w:val="20"/>
          <w:szCs w:val="20"/>
          <w:lang w:bidi="en-US"/>
        </w:rPr>
        <w:t>Na Příkopě 28, 115 03 Praha 1</w:t>
      </w:r>
    </w:p>
    <w:p w14:paraId="6AFA174B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číslo účtu: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SimSun" w:hAnsi="Arial" w:cs="Arial"/>
          <w:color w:val="000000"/>
          <w:sz w:val="20"/>
          <w:szCs w:val="20"/>
          <w:lang w:bidi="en-US"/>
        </w:rPr>
        <w:t>2229001/0710</w:t>
      </w:r>
    </w:p>
    <w:p w14:paraId="175C9A8D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(dále jen „Objednatel”)</w:t>
      </w:r>
    </w:p>
    <w:p w14:paraId="56A1C1E7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16989AFB" w14:textId="77777777" w:rsidR="007D0756" w:rsidRPr="007D0756" w:rsidRDefault="007D0756" w:rsidP="007D0756">
      <w:pPr>
        <w:tabs>
          <w:tab w:val="left" w:pos="284"/>
        </w:tabs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a</w:t>
      </w:r>
    </w:p>
    <w:p w14:paraId="777E3D69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4106E81F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b/>
          <w:color w:val="000000"/>
          <w:sz w:val="20"/>
          <w:szCs w:val="20"/>
          <w:lang w:bidi="en-US"/>
        </w:rPr>
        <w:t>JUDr. Helena Maříková</w:t>
      </w:r>
    </w:p>
    <w:p w14:paraId="4103B438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se sídlem: 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Jilemnického 960, 391 01 Sezimovo Ústí</w:t>
      </w:r>
    </w:p>
    <w:p w14:paraId="4625A2B5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IČ: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05789699</w:t>
      </w:r>
    </w:p>
    <w:p w14:paraId="2CDFD5D8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živnostenský rejstřík: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čj. R-META 734/2017 OŽ/MKre/4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</w:p>
    <w:p w14:paraId="221B7C03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bankovní spojení: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  <w:t>ERA Poštovní spořitelna</w:t>
      </w:r>
    </w:p>
    <w:p w14:paraId="13714FF1" w14:textId="483D320B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číslo účtu:</w:t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ab/>
      </w:r>
    </w:p>
    <w:p w14:paraId="7D1483A6" w14:textId="77777777" w:rsidR="007D0756" w:rsidRPr="007D0756" w:rsidRDefault="007D0756" w:rsidP="007D0756">
      <w:pPr>
        <w:spacing w:after="120" w:line="280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>(dále jen „Poskytovatel“)</w:t>
      </w:r>
    </w:p>
    <w:p w14:paraId="170B72DD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2D424FFE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7D0756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   Objednatel a Poskytovatel uzavírají níže uvedeného dne, měsíce a roku tuto smlouvu o poskytování poradenských služeb při přípravě podkladů pro jednání Komise MPSV pro promíjení penále (dále jen „smlouva“).</w:t>
      </w:r>
    </w:p>
    <w:p w14:paraId="64039698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78B51E75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575E5528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bookmarkEnd w:id="0"/>
    <w:p w14:paraId="58F5B3AD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64FACD03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0497CBC7" w14:textId="77777777" w:rsidR="007D0756" w:rsidRPr="007D0756" w:rsidRDefault="007D0756" w:rsidP="007D0756">
      <w:pPr>
        <w:spacing w:after="12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14:paraId="4E71430B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bookmarkStart w:id="10" w:name="_Hlk124338238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lastRenderedPageBreak/>
        <w:t>Základní ustanovení</w:t>
      </w:r>
    </w:p>
    <w:p w14:paraId="6A25EE36" w14:textId="77777777" w:rsidR="007D0756" w:rsidRPr="007D0756" w:rsidRDefault="007D0756" w:rsidP="00CC4C9F">
      <w:pPr>
        <w:numPr>
          <w:ilvl w:val="1"/>
          <w:numId w:val="1"/>
        </w:numPr>
        <w:spacing w:before="60" w:after="8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bookmarkStart w:id="11" w:name="_Toc153595136"/>
      <w:bookmarkStart w:id="12" w:name="_Toc153797532"/>
      <w:bookmarkStart w:id="13" w:name="_Toc153797651"/>
      <w:bookmarkStart w:id="14" w:name="_Toc153808368"/>
      <w:bookmarkStart w:id="15" w:name="_Toc153941142"/>
      <w:bookmarkStart w:id="16" w:name="_Toc153941287"/>
      <w:bookmarkStart w:id="17" w:name="_Toc154462844"/>
      <w:bookmarkStart w:id="18" w:name="_Toc163543476"/>
      <w:bookmarkStart w:id="19" w:name="_Toc164137947"/>
      <w:bookmarkStart w:id="20" w:name="_Toc202955379"/>
      <w:bookmarkStart w:id="21" w:name="_Toc203276578"/>
      <w:bookmarkStart w:id="22" w:name="_Toc203291564"/>
      <w:bookmarkStart w:id="23" w:name="_Toc203292584"/>
      <w:bookmarkStart w:id="24" w:name="_Toc203306973"/>
      <w:bookmarkStart w:id="25" w:name="_Toc204476141"/>
      <w:bookmarkStart w:id="26" w:name="_Toc235235100"/>
      <w:bookmarkStart w:id="27" w:name="_Toc238266051"/>
      <w:bookmarkStart w:id="28" w:name="_Toc240357470"/>
      <w:bookmarkStart w:id="29" w:name="_Toc240444506"/>
      <w:bookmarkStart w:id="30" w:name="_Toc240703972"/>
      <w:bookmarkStart w:id="31" w:name="_Toc240704346"/>
      <w:bookmarkStart w:id="32" w:name="_Toc240792063"/>
      <w:bookmarkStart w:id="33" w:name="_Toc240792923"/>
      <w:bookmarkStart w:id="34" w:name="_Toc241496087"/>
      <w:bookmarkStart w:id="35" w:name="_Toc241501188"/>
      <w:bookmarkStart w:id="36" w:name="_Toc241501585"/>
      <w:bookmarkStart w:id="37" w:name="_Toc241657902"/>
      <w:bookmarkStart w:id="38" w:name="_Toc243380725"/>
      <w:bookmarkStart w:id="39" w:name="_Toc274231382"/>
      <w:bookmarkStart w:id="40" w:name="_Toc274234499"/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Smluvní strany konstatují, že rozsah a obsah vzájemných práv a povinností vyplývajících z této smlouvy se řídí platnými a účinnými právními předpisy, zejména občanským zákoníkem.</w:t>
      </w:r>
    </w:p>
    <w:p w14:paraId="4C307910" w14:textId="64852EEB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Předmět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 xml:space="preserve"> smlouvy</w:t>
      </w:r>
    </w:p>
    <w:p w14:paraId="7AA146C8" w14:textId="6C557440" w:rsidR="007D0756" w:rsidRPr="007D0756" w:rsidRDefault="007D0756" w:rsidP="00CC4C9F">
      <w:pPr>
        <w:numPr>
          <w:ilvl w:val="1"/>
          <w:numId w:val="1"/>
        </w:numPr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bookmarkStart w:id="41" w:name="_Toc203291565"/>
      <w:bookmarkStart w:id="42" w:name="_Toc203292585"/>
      <w:bookmarkStart w:id="43" w:name="_Toc203306974"/>
      <w:bookmarkStart w:id="44" w:name="_Toc204476142"/>
      <w:bookmarkStart w:id="45" w:name="_Toc235235101"/>
      <w:bookmarkStart w:id="46" w:name="_Toc238266052"/>
      <w:bookmarkStart w:id="47" w:name="_Toc240357471"/>
      <w:bookmarkStart w:id="48" w:name="_Toc240444507"/>
      <w:bookmarkStart w:id="49" w:name="_Toc240703973"/>
      <w:bookmarkStart w:id="50" w:name="_Toc240704347"/>
      <w:bookmarkStart w:id="51" w:name="_Toc240792064"/>
      <w:bookmarkStart w:id="52" w:name="_Toc240792924"/>
      <w:bookmarkStart w:id="53" w:name="_Toc241496088"/>
      <w:bookmarkStart w:id="54" w:name="_Toc241501189"/>
      <w:bookmarkStart w:id="55" w:name="_Toc241501586"/>
      <w:bookmarkStart w:id="56" w:name="_Toc241657903"/>
      <w:bookmarkStart w:id="57" w:name="_Toc243380726"/>
      <w:bookmarkStart w:id="58" w:name="_Toc274231383"/>
      <w:bookmarkStart w:id="59" w:name="_Toc274234500"/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Předmětem dle této smlouvy je </w:t>
      </w:r>
      <w:r w:rsidR="004F1A20">
        <w:rPr>
          <w:rFonts w:ascii="Arial" w:eastAsia="Times New Roman" w:hAnsi="Arial" w:cs="Arial"/>
          <w:bCs/>
          <w:snapToGrid w:val="0"/>
          <w:sz w:val="20"/>
          <w:szCs w:val="20"/>
        </w:rPr>
        <w:t>závazek</w:t>
      </w:r>
      <w:r w:rsidR="004F1A20"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Poskytovatele poskytovat Objednateli dle jeho aktuálních potřeb poradenské služby a </w:t>
      </w:r>
      <w:r w:rsidR="004F1A20">
        <w:rPr>
          <w:rFonts w:ascii="Arial" w:eastAsia="Times New Roman" w:hAnsi="Arial" w:cs="Arial"/>
          <w:bCs/>
          <w:snapToGrid w:val="0"/>
          <w:sz w:val="20"/>
          <w:szCs w:val="20"/>
        </w:rPr>
        <w:t>závazek</w:t>
      </w:r>
      <w:r w:rsidR="004F1A20"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Objednatele za řádně poskytnuté poradenské služby zaplatit Poskytovateli odměnu sjednanou </w:t>
      </w:r>
      <w:r w:rsidR="00357701">
        <w:rPr>
          <w:rFonts w:ascii="Arial" w:eastAsia="Times New Roman" w:hAnsi="Arial" w:cs="Arial"/>
          <w:bCs/>
          <w:snapToGrid w:val="0"/>
          <w:sz w:val="20"/>
          <w:szCs w:val="20"/>
        </w:rPr>
        <w:t>v čl. 4 této sml</w:t>
      </w:r>
      <w:r w:rsidR="00C61DA9">
        <w:rPr>
          <w:rFonts w:ascii="Arial" w:eastAsia="Times New Roman" w:hAnsi="Arial" w:cs="Arial"/>
          <w:bCs/>
          <w:snapToGrid w:val="0"/>
          <w:sz w:val="20"/>
          <w:szCs w:val="20"/>
        </w:rPr>
        <w:t>o</w:t>
      </w:r>
      <w:r w:rsidR="00357701">
        <w:rPr>
          <w:rFonts w:ascii="Arial" w:eastAsia="Times New Roman" w:hAnsi="Arial" w:cs="Arial"/>
          <w:bCs/>
          <w:snapToGrid w:val="0"/>
          <w:sz w:val="20"/>
          <w:szCs w:val="20"/>
        </w:rPr>
        <w:t>uvy.</w:t>
      </w:r>
    </w:p>
    <w:p w14:paraId="18255D0C" w14:textId="77777777" w:rsidR="007D0756" w:rsidRPr="007D0756" w:rsidRDefault="007D0756" w:rsidP="00CC4C9F">
      <w:pPr>
        <w:spacing w:after="120" w:line="276" w:lineRule="auto"/>
        <w:ind w:left="170"/>
        <w:rPr>
          <w:rFonts w:ascii="Arial" w:eastAsia="Times New Roman" w:hAnsi="Arial" w:cs="Times New Roman"/>
          <w:snapToGrid w:val="0"/>
          <w:szCs w:val="20"/>
        </w:rPr>
      </w:pPr>
    </w:p>
    <w:p w14:paraId="6C6F4888" w14:textId="77777777" w:rsidR="007D0756" w:rsidRPr="007D0756" w:rsidRDefault="007D0756" w:rsidP="00CC4C9F">
      <w:pPr>
        <w:numPr>
          <w:ilvl w:val="1"/>
          <w:numId w:val="1"/>
        </w:numPr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Poradenskou službou se dle této smlouvy rozumí konzultace při přípravě podkladů pro jednání Komise Ministerstva práce a sociálních věcí pro promíjení penále. Konkrétně budou poradenské služby dle této smlouvy poskytovány při řešení zvláště složitých případů promíjení penále z neodvedeného pojistného na sociální zabezpečení. </w:t>
      </w:r>
    </w:p>
    <w:p w14:paraId="043E8BEF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bookmarkStart w:id="60" w:name="_Hlk124338254"/>
      <w:bookmarkEnd w:id="10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Místo a doba plnění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6E8B137B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Místo plnění je sídlo Objednatele.</w:t>
      </w:r>
    </w:p>
    <w:p w14:paraId="687756B5" w14:textId="184A1A0F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Poradenské služby dle ustanovení článku 2</w:t>
      </w:r>
      <w:r w:rsidR="00CB10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smlouvy </w:t>
      </w:r>
      <w:r w:rsidR="00CB10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</w:t>
      </w: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Poskytovatel </w:t>
      </w:r>
      <w:r w:rsidR="00CB10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zavazuje </w:t>
      </w: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poskytovat dle aktuální potřeby Objednatele a v odpovídajících termínech dohodnutý</w:t>
      </w:r>
      <w:r w:rsidR="004F1A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ch</w:t>
      </w: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smluvními stranami.</w:t>
      </w:r>
    </w:p>
    <w:p w14:paraId="454655DD" w14:textId="7E67E3A9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sjednávají, že tato smlouva je uzavřena na dobu určitou </w:t>
      </w:r>
      <w:r w:rsidRPr="007D075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do 31. 12. 20</w:t>
      </w:r>
      <w:r w:rsidR="0064646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2</w:t>
      </w:r>
      <w:r w:rsidR="00AC0CD8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4</w:t>
      </w:r>
      <w:r w:rsidRPr="007D07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bookmarkEnd w:id="60"/>
    <w:p w14:paraId="3658DFA5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Odměna a platební podmínky</w:t>
      </w:r>
    </w:p>
    <w:p w14:paraId="730348E8" w14:textId="4090B406" w:rsidR="00CC4C9F" w:rsidRDefault="007D0756" w:rsidP="00CC4C9F">
      <w:pPr>
        <w:numPr>
          <w:ilvl w:val="1"/>
          <w:numId w:val="1"/>
        </w:numPr>
        <w:tabs>
          <w:tab w:val="num" w:pos="170"/>
          <w:tab w:val="num" w:pos="567"/>
        </w:tabs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bookmarkStart w:id="61" w:name="_Ref54767977"/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Odměna Poskytovatele za jednu 1 hodinu poskytovaných služeb činí </w:t>
      </w:r>
      <w:r w:rsidR="00CC4C9F">
        <w:rPr>
          <w:rFonts w:ascii="Arial" w:eastAsia="Times New Roman" w:hAnsi="Arial" w:cs="Arial"/>
          <w:b/>
          <w:bCs/>
          <w:snapToGrid w:val="0"/>
          <w:sz w:val="20"/>
          <w:szCs w:val="20"/>
        </w:rPr>
        <w:t>200</w:t>
      </w:r>
      <w:r w:rsidR="00CB1020">
        <w:rPr>
          <w:rFonts w:ascii="Arial" w:eastAsia="Times New Roman" w:hAnsi="Arial" w:cs="Arial"/>
          <w:b/>
          <w:bCs/>
          <w:snapToGrid w:val="0"/>
          <w:sz w:val="20"/>
          <w:szCs w:val="20"/>
        </w:rPr>
        <w:t>,-</w:t>
      </w:r>
      <w:r w:rsidRPr="003B6CC3">
        <w:rPr>
          <w:rFonts w:ascii="Arial" w:eastAsia="Times New Roman" w:hAnsi="Arial" w:cs="Arial"/>
          <w:b/>
          <w:bCs/>
          <w:snapToGrid w:val="0"/>
          <w:sz w:val="20"/>
          <w:szCs w:val="20"/>
        </w:rPr>
        <w:t xml:space="preserve"> Kč bez DPH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. </w:t>
      </w:r>
    </w:p>
    <w:p w14:paraId="0A88870D" w14:textId="6010E1C4" w:rsidR="007D0756" w:rsidRPr="00CC4C9F" w:rsidRDefault="00CC4C9F" w:rsidP="00CC4C9F">
      <w:pPr>
        <w:tabs>
          <w:tab w:val="num" w:pos="432"/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ab/>
      </w:r>
      <w:r w:rsidR="007D0756" w:rsidRPr="00CC4C9F">
        <w:rPr>
          <w:rFonts w:ascii="Arial" w:eastAsia="Times New Roman" w:hAnsi="Arial" w:cs="Arial"/>
          <w:bCs/>
          <w:snapToGrid w:val="0"/>
          <w:sz w:val="20"/>
          <w:szCs w:val="20"/>
        </w:rPr>
        <w:t>K</w:t>
      </w:r>
      <w:r w:rsidRPr="00CC4C9F">
        <w:rPr>
          <w:rFonts w:ascii="Arial" w:eastAsia="Times New Roman" w:hAnsi="Arial" w:cs="Arial"/>
          <w:bCs/>
          <w:snapToGrid w:val="0"/>
          <w:sz w:val="20"/>
          <w:szCs w:val="20"/>
        </w:rPr>
        <w:t> </w:t>
      </w:r>
      <w:r w:rsidR="007D0756" w:rsidRPr="00CC4C9F">
        <w:rPr>
          <w:rFonts w:ascii="Arial" w:eastAsia="Times New Roman" w:hAnsi="Arial" w:cs="Arial"/>
          <w:bCs/>
          <w:snapToGrid w:val="0"/>
          <w:sz w:val="20"/>
          <w:szCs w:val="20"/>
        </w:rPr>
        <w:t>výši</w:t>
      </w:r>
      <w:r w:rsidRPr="00CC4C9F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o</w:t>
      </w:r>
      <w:r w:rsidR="007D0756" w:rsidRPr="00CC4C9F">
        <w:rPr>
          <w:rFonts w:ascii="Arial" w:eastAsia="Times New Roman" w:hAnsi="Arial" w:cs="Arial"/>
          <w:bCs/>
          <w:snapToGrid w:val="0"/>
          <w:sz w:val="20"/>
          <w:szCs w:val="20"/>
        </w:rPr>
        <w:t>dměny bude vždy připočítána částka odpovídající sazbě DPH ke dni fakturace.</w:t>
      </w:r>
    </w:p>
    <w:bookmarkEnd w:id="61"/>
    <w:p w14:paraId="32B1A37D" w14:textId="34BAAFFD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Odměna Poskytovatele za 1 hodinu poskytovaných služeb dle odst. 4. 1</w:t>
      </w:r>
      <w:r w:rsidR="00CB1020">
        <w:rPr>
          <w:rFonts w:ascii="Arial" w:eastAsia="Times New Roman" w:hAnsi="Arial" w:cs="Arial"/>
          <w:bCs/>
          <w:snapToGrid w:val="0"/>
          <w:sz w:val="20"/>
          <w:szCs w:val="20"/>
        </w:rPr>
        <w:t>.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tohoto článku smlouvy </w:t>
      </w:r>
      <w:r w:rsidR="00CB1020">
        <w:rPr>
          <w:rFonts w:ascii="Arial" w:eastAsia="Times New Roman" w:hAnsi="Arial" w:cs="Arial"/>
          <w:bCs/>
          <w:snapToGrid w:val="0"/>
          <w:sz w:val="20"/>
          <w:szCs w:val="20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j</w:t>
      </w:r>
      <w:r w:rsidR="00CC4C9F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e 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odměnou úplnou a konečnou a zahrnuje veškeré náklady Poskytovatele spojené s řádným </w:t>
      </w:r>
      <w:r w:rsidR="00CB1020">
        <w:rPr>
          <w:rFonts w:ascii="Arial" w:eastAsia="Times New Roman" w:hAnsi="Arial" w:cs="Arial"/>
          <w:bCs/>
          <w:snapToGrid w:val="0"/>
          <w:sz w:val="20"/>
          <w:szCs w:val="20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a</w:t>
      </w:r>
      <w:r w:rsidR="00CC4C9F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včasným poskytováním služeb dle této smlouvy.</w:t>
      </w:r>
    </w:p>
    <w:p w14:paraId="63D9BADD" w14:textId="4C45241C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24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Odměna za poskytnutí služeb bude stanovena jako součin odměny za 1 hodinu poskytování služeb dle odst. 4.1</w:t>
      </w:r>
      <w:r w:rsidR="00CB1020">
        <w:rPr>
          <w:rFonts w:ascii="Arial" w:eastAsia="Times New Roman" w:hAnsi="Arial" w:cs="Arial"/>
          <w:bCs/>
          <w:snapToGrid w:val="0"/>
          <w:sz w:val="20"/>
          <w:szCs w:val="20"/>
        </w:rPr>
        <w:t>.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tohoto článku smlouvy a skutečného počtu hodin poskytování služeb, přičemž smluvní strany se dohodly na dodržení následujících maximálních finančních limitů za poskytnuté poradenské služby dle článku 2</w:t>
      </w:r>
      <w:r w:rsidR="00CB1020">
        <w:rPr>
          <w:rFonts w:ascii="Arial" w:eastAsia="Times New Roman" w:hAnsi="Arial" w:cs="Arial"/>
          <w:bCs/>
          <w:snapToGrid w:val="0"/>
          <w:sz w:val="20"/>
          <w:szCs w:val="20"/>
        </w:rPr>
        <w:t>.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této smlouvy:</w:t>
      </w:r>
    </w:p>
    <w:p w14:paraId="32E2A2ED" w14:textId="0437A1C4" w:rsidR="007D0756" w:rsidRPr="007D0756" w:rsidRDefault="007D0756" w:rsidP="00CC4C9F">
      <w:pPr>
        <w:spacing w:after="120" w:line="276" w:lineRule="auto"/>
        <w:ind w:left="432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a) limit za poradenské služby nepřesáhne částku ve výši </w:t>
      </w:r>
      <w:r w:rsidR="003B6CC3" w:rsidRPr="00831B12">
        <w:rPr>
          <w:rFonts w:ascii="Arial" w:eastAsia="Times New Roman" w:hAnsi="Arial" w:cs="Arial"/>
          <w:b/>
          <w:bCs/>
          <w:snapToGrid w:val="0"/>
          <w:sz w:val="20"/>
          <w:szCs w:val="20"/>
        </w:rPr>
        <w:t>1</w:t>
      </w:r>
      <w:r w:rsidR="00D97363">
        <w:rPr>
          <w:rFonts w:ascii="Arial" w:eastAsia="Times New Roman" w:hAnsi="Arial" w:cs="Arial"/>
          <w:b/>
          <w:bCs/>
          <w:snapToGrid w:val="0"/>
          <w:sz w:val="20"/>
          <w:szCs w:val="20"/>
        </w:rPr>
        <w:t>1</w:t>
      </w:r>
      <w:r w:rsidRPr="00831B12">
        <w:rPr>
          <w:rFonts w:ascii="Arial" w:eastAsia="Times New Roman" w:hAnsi="Arial" w:cs="Arial"/>
          <w:b/>
          <w:bCs/>
          <w:snapToGrid w:val="0"/>
          <w:sz w:val="20"/>
          <w:szCs w:val="20"/>
        </w:rPr>
        <w:t> 000,- Kč bez DPH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za každý jednotlivý kalendářní měsíc,</w:t>
      </w:r>
    </w:p>
    <w:p w14:paraId="3B91347E" w14:textId="136EC6A2" w:rsidR="007D0756" w:rsidRPr="007D0756" w:rsidRDefault="007D0756" w:rsidP="00CC4C9F">
      <w:pPr>
        <w:spacing w:after="120" w:line="276" w:lineRule="auto"/>
        <w:ind w:left="432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b) celkový finanční limit za veškeré poradenské služby nepřesáhne částku ve výši </w:t>
      </w:r>
      <w:r w:rsidR="00CC4C9F">
        <w:rPr>
          <w:rFonts w:ascii="Arial" w:eastAsia="Times New Roman" w:hAnsi="Arial" w:cs="Arial"/>
          <w:b/>
          <w:bCs/>
          <w:snapToGrid w:val="0"/>
          <w:sz w:val="20"/>
          <w:szCs w:val="20"/>
        </w:rPr>
        <w:t>1</w:t>
      </w:r>
      <w:r w:rsidR="00AC0CD8">
        <w:rPr>
          <w:rFonts w:ascii="Arial" w:eastAsia="Times New Roman" w:hAnsi="Arial" w:cs="Arial"/>
          <w:b/>
          <w:bCs/>
          <w:snapToGrid w:val="0"/>
          <w:sz w:val="20"/>
          <w:szCs w:val="20"/>
        </w:rPr>
        <w:t>25</w:t>
      </w:r>
      <w:r w:rsidR="00CC4C9F">
        <w:rPr>
          <w:rFonts w:ascii="Arial" w:eastAsia="Times New Roman" w:hAnsi="Arial" w:cs="Arial"/>
          <w:b/>
          <w:bCs/>
          <w:snapToGrid w:val="0"/>
          <w:sz w:val="20"/>
          <w:szCs w:val="20"/>
        </w:rPr>
        <w:t xml:space="preserve"> </w:t>
      </w:r>
      <w:r w:rsidR="00AC0CD8">
        <w:rPr>
          <w:rFonts w:ascii="Arial" w:eastAsia="Times New Roman" w:hAnsi="Arial" w:cs="Arial"/>
          <w:b/>
          <w:bCs/>
          <w:snapToGrid w:val="0"/>
          <w:sz w:val="20"/>
          <w:szCs w:val="20"/>
        </w:rPr>
        <w:t>4</w:t>
      </w:r>
      <w:r w:rsidR="00CC4C9F">
        <w:rPr>
          <w:rFonts w:ascii="Arial" w:eastAsia="Times New Roman" w:hAnsi="Arial" w:cs="Arial"/>
          <w:b/>
          <w:bCs/>
          <w:snapToGrid w:val="0"/>
          <w:sz w:val="20"/>
          <w:szCs w:val="20"/>
        </w:rPr>
        <w:t>00</w:t>
      </w:r>
      <w:r w:rsidRPr="007D0756">
        <w:rPr>
          <w:rFonts w:ascii="Arial" w:eastAsia="Times New Roman" w:hAnsi="Arial" w:cs="Arial"/>
          <w:b/>
          <w:bCs/>
          <w:snapToGrid w:val="0"/>
          <w:sz w:val="20"/>
          <w:szCs w:val="20"/>
        </w:rPr>
        <w:t>,- Kč bez DPH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.</w:t>
      </w:r>
    </w:p>
    <w:p w14:paraId="4C9789CF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t>Smluvní strany sjednávají, že Poskytovateli vzniká právo na zaplacení odměny za poskytování služeb po jejich řádném poskytnutí a akceptaci výkazu práce, tj. schválením výkazu práce odpovědným zástupcem Objednatele.</w:t>
      </w:r>
    </w:p>
    <w:p w14:paraId="6C8EA157" w14:textId="0A571722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Poskytovatel je povinen předložit Objednateli do 5. kalendářního dne měsíce následujícího 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po měsíci, v němž byly služby řádně poskytnuty, výkaz práce, který bude vymezovat rozsah poskytnutých služeb v předchozím kalendářním měsíci. Objednatel je povinen předložený výkaz práce ve lhůtě 3 pracovních dnů schválit nebo uvést, ve které části neodpovídá skutečnosti. Uvede-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lastRenderedPageBreak/>
        <w:t>li Objednatel ve stanovené lhůtě připomínky k výkazu práce, zahájí smluvní strany jednání o jejich bezodkladném vyřešení.</w:t>
      </w:r>
    </w:p>
    <w:p w14:paraId="36D069F6" w14:textId="6FC271D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Odměna dle odst. 4.1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t>.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 tohoto článku smlouvy bude 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Objednatelem 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placena 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Poskytovateli 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na základě řádně vystaveného daňového či účetního doklad</w:t>
      </w:r>
      <w:r w:rsidR="00815137">
        <w:rPr>
          <w:rFonts w:ascii="Arial" w:eastAsia="Times New Roman" w:hAnsi="Arial" w:cs="Arial"/>
          <w:bCs/>
          <w:snapToGrid w:val="0"/>
          <w:sz w:val="20"/>
          <w:szCs w:val="17"/>
        </w:rPr>
        <w:t>u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 (dále jen „faktura“), jejíž přílohou bude vždy </w:t>
      </w:r>
      <w:r w:rsidR="00CB1020">
        <w:rPr>
          <w:rFonts w:ascii="Arial" w:eastAsia="Times New Roman" w:hAnsi="Arial" w:cs="Arial"/>
          <w:bCs/>
          <w:snapToGrid w:val="0"/>
          <w:sz w:val="20"/>
          <w:szCs w:val="17"/>
        </w:rPr>
        <w:t>O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bjednatelem schválený výkaz práce. Smluvní strany sjednávají, že splatnost faktur činí 30 kalendářních dnů ode dne doručení </w:t>
      </w:r>
      <w:r w:rsidR="0019596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faktury 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Objednateli.</w:t>
      </w:r>
    </w:p>
    <w:p w14:paraId="747DD6CF" w14:textId="2D07BBB8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Nesplňuje-li faktura náležitosti dle platných a účinných právních předpisů a požadavků Objednatele</w:t>
      </w:r>
      <w:r w:rsidR="00815137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 či neobsahuje schválený výkaz práce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, je Objednatel oprávněn vrátit ji v době splatnosti Poskytovateli. Nová doba splatnosti v délce trvání 30 kalendářních dnů začne běžet ode dne doručení opravené faktury Objednateli.</w:t>
      </w:r>
    </w:p>
    <w:p w14:paraId="1AA6B83D" w14:textId="5A3E6E30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Platby peněžitých částek se provádí bankovním převodem na účet druhé smluvní strany uvedený ve faktuře. Peněžitá částka se považuje za zaplacenou okamžikem jejího </w:t>
      </w:r>
      <w:r w:rsidR="00382175" w:rsidRPr="00382175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připsání </w:t>
      </w:r>
      <w:r w:rsidR="00382175">
        <w:rPr>
          <w:rFonts w:ascii="Arial" w:eastAsia="Times New Roman" w:hAnsi="Arial" w:cs="Arial"/>
          <w:bCs/>
          <w:snapToGrid w:val="0"/>
          <w:sz w:val="20"/>
          <w:szCs w:val="17"/>
        </w:rPr>
        <w:t>na bankovní účet Poskytovatele.</w:t>
      </w:r>
      <w:r w:rsidR="00382175" w:rsidRPr="00382175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 </w:t>
      </w:r>
    </w:p>
    <w:p w14:paraId="08F6CB83" w14:textId="2E5A5A46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Platby budou probíhat výhradně v Kč a rovněž veškeré uvedené cenové údaje budou v Kč. Zálohy </w:t>
      </w:r>
      <w:r w:rsidR="00815137">
        <w:rPr>
          <w:rFonts w:ascii="Arial" w:eastAsia="Times New Roman" w:hAnsi="Arial" w:cs="Arial"/>
          <w:bCs/>
          <w:snapToGrid w:val="0"/>
          <w:sz w:val="20"/>
          <w:szCs w:val="17"/>
        </w:rPr>
        <w:t>Objednatel neposkytuje.</w:t>
      </w:r>
    </w:p>
    <w:p w14:paraId="7EEA21C6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Práva a povinnosti smluvních stran</w:t>
      </w:r>
    </w:p>
    <w:p w14:paraId="771EAA2E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Objednatel je povinen v době plnění předmětu této smlouvy poskytovat Poskytovateli veškerou potřebnou součinnost.</w:t>
      </w:r>
    </w:p>
    <w:p w14:paraId="6E738D49" w14:textId="21A25B7E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Objednatel je povinen předat Poskytovateli veškeré podklady a informace, která má k dispozici </w:t>
      </w:r>
      <w:r w:rsidR="007E5100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a je oprávněn poskytnout, a které přímo souvisejí s plněním předmětu této smlouvy, a to nejpozději do 3 pracovních dnů ode dne, kdy si jejich předání Poskytovatel písemně vyžádá, nedohodnou-li se smluvní strany</w:t>
      </w:r>
      <w:r w:rsidR="0019596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jinak</w:t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.</w:t>
      </w:r>
    </w:p>
    <w:p w14:paraId="62001CFB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>V případě zjištění okolností, které by mohly mít vliv na plnění povinností vyplývajících z této smlouvy, je Objednatel povinen o těchto zjištěných okolnostech Poskytovatele bez odkladu písemně informovat.</w:t>
      </w:r>
    </w:p>
    <w:p w14:paraId="3964C5F1" w14:textId="6C9CBA0D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 xml:space="preserve">Poskytovatel je povinen plnit předmět této smlouvy svědomitě, s řádnou a odbornou péčí </w:t>
      </w:r>
      <w:r w:rsidR="007E5100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>a potřebnými odbornými schopnostmi. Při plnění předmětu této smlouvy je Poskytovatel vázán platnými a účinnými právními předpisy a pokyny Objednatele, pokud tyto nejsou v rozporu s těmito předpisy nebo zájmy Objednatele.</w:t>
      </w:r>
    </w:p>
    <w:p w14:paraId="6A0A7295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>V případě zjištění okolností, které by mohly mít vliv na plnění závazků vyplývajících z této smlouvy, je Poskytovatel povinen Objednatele o těchto zjištěných okolnostech bez odkladu písemně informovat.</w:t>
      </w:r>
    </w:p>
    <w:p w14:paraId="2DDABBA3" w14:textId="7802AAE4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 xml:space="preserve">Poskytovatel není oprávněn předat vstupní podklady poskytnuté Objednatelem ani jejich část třetí osobě, ani je využívat k jiným </w:t>
      </w:r>
      <w:r w:rsidR="00DE51CF"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>účelům,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 xml:space="preserve"> než je stanoveno v článku 2</w:t>
      </w:r>
      <w:r w:rsidR="00A24197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>.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  <w:lang w:eastAsia="cs-CZ"/>
        </w:rPr>
        <w:t xml:space="preserve"> této smlouvy.</w:t>
      </w:r>
    </w:p>
    <w:p w14:paraId="3B5D1935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357" w:hanging="357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bookmarkStart w:id="62" w:name="_Toc238266058"/>
      <w:bookmarkStart w:id="63" w:name="_Toc240357477"/>
      <w:bookmarkStart w:id="64" w:name="_Toc240444513"/>
      <w:bookmarkStart w:id="65" w:name="_Toc240703979"/>
      <w:bookmarkStart w:id="66" w:name="_Toc240704353"/>
      <w:bookmarkStart w:id="67" w:name="_Toc240792070"/>
      <w:bookmarkStart w:id="68" w:name="_Toc240792930"/>
      <w:bookmarkStart w:id="69" w:name="_Toc241496094"/>
      <w:bookmarkStart w:id="70" w:name="_Toc241501195"/>
      <w:bookmarkStart w:id="71" w:name="_Toc241501592"/>
      <w:bookmarkStart w:id="72" w:name="_Toc241657909"/>
      <w:bookmarkStart w:id="73" w:name="_Toc243380732"/>
      <w:bookmarkStart w:id="74" w:name="_Toc274231389"/>
      <w:bookmarkStart w:id="75" w:name="_Toc274234506"/>
      <w:bookmarkStart w:id="76" w:name="_Toc153595140"/>
      <w:bookmarkStart w:id="77" w:name="_Toc153797536"/>
      <w:bookmarkStart w:id="78" w:name="_Toc153797655"/>
      <w:bookmarkStart w:id="79" w:name="_Toc153808372"/>
      <w:bookmarkStart w:id="80" w:name="_Toc153941148"/>
      <w:bookmarkStart w:id="81" w:name="_Toc153941293"/>
      <w:bookmarkStart w:id="82" w:name="_Toc154462850"/>
      <w:bookmarkStart w:id="83" w:name="_Toc163543482"/>
      <w:bookmarkStart w:id="84" w:name="_Toc164137953"/>
      <w:bookmarkStart w:id="85" w:name="_Toc202955385"/>
      <w:bookmarkStart w:id="86" w:name="_Toc203276584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Ochrana důvěrných informací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D9CDA8B" w14:textId="1962D608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této smlouvy v jakékoli formě, s výjimkou informací všeobecně známých. Za důvěrné informace se považují i veškeré obchodní a technické informace, které byly jednou </w:t>
      </w:r>
      <w:r w:rsidR="00A2419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ze smluvních stran sděleny jiné smluvní straně a jsou předmětem obchodního tajemství.</w:t>
      </w:r>
    </w:p>
    <w:p w14:paraId="057913F7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</w:rPr>
        <w:lastRenderedPageBreak/>
        <w:t xml:space="preserve">Smluvní strany jsou povinny zajistit, že důvěrné informace nepoužijí k jiným účelům než k plnění předmětu dle této smlouvy a v souladu s platnými a účinnými právními předpisy, a že budou zajišťovat jejich ochranu přiměřeným způsobem. </w:t>
      </w:r>
    </w:p>
    <w:p w14:paraId="10FF9BD0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Poskytovatel je oprávněn po splnění celého předmětu této smlouvy užít obecnou informaci o plnění dle této smlouvy jako referenci. Se souhlasem Objednatele může obsah reference dohodnutým způsobem rozšířit.</w:t>
      </w:r>
    </w:p>
    <w:p w14:paraId="39092D11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17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>Poskytovatel je povinen běh</w:t>
      </w:r>
      <w:r w:rsidR="008920A2">
        <w:rPr>
          <w:rFonts w:ascii="Arial" w:eastAsia="Times New Roman" w:hAnsi="Arial" w:cs="Arial"/>
          <w:bCs/>
          <w:snapToGrid w:val="0"/>
          <w:sz w:val="20"/>
          <w:szCs w:val="17"/>
        </w:rPr>
        <w:t>em plnění předmětu této smlouvy</w:t>
      </w:r>
      <w:r w:rsidRPr="007D0756">
        <w:rPr>
          <w:rFonts w:ascii="Arial" w:eastAsia="Times New Roman" w:hAnsi="Arial" w:cs="Arial"/>
          <w:bCs/>
          <w:snapToGrid w:val="0"/>
          <w:sz w:val="20"/>
          <w:szCs w:val="17"/>
        </w:rPr>
        <w:t xml:space="preserve"> i po jejím ukončení zachovávat mlčenlivost o všech skutečnostech, o kterých se dozví v souvislosti s plněním předmětu této smlouvy.</w:t>
      </w:r>
    </w:p>
    <w:p w14:paraId="3012A8FD" w14:textId="7FFDAE82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426" w:hanging="426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bookmarkStart w:id="87" w:name="_Toc238266061"/>
      <w:bookmarkStart w:id="88" w:name="_Toc240357480"/>
      <w:bookmarkStart w:id="89" w:name="_Toc240444516"/>
      <w:bookmarkStart w:id="90" w:name="_Toc240703982"/>
      <w:bookmarkStart w:id="91" w:name="_Toc240704356"/>
      <w:bookmarkStart w:id="92" w:name="_Toc240792073"/>
      <w:bookmarkStart w:id="93" w:name="_Toc240792933"/>
      <w:bookmarkStart w:id="94" w:name="_Toc241496097"/>
      <w:bookmarkStart w:id="95" w:name="_Toc241501198"/>
      <w:bookmarkStart w:id="96" w:name="_Toc241501595"/>
      <w:bookmarkStart w:id="97" w:name="_Toc241657912"/>
      <w:bookmarkStart w:id="98" w:name="_Toc243380735"/>
      <w:bookmarkStart w:id="99" w:name="_Toc274231391"/>
      <w:bookmarkStart w:id="100" w:name="_Toc274234508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Odpovědnost za škodu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A24197">
        <w:rPr>
          <w:rFonts w:ascii="Arial" w:eastAsia="Times New Roman" w:hAnsi="Arial" w:cs="Arial"/>
          <w:b/>
          <w:bCs/>
          <w:szCs w:val="20"/>
          <w:lang w:eastAsia="cs-CZ"/>
        </w:rPr>
        <w:t>, smluvní pokuta</w:t>
      </w:r>
    </w:p>
    <w:p w14:paraId="56E9B425" w14:textId="7FB9A54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Každá ze smluvních stran nese odpovědnost za způsobenou škodu či jinou újmu v souladu s platnými a účinnými právními předpisy a touto smlouvou. Smluvní strany se zavazují vyvíjet maximální úsilí k předcházení vzniku škody či jiné újmy a k případné minimalizaci vzniklé škody </w:t>
      </w:r>
      <w:r w:rsidR="00A2419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br/>
      </w: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či jiné újmy.</w:t>
      </w:r>
    </w:p>
    <w:p w14:paraId="5EB0DF28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Smluvní strany se zavazují 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</w:t>
      </w:r>
    </w:p>
    <w:p w14:paraId="426DFB11" w14:textId="69114275" w:rsid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Na odpovědnost smluvních stran za škodu či jinou újmu se vztahují ustanovení platných a účinných právních předpisů, zejména občanského zákoníku.</w:t>
      </w:r>
    </w:p>
    <w:p w14:paraId="41F9D6D7" w14:textId="5624C228" w:rsidR="003D4D4C" w:rsidRDefault="00A24197" w:rsidP="003D4D4C">
      <w:pPr>
        <w:pStyle w:val="Odstavecseseznamem"/>
        <w:numPr>
          <w:ilvl w:val="1"/>
          <w:numId w:val="1"/>
        </w:numPr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V případě porušení</w:t>
      </w:r>
      <w:r w:rsidR="00817F0D"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závazku </w:t>
      </w:r>
      <w:r w:rsidR="00817F0D"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uvedeného 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v odst. 5.6.</w:t>
      </w:r>
      <w:r w:rsidR="00817F0D"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, 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6.3. </w:t>
      </w:r>
      <w:r w:rsidR="00817F0D"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a 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6.4. této smlouvy, </w:t>
      </w:r>
      <w:r w:rsidR="00817F0D"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br/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se Poskytovatel zavazuje zaplatit Objednateli smluvní pokutu ve výši 5</w:t>
      </w:r>
      <w:r w:rsidR="00844B7F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000,- Kč, a to za každé takové porušení závazku. </w:t>
      </w:r>
    </w:p>
    <w:p w14:paraId="13CD5925" w14:textId="77777777" w:rsidR="003D4D4C" w:rsidRDefault="003D4D4C" w:rsidP="00844B7F">
      <w:pPr>
        <w:pStyle w:val="Odstavecseseznamem"/>
        <w:spacing w:line="276" w:lineRule="auto"/>
        <w:ind w:left="432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</w:p>
    <w:p w14:paraId="562F603D" w14:textId="21762C87" w:rsidR="00A24197" w:rsidRPr="00844B7F" w:rsidRDefault="003D4D4C" w:rsidP="00844B7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Smluvní pokutu stejně jako případnou škodu či jinou újmu vzniklou Objednateli vlivem činnosti </w:t>
      </w:r>
      <w:r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Poskytovatele,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se </w:t>
      </w:r>
      <w:r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Poskytovate</w:t>
      </w:r>
      <w:r w:rsidRPr="003D4D4C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l zavazuje zaplatit Objednateli nejpozději do 30 kalendářních dnů ode dne následujícího po dni v němž mu bylo doporučeno písemné sdělení Objednatele o vzniku jeho nároku na úhradu smluvní pokuty a její výši, resp. vzniklé škody či jiné újmy a její výši.</w:t>
      </w:r>
    </w:p>
    <w:p w14:paraId="1045867B" w14:textId="6F752FF6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spacing w:before="480" w:after="120" w:line="276" w:lineRule="auto"/>
        <w:ind w:left="426" w:hanging="426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7D0756">
        <w:rPr>
          <w:rFonts w:ascii="Arial" w:eastAsia="Times New Roman" w:hAnsi="Arial" w:cs="Arial"/>
          <w:b/>
          <w:snapToGrid w:val="0"/>
          <w:szCs w:val="20"/>
          <w:lang w:eastAsia="cs-CZ"/>
        </w:rPr>
        <w:t>Kontaktní osoby</w:t>
      </w:r>
    </w:p>
    <w:p w14:paraId="5644E537" w14:textId="446B5918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t>Kontaktní osobou Objednatele je</w:t>
      </w:r>
      <w:r w:rsidR="00815137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>Ing. Tomáš Machanec, MBA</w:t>
      </w:r>
      <w:r w:rsidR="003B46D9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2C1A423A" w14:textId="6545D558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t>Kontaktní osobou Poskytovatele je JUDr. Helena Maříková</w:t>
      </w:r>
      <w:r w:rsidR="003B46D9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066B7D58" w14:textId="77777777" w:rsidR="007D0756" w:rsidRPr="007D0756" w:rsidRDefault="007D0756" w:rsidP="00CC4C9F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480" w:after="120" w:line="276" w:lineRule="auto"/>
        <w:ind w:left="425" w:hanging="425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cs-CZ"/>
        </w:rPr>
      </w:pPr>
      <w:bookmarkStart w:id="101" w:name="_Toc203291571"/>
      <w:bookmarkStart w:id="102" w:name="_Toc203292591"/>
      <w:bookmarkStart w:id="103" w:name="_Toc203306980"/>
      <w:bookmarkStart w:id="104" w:name="_Toc204476148"/>
      <w:bookmarkStart w:id="105" w:name="_Toc235235107"/>
      <w:bookmarkStart w:id="106" w:name="_Toc238266062"/>
      <w:bookmarkStart w:id="107" w:name="_Toc240357481"/>
      <w:bookmarkStart w:id="108" w:name="_Toc240444517"/>
      <w:bookmarkStart w:id="109" w:name="_Toc240703983"/>
      <w:bookmarkStart w:id="110" w:name="_Toc240704357"/>
      <w:bookmarkStart w:id="111" w:name="_Toc240792074"/>
      <w:bookmarkStart w:id="112" w:name="_Toc240792934"/>
      <w:bookmarkStart w:id="113" w:name="_Toc241496098"/>
      <w:bookmarkStart w:id="114" w:name="_Toc241501199"/>
      <w:bookmarkStart w:id="115" w:name="_Toc241501596"/>
      <w:bookmarkStart w:id="116" w:name="_Toc241657913"/>
      <w:bookmarkStart w:id="117" w:name="_Toc243380736"/>
      <w:bookmarkStart w:id="118" w:name="_Toc274231392"/>
      <w:bookmarkStart w:id="119" w:name="_Toc274234509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7D0756">
        <w:rPr>
          <w:rFonts w:ascii="Arial" w:eastAsia="Times New Roman" w:hAnsi="Arial" w:cs="Arial"/>
          <w:b/>
          <w:bCs/>
          <w:szCs w:val="20"/>
          <w:lang w:eastAsia="cs-CZ"/>
        </w:rPr>
        <w:t>Závěrečná ustanovení</w:t>
      </w:r>
    </w:p>
    <w:p w14:paraId="64B45D60" w14:textId="7DC2A917" w:rsidR="007D0756" w:rsidRPr="00C757E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C757E6">
        <w:rPr>
          <w:rFonts w:ascii="Arial" w:eastAsia="Times New Roman" w:hAnsi="Arial" w:cs="Arial"/>
          <w:snapToGrid w:val="0"/>
          <w:sz w:val="20"/>
          <w:szCs w:val="20"/>
        </w:rPr>
        <w:t xml:space="preserve">Tato smlouva se uzavírá na dobu určitou, </w:t>
      </w:r>
      <w:r w:rsidRPr="00C757E6">
        <w:rPr>
          <w:rFonts w:ascii="Arial" w:eastAsia="Times New Roman" w:hAnsi="Arial" w:cs="Arial"/>
          <w:b/>
          <w:snapToGrid w:val="0"/>
          <w:sz w:val="20"/>
          <w:szCs w:val="20"/>
        </w:rPr>
        <w:t>a to do 31.</w:t>
      </w:r>
      <w:r w:rsidR="00187D0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C757E6">
        <w:rPr>
          <w:rFonts w:ascii="Arial" w:eastAsia="Times New Roman" w:hAnsi="Arial" w:cs="Arial"/>
          <w:b/>
          <w:snapToGrid w:val="0"/>
          <w:sz w:val="20"/>
          <w:szCs w:val="20"/>
        </w:rPr>
        <w:t>12.</w:t>
      </w:r>
      <w:r w:rsidR="00187D0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C757E6">
        <w:rPr>
          <w:rFonts w:ascii="Arial" w:eastAsia="Times New Roman" w:hAnsi="Arial" w:cs="Arial"/>
          <w:b/>
          <w:snapToGrid w:val="0"/>
          <w:sz w:val="20"/>
          <w:szCs w:val="20"/>
        </w:rPr>
        <w:t>20</w:t>
      </w:r>
      <w:r w:rsidR="008F49B7">
        <w:rPr>
          <w:rFonts w:ascii="Arial" w:eastAsia="Times New Roman" w:hAnsi="Arial" w:cs="Arial"/>
          <w:b/>
          <w:snapToGrid w:val="0"/>
          <w:sz w:val="20"/>
          <w:szCs w:val="20"/>
        </w:rPr>
        <w:t>2</w:t>
      </w:r>
      <w:r w:rsidR="00AC0CD8">
        <w:rPr>
          <w:rFonts w:ascii="Arial" w:eastAsia="Times New Roman" w:hAnsi="Arial" w:cs="Arial"/>
          <w:b/>
          <w:snapToGrid w:val="0"/>
          <w:sz w:val="20"/>
          <w:szCs w:val="20"/>
        </w:rPr>
        <w:t>4</w:t>
      </w:r>
      <w:r w:rsidRPr="00C757E6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  <w:r w:rsidRPr="00C757E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A24197">
        <w:rPr>
          <w:rFonts w:ascii="Arial" w:eastAsia="Times New Roman" w:hAnsi="Arial" w:cs="Arial"/>
          <w:snapToGrid w:val="0"/>
          <w:sz w:val="20"/>
          <w:szCs w:val="20"/>
        </w:rPr>
        <w:t>Tato smlouva n</w:t>
      </w:r>
      <w:r w:rsidRPr="00C757E6">
        <w:rPr>
          <w:rFonts w:ascii="Arial" w:eastAsia="Times New Roman" w:hAnsi="Arial" w:cs="Arial"/>
          <w:snapToGrid w:val="0"/>
          <w:sz w:val="20"/>
          <w:szCs w:val="20"/>
        </w:rPr>
        <w:t xml:space="preserve">abývá platnosti dnem jejího podpisu oběma </w:t>
      </w:r>
      <w:r w:rsidR="00A24197">
        <w:rPr>
          <w:rFonts w:ascii="Arial" w:eastAsia="Times New Roman" w:hAnsi="Arial" w:cs="Arial"/>
          <w:snapToGrid w:val="0"/>
          <w:sz w:val="20"/>
          <w:szCs w:val="20"/>
        </w:rPr>
        <w:t xml:space="preserve">smluvními </w:t>
      </w:r>
      <w:r w:rsidRPr="00C757E6">
        <w:rPr>
          <w:rFonts w:ascii="Arial" w:eastAsia="Times New Roman" w:hAnsi="Arial" w:cs="Arial"/>
          <w:snapToGrid w:val="0"/>
          <w:sz w:val="20"/>
          <w:szCs w:val="20"/>
        </w:rPr>
        <w:t xml:space="preserve">stranami a účinnosti dnem jejího uveřejnění prostřednictvím Registru smluv dle </w:t>
      </w:r>
      <w:r w:rsidRPr="00C757E6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zákona č. 340/2015 Sb., o zvláštních podmínkách účinnosti některých smluv, uveřejňování těchto smluv a o registru smluv (zákon o registru smluv), ve znění pozdějších předpisů.</w:t>
      </w:r>
      <w:r w:rsidR="00815137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Publikaci v Registru smluv zajistí Objednatel. </w:t>
      </w:r>
    </w:p>
    <w:p w14:paraId="766F25DB" w14:textId="2FDDCCFF" w:rsidR="007D0756" w:rsidRPr="007D0756" w:rsidRDefault="00A24197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Dobu trvání</w:t>
      </w:r>
      <w:r w:rsidRPr="007D075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  <w:r w:rsidR="007D0756" w:rsidRPr="007D075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této smlouvy lze ukončit písemnou dohodou podepsanou oprávněnými zástupci obou smluvních stran.</w:t>
      </w:r>
    </w:p>
    <w:p w14:paraId="210C37AC" w14:textId="6C4C4923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t xml:space="preserve">Objednatel je oprávněn tuto smlouvu vypovědět i bez uvedení důvodu. Výpovědní lhůta činí 1 týden a počíná běžet dnem následujícím po dni prokazatelného doručení písemné výpovědi </w:t>
      </w:r>
      <w:r w:rsidR="00D67A10">
        <w:rPr>
          <w:rFonts w:ascii="Arial" w:eastAsia="Times New Roman" w:hAnsi="Arial" w:cs="Arial"/>
          <w:snapToGrid w:val="0"/>
          <w:sz w:val="20"/>
          <w:szCs w:val="20"/>
        </w:rPr>
        <w:t>P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>oskytovateli.</w:t>
      </w:r>
    </w:p>
    <w:p w14:paraId="6CC097B9" w14:textId="75F3DE09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lastRenderedPageBreak/>
        <w:t xml:space="preserve">Ukončením </w:t>
      </w:r>
      <w:r w:rsidR="00A24197">
        <w:rPr>
          <w:rFonts w:ascii="Arial" w:eastAsia="Times New Roman" w:hAnsi="Arial" w:cs="Arial"/>
          <w:snapToGrid w:val="0"/>
          <w:sz w:val="20"/>
          <w:szCs w:val="20"/>
        </w:rPr>
        <w:t>doby trvání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 xml:space="preserve"> této smlouvy nebo její části nejsou dotčena ustanovení týkající se ochrany důvěrných informací, </w:t>
      </w:r>
      <w:r w:rsidR="00A24197">
        <w:rPr>
          <w:rFonts w:ascii="Arial" w:eastAsia="Times New Roman" w:hAnsi="Arial" w:cs="Arial"/>
          <w:snapToGrid w:val="0"/>
          <w:sz w:val="20"/>
          <w:szCs w:val="20"/>
        </w:rPr>
        <w:t xml:space="preserve">smluvních 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 xml:space="preserve">pokut, náhrady škody </w:t>
      </w:r>
      <w:r w:rsidR="00DD4DC4">
        <w:rPr>
          <w:rFonts w:ascii="Arial" w:eastAsia="Times New Roman" w:hAnsi="Arial" w:cs="Arial"/>
          <w:snapToGrid w:val="0"/>
          <w:sz w:val="20"/>
          <w:szCs w:val="20"/>
        </w:rPr>
        <w:t xml:space="preserve">či jiné újmy 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>a jiných nároků (včetně zajištění přetrvávajících povinností), rozhodného práva a řešení sporů přetrvávajících ze své povahy i po ukončení t</w:t>
      </w:r>
      <w:r w:rsidR="00A24197">
        <w:rPr>
          <w:rFonts w:ascii="Arial" w:eastAsia="Times New Roman" w:hAnsi="Arial" w:cs="Arial"/>
          <w:snapToGrid w:val="0"/>
          <w:sz w:val="20"/>
          <w:szCs w:val="20"/>
        </w:rPr>
        <w:t>é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>to smlouvy.</w:t>
      </w:r>
    </w:p>
    <w:p w14:paraId="33899708" w14:textId="77777777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t>Jakékoliv změny nebo doplňky této smlouvy musí být řešeny písemně, formou číslovaných dodatků odsouhlasenými a podepsanými oběma smluvními stranami.</w:t>
      </w:r>
    </w:p>
    <w:p w14:paraId="4073ED71" w14:textId="77479AAF" w:rsidR="007D0756" w:rsidRPr="007D0756" w:rsidRDefault="007D0756" w:rsidP="00CC4C9F">
      <w:pPr>
        <w:numPr>
          <w:ilvl w:val="1"/>
          <w:numId w:val="1"/>
        </w:numPr>
        <w:tabs>
          <w:tab w:val="num" w:pos="567"/>
        </w:tabs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napToGrid w:val="0"/>
          <w:sz w:val="20"/>
          <w:szCs w:val="20"/>
        </w:rPr>
        <w:t xml:space="preserve">Tato smlouva je vyhotovena ve čtyřech (4) stejnopisech s platností originálu, z nichž tři (3) obdrží </w:t>
      </w:r>
      <w:r w:rsidR="00D67A10">
        <w:rPr>
          <w:rFonts w:ascii="Arial" w:eastAsia="Times New Roman" w:hAnsi="Arial" w:cs="Arial"/>
          <w:snapToGrid w:val="0"/>
          <w:sz w:val="20"/>
          <w:szCs w:val="20"/>
        </w:rPr>
        <w:t>O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 xml:space="preserve">bjednatel a jeden (1) obdrží </w:t>
      </w:r>
      <w:r w:rsidR="00D67A10">
        <w:rPr>
          <w:rFonts w:ascii="Arial" w:eastAsia="Times New Roman" w:hAnsi="Arial" w:cs="Arial"/>
          <w:snapToGrid w:val="0"/>
          <w:sz w:val="20"/>
          <w:szCs w:val="20"/>
        </w:rPr>
        <w:t>P</w:t>
      </w:r>
      <w:r w:rsidRPr="007D0756">
        <w:rPr>
          <w:rFonts w:ascii="Arial" w:eastAsia="Times New Roman" w:hAnsi="Arial" w:cs="Arial"/>
          <w:snapToGrid w:val="0"/>
          <w:sz w:val="20"/>
          <w:szCs w:val="20"/>
        </w:rPr>
        <w:t>oskytovatel.</w:t>
      </w:r>
    </w:p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p w14:paraId="3A68D23B" w14:textId="7115539D" w:rsidR="007D0756" w:rsidRPr="00CC4C9F" w:rsidRDefault="007D0756" w:rsidP="00CC4C9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</w:pPr>
      <w:r w:rsidRP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Záležitosti v této smlouvě výslovně neupravené se řídí příslušnými ustanoveními platných a účinných právních předpisů, zejména občanským zákoníkem.</w:t>
      </w:r>
      <w:r w:rsidR="004118F2" w:rsidRP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 Smluvní strany se zavazují vyvinout maximální úsilí k odstranění vzájemných sporů vzniklých na základě této </w:t>
      </w:r>
      <w:r w:rsid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s</w:t>
      </w:r>
      <w:r w:rsidR="004118F2" w:rsidRP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 xml:space="preserve">mlouvy nebo v souvislosti s touto </w:t>
      </w:r>
      <w:r w:rsid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s</w:t>
      </w:r>
      <w:r w:rsidR="004118F2" w:rsidRPr="004118F2">
        <w:rPr>
          <w:rFonts w:ascii="Arial" w:eastAsia="Times New Roman" w:hAnsi="Arial" w:cs="Arial"/>
          <w:bCs/>
          <w:snapToGrid w:val="0"/>
          <w:sz w:val="20"/>
          <w:szCs w:val="20"/>
          <w:lang w:eastAsia="cs-CZ"/>
        </w:rPr>
        <w:t>mlouvou a k jejich vyřešení. Nedohodnou-li se smluvní strany na způsobu řešení vzájemného sporu, spor bude rozhodován věcně a místně příslušnými soudy České republiky.</w:t>
      </w:r>
    </w:p>
    <w:p w14:paraId="6255F487" w14:textId="77777777" w:rsidR="007D0756" w:rsidRPr="007D0756" w:rsidRDefault="007D0756" w:rsidP="00CC4C9F">
      <w:pPr>
        <w:overflowPunct w:val="0"/>
        <w:autoSpaceDE w:val="0"/>
        <w:autoSpaceDN w:val="0"/>
        <w:adjustRightInd w:val="0"/>
        <w:spacing w:before="60" w:after="40" w:line="276" w:lineRule="auto"/>
        <w:ind w:left="850" w:hanging="34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92C9BE" w14:textId="77777777" w:rsidR="007D0756" w:rsidRPr="007D0756" w:rsidRDefault="007D0756" w:rsidP="00CC4C9F">
      <w:pPr>
        <w:overflowPunct w:val="0"/>
        <w:autoSpaceDE w:val="0"/>
        <w:autoSpaceDN w:val="0"/>
        <w:adjustRightInd w:val="0"/>
        <w:spacing w:before="60" w:after="40" w:line="276" w:lineRule="auto"/>
        <w:ind w:left="850" w:hanging="34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1"/>
        <w:gridCol w:w="4721"/>
      </w:tblGrid>
      <w:tr w:rsidR="007D0756" w:rsidRPr="007D0756" w14:paraId="3073E42E" w14:textId="77777777" w:rsidTr="0097259B">
        <w:tc>
          <w:tcPr>
            <w:tcW w:w="4275" w:type="dxa"/>
            <w:shd w:val="clear" w:color="auto" w:fill="auto"/>
            <w:vAlign w:val="center"/>
          </w:tcPr>
          <w:p w14:paraId="18524AAE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Za Poskytovatele:</w:t>
            </w:r>
          </w:p>
          <w:p w14:paraId="2807A1B8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47D3E5A3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Za Objednatele:</w:t>
            </w:r>
          </w:p>
          <w:p w14:paraId="271D773B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7D0756" w:rsidRPr="007D0756" w14:paraId="7A87B311" w14:textId="77777777" w:rsidTr="0097259B">
        <w:tc>
          <w:tcPr>
            <w:tcW w:w="4275" w:type="dxa"/>
            <w:shd w:val="clear" w:color="auto" w:fill="auto"/>
            <w:vAlign w:val="bottom"/>
          </w:tcPr>
          <w:p w14:paraId="69059911" w14:textId="77777777" w:rsidR="007D0756" w:rsidRPr="007D0756" w:rsidRDefault="007D0756" w:rsidP="00CC4C9F">
            <w:pPr>
              <w:tabs>
                <w:tab w:val="left" w:pos="5103"/>
              </w:tabs>
              <w:spacing w:after="120"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V Praze dne ___________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16CE11A5" w14:textId="77777777" w:rsidR="007D0756" w:rsidRPr="007D0756" w:rsidRDefault="007D0756" w:rsidP="00CC4C9F">
            <w:pPr>
              <w:tabs>
                <w:tab w:val="left" w:pos="5103"/>
              </w:tabs>
              <w:spacing w:after="120"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V Praze dne ___________</w:t>
            </w:r>
          </w:p>
        </w:tc>
      </w:tr>
      <w:tr w:rsidR="007D0756" w:rsidRPr="007D0756" w14:paraId="7F29F2D6" w14:textId="77777777" w:rsidTr="0097259B">
        <w:tc>
          <w:tcPr>
            <w:tcW w:w="4275" w:type="dxa"/>
            <w:shd w:val="clear" w:color="auto" w:fill="auto"/>
          </w:tcPr>
          <w:p w14:paraId="42ED81FF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  <w:p w14:paraId="2CA0DFFD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______________________________</w:t>
            </w:r>
          </w:p>
          <w:p w14:paraId="32BDCA46" w14:textId="77777777" w:rsidR="007D0756" w:rsidRPr="007D0756" w:rsidRDefault="007D0756" w:rsidP="00CC4C9F">
            <w:pPr>
              <w:tabs>
                <w:tab w:val="left" w:pos="5103"/>
              </w:tabs>
              <w:spacing w:before="120"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JUDr. Helena Maříková</w:t>
            </w:r>
          </w:p>
        </w:tc>
        <w:tc>
          <w:tcPr>
            <w:tcW w:w="4797" w:type="dxa"/>
            <w:shd w:val="clear" w:color="auto" w:fill="auto"/>
          </w:tcPr>
          <w:p w14:paraId="36059F58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  <w:p w14:paraId="10BECA7D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______________________________</w:t>
            </w:r>
          </w:p>
          <w:p w14:paraId="026AD6E2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Ing. Tomáš Machanec, MBA</w:t>
            </w:r>
          </w:p>
          <w:p w14:paraId="57C25BCA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ředitel odboru sociálního pojištění</w:t>
            </w:r>
          </w:p>
          <w:p w14:paraId="56483D5C" w14:textId="77777777" w:rsidR="007D0756" w:rsidRPr="007D0756" w:rsidRDefault="007D0756" w:rsidP="00CC4C9F">
            <w:pPr>
              <w:tabs>
                <w:tab w:val="left" w:pos="5103"/>
              </w:tabs>
              <w:spacing w:before="120"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 xml:space="preserve"> Česká republika – Ministerstvo práce</w:t>
            </w:r>
          </w:p>
          <w:p w14:paraId="2C66CF42" w14:textId="77777777" w:rsidR="007D0756" w:rsidRPr="007D0756" w:rsidRDefault="007D0756" w:rsidP="00CC4C9F">
            <w:pPr>
              <w:tabs>
                <w:tab w:val="left" w:pos="5103"/>
              </w:tabs>
              <w:spacing w:line="276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D0756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 xml:space="preserve"> a sociálních věcí</w:t>
            </w:r>
          </w:p>
        </w:tc>
      </w:tr>
    </w:tbl>
    <w:p w14:paraId="0755F01C" w14:textId="77777777" w:rsidR="007D0756" w:rsidRPr="007D0756" w:rsidRDefault="007D0756" w:rsidP="00CC4C9F">
      <w:pPr>
        <w:overflowPunct w:val="0"/>
        <w:autoSpaceDE w:val="0"/>
        <w:autoSpaceDN w:val="0"/>
        <w:adjustRightInd w:val="0"/>
        <w:spacing w:before="60" w:after="4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E91919" w14:textId="77777777" w:rsidR="007D0756" w:rsidRPr="007D0756" w:rsidRDefault="007D0756" w:rsidP="00CC4C9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7D075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7748D07" w14:textId="77777777" w:rsidR="007D0756" w:rsidRPr="007D0756" w:rsidRDefault="007D0756" w:rsidP="00CC4C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53212F" w14:textId="77777777" w:rsidR="007A1B30" w:rsidRDefault="007A1B30" w:rsidP="00CC4C9F">
      <w:pPr>
        <w:spacing w:line="276" w:lineRule="auto"/>
      </w:pPr>
    </w:p>
    <w:sectPr w:rsidR="007A1B30" w:rsidSect="00F22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299F" w14:textId="77777777" w:rsidR="000233C9" w:rsidRDefault="000233C9">
      <w:r>
        <w:separator/>
      </w:r>
    </w:p>
  </w:endnote>
  <w:endnote w:type="continuationSeparator" w:id="0">
    <w:p w14:paraId="18B9935F" w14:textId="77777777" w:rsidR="000233C9" w:rsidRDefault="000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0F52" w14:textId="77777777" w:rsidR="001D2B87" w:rsidRDefault="001D2B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5C81" w14:textId="77777777" w:rsidR="006E0DFE" w:rsidRPr="009C7C95" w:rsidRDefault="007D0756">
    <w:pPr>
      <w:pStyle w:val="Zpat"/>
      <w:jc w:val="center"/>
      <w:rPr>
        <w:rFonts w:ascii="Arial" w:hAnsi="Arial" w:cs="Arial"/>
        <w:sz w:val="18"/>
      </w:rPr>
    </w:pPr>
    <w:r w:rsidRPr="009C7C95">
      <w:rPr>
        <w:rFonts w:ascii="Arial" w:hAnsi="Arial" w:cs="Arial"/>
        <w:sz w:val="18"/>
      </w:rPr>
      <w:t xml:space="preserve">Stránka </w:t>
    </w:r>
    <w:r w:rsidRPr="009C7C95">
      <w:rPr>
        <w:rFonts w:ascii="Arial" w:hAnsi="Arial" w:cs="Arial"/>
        <w:b/>
        <w:bCs/>
        <w:sz w:val="18"/>
      </w:rPr>
      <w:fldChar w:fldCharType="begin"/>
    </w:r>
    <w:r w:rsidRPr="009C7C95">
      <w:rPr>
        <w:rFonts w:ascii="Arial" w:hAnsi="Arial" w:cs="Arial"/>
        <w:b/>
        <w:bCs/>
        <w:sz w:val="18"/>
      </w:rPr>
      <w:instrText>PAGE</w:instrText>
    </w:r>
    <w:r w:rsidRPr="009C7C95">
      <w:rPr>
        <w:rFonts w:ascii="Arial" w:hAnsi="Arial" w:cs="Arial"/>
        <w:b/>
        <w:bCs/>
        <w:sz w:val="18"/>
      </w:rPr>
      <w:fldChar w:fldCharType="separate"/>
    </w:r>
    <w:r w:rsidR="0013151E">
      <w:rPr>
        <w:rFonts w:ascii="Arial" w:hAnsi="Arial" w:cs="Arial"/>
        <w:b/>
        <w:bCs/>
        <w:noProof/>
        <w:sz w:val="18"/>
      </w:rPr>
      <w:t>5</w:t>
    </w:r>
    <w:r w:rsidRPr="009C7C95">
      <w:rPr>
        <w:rFonts w:ascii="Arial" w:hAnsi="Arial" w:cs="Arial"/>
        <w:b/>
        <w:bCs/>
        <w:sz w:val="18"/>
      </w:rPr>
      <w:fldChar w:fldCharType="end"/>
    </w:r>
    <w:r w:rsidRPr="009C7C95">
      <w:rPr>
        <w:rFonts w:ascii="Arial" w:hAnsi="Arial" w:cs="Arial"/>
        <w:sz w:val="18"/>
      </w:rPr>
      <w:t xml:space="preserve"> z </w:t>
    </w:r>
    <w:r w:rsidRPr="009C7C95">
      <w:rPr>
        <w:rFonts w:ascii="Arial" w:hAnsi="Arial" w:cs="Arial"/>
        <w:b/>
        <w:bCs/>
        <w:sz w:val="18"/>
      </w:rPr>
      <w:fldChar w:fldCharType="begin"/>
    </w:r>
    <w:r w:rsidRPr="009C7C95">
      <w:rPr>
        <w:rFonts w:ascii="Arial" w:hAnsi="Arial" w:cs="Arial"/>
        <w:b/>
        <w:bCs/>
        <w:sz w:val="18"/>
      </w:rPr>
      <w:instrText>NUMPAGES</w:instrText>
    </w:r>
    <w:r w:rsidRPr="009C7C95">
      <w:rPr>
        <w:rFonts w:ascii="Arial" w:hAnsi="Arial" w:cs="Arial"/>
        <w:b/>
        <w:bCs/>
        <w:sz w:val="18"/>
      </w:rPr>
      <w:fldChar w:fldCharType="separate"/>
    </w:r>
    <w:r w:rsidR="0013151E">
      <w:rPr>
        <w:rFonts w:ascii="Arial" w:hAnsi="Arial" w:cs="Arial"/>
        <w:b/>
        <w:bCs/>
        <w:noProof/>
        <w:sz w:val="18"/>
      </w:rPr>
      <w:t>5</w:t>
    </w:r>
    <w:r w:rsidRPr="009C7C95">
      <w:rPr>
        <w:rFonts w:ascii="Arial" w:hAnsi="Arial" w:cs="Arial"/>
        <w:b/>
        <w:bCs/>
        <w:sz w:val="18"/>
      </w:rPr>
      <w:fldChar w:fldCharType="end"/>
    </w:r>
  </w:p>
  <w:p w14:paraId="52DA8DAA" w14:textId="77777777" w:rsidR="006E0DFE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A572" w14:textId="77777777" w:rsidR="001D2B87" w:rsidRDefault="001D2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A4F9" w14:textId="77777777" w:rsidR="000233C9" w:rsidRDefault="000233C9">
      <w:r>
        <w:separator/>
      </w:r>
    </w:p>
  </w:footnote>
  <w:footnote w:type="continuationSeparator" w:id="0">
    <w:p w14:paraId="6E95CA78" w14:textId="77777777" w:rsidR="000233C9" w:rsidRDefault="0002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02F1" w14:textId="77777777" w:rsidR="001D2B87" w:rsidRDefault="001D2B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DA1" w14:textId="0E4482D1" w:rsidR="00EA4D52" w:rsidRDefault="00000000" w:rsidP="00EA4D52">
    <w:pPr>
      <w:pStyle w:val="Zhlav"/>
      <w:jc w:val="right"/>
    </w:pPr>
  </w:p>
  <w:p w14:paraId="65D164AC" w14:textId="77777777" w:rsidR="008E18C6" w:rsidRPr="008E18C6" w:rsidRDefault="00000000" w:rsidP="006E3469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F3A" w14:textId="6E715E88" w:rsidR="00704189" w:rsidRPr="00481490" w:rsidRDefault="00000000" w:rsidP="00481490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E87"/>
    <w:multiLevelType w:val="multilevel"/>
    <w:tmpl w:val="1618F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6017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56"/>
    <w:rsid w:val="000233C9"/>
    <w:rsid w:val="000303CB"/>
    <w:rsid w:val="000465A0"/>
    <w:rsid w:val="000642F9"/>
    <w:rsid w:val="00086FB0"/>
    <w:rsid w:val="0009510C"/>
    <w:rsid w:val="0013151E"/>
    <w:rsid w:val="00187D07"/>
    <w:rsid w:val="00195966"/>
    <w:rsid w:val="001D2B87"/>
    <w:rsid w:val="00223280"/>
    <w:rsid w:val="002423B1"/>
    <w:rsid w:val="00357701"/>
    <w:rsid w:val="00382175"/>
    <w:rsid w:val="003B46D9"/>
    <w:rsid w:val="003B6CC3"/>
    <w:rsid w:val="003D4D4C"/>
    <w:rsid w:val="004118F2"/>
    <w:rsid w:val="004735B0"/>
    <w:rsid w:val="004C75EF"/>
    <w:rsid w:val="004F1A20"/>
    <w:rsid w:val="00625540"/>
    <w:rsid w:val="006355D4"/>
    <w:rsid w:val="00646466"/>
    <w:rsid w:val="006822C9"/>
    <w:rsid w:val="006D4C4D"/>
    <w:rsid w:val="006E62EC"/>
    <w:rsid w:val="00740770"/>
    <w:rsid w:val="007A1B30"/>
    <w:rsid w:val="007D0756"/>
    <w:rsid w:val="007E5100"/>
    <w:rsid w:val="007F70F0"/>
    <w:rsid w:val="00815137"/>
    <w:rsid w:val="00817F0D"/>
    <w:rsid w:val="00831B12"/>
    <w:rsid w:val="00844B7F"/>
    <w:rsid w:val="008920A2"/>
    <w:rsid w:val="008E2965"/>
    <w:rsid w:val="008F49B7"/>
    <w:rsid w:val="00A24197"/>
    <w:rsid w:val="00AA1628"/>
    <w:rsid w:val="00AB0B02"/>
    <w:rsid w:val="00AB5E5F"/>
    <w:rsid w:val="00AC0CD8"/>
    <w:rsid w:val="00B80FFA"/>
    <w:rsid w:val="00BF6730"/>
    <w:rsid w:val="00C61DA9"/>
    <w:rsid w:val="00C62BAF"/>
    <w:rsid w:val="00C757E6"/>
    <w:rsid w:val="00C761B8"/>
    <w:rsid w:val="00C814D4"/>
    <w:rsid w:val="00CB1020"/>
    <w:rsid w:val="00CC4C9F"/>
    <w:rsid w:val="00CE7E0A"/>
    <w:rsid w:val="00D2228E"/>
    <w:rsid w:val="00D67A10"/>
    <w:rsid w:val="00D97363"/>
    <w:rsid w:val="00DA1FF3"/>
    <w:rsid w:val="00DD1AC9"/>
    <w:rsid w:val="00DD4DC4"/>
    <w:rsid w:val="00DE51CF"/>
    <w:rsid w:val="00E82C7B"/>
    <w:rsid w:val="00E85ABF"/>
    <w:rsid w:val="00F10C2F"/>
    <w:rsid w:val="00F26B0F"/>
    <w:rsid w:val="00FA2231"/>
    <w:rsid w:val="00FB3DDE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0702B"/>
  <w15:docId w15:val="{9FEB8C32-235E-4228-99C8-501A074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756"/>
    <w:pPr>
      <w:tabs>
        <w:tab w:val="center" w:pos="4536"/>
        <w:tab w:val="right" w:pos="9072"/>
      </w:tabs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7D0756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7D0756"/>
    <w:pPr>
      <w:tabs>
        <w:tab w:val="center" w:pos="4536"/>
        <w:tab w:val="right" w:pos="9072"/>
      </w:tabs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patChar">
    <w:name w:val="Zápatí Char"/>
    <w:basedOn w:val="Standardnpsmoodstavce"/>
    <w:link w:val="Zpat"/>
    <w:uiPriority w:val="99"/>
    <w:rsid w:val="007D0756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7D0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2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Stoppaniová Radka DiS. (MPSV)</cp:lastModifiedBy>
  <cp:revision>4</cp:revision>
  <cp:lastPrinted>2018-03-09T09:27:00Z</cp:lastPrinted>
  <dcterms:created xsi:type="dcterms:W3CDTF">2024-02-14T11:31:00Z</dcterms:created>
  <dcterms:modified xsi:type="dcterms:W3CDTF">2024-02-14T11:34:00Z</dcterms:modified>
</cp:coreProperties>
</file>