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5220300046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Krajská</w:t>
      </w:r>
      <w:r>
        <w:rPr>
          <w:spacing w:val="-6"/>
        </w:rPr>
        <w:t> </w:t>
      </w:r>
      <w:r>
        <w:rPr/>
        <w:t>nemocnice</w:t>
      </w:r>
      <w:r>
        <w:rPr>
          <w:spacing w:val="-6"/>
        </w:rPr>
        <w:t> </w:t>
      </w:r>
      <w:r>
        <w:rPr/>
        <w:t>T.</w:t>
      </w:r>
      <w:r>
        <w:rPr>
          <w:spacing w:val="-6"/>
        </w:rPr>
        <w:t> </w:t>
      </w:r>
      <w:r>
        <w:rPr/>
        <w:t>Bati,</w:t>
      </w:r>
      <w:r>
        <w:rPr>
          <w:spacing w:val="-5"/>
        </w:rPr>
        <w:t> </w:t>
      </w:r>
      <w:r>
        <w:rPr/>
        <w:t>a.</w:t>
      </w:r>
      <w:r>
        <w:rPr>
          <w:spacing w:val="-6"/>
        </w:rPr>
        <w:t> </w:t>
      </w:r>
      <w:r>
        <w:rPr>
          <w:spacing w:val="-5"/>
        </w:rPr>
        <w:t>s.</w:t>
      </w:r>
    </w:p>
    <w:p>
      <w:pPr>
        <w:pStyle w:val="BodyText"/>
        <w:spacing w:line="237" w:lineRule="auto" w:before="2"/>
        <w:ind w:left="382" w:right="1424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 Krajským</w:t>
      </w:r>
      <w:r>
        <w:rPr>
          <w:spacing w:val="-4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Brně, oddíl B, vložka 4437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Havlíčkovo</w:t>
      </w:r>
      <w:r>
        <w:rPr>
          <w:spacing w:val="-5"/>
        </w:rPr>
        <w:t> </w:t>
      </w:r>
      <w:r>
        <w:rPr/>
        <w:t>nábřeží</w:t>
      </w:r>
      <w:r>
        <w:rPr>
          <w:spacing w:val="-4"/>
        </w:rPr>
        <w:t> </w:t>
      </w:r>
      <w:r>
        <w:rPr/>
        <w:t>600,</w:t>
      </w:r>
      <w:r>
        <w:rPr>
          <w:spacing w:val="-6"/>
        </w:rPr>
        <w:t> </w:t>
      </w:r>
      <w:r>
        <w:rPr/>
        <w:t>760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4"/>
        </w:rPr>
        <w:t>Zlín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27661989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Janem</w:t>
      </w:r>
      <w:r>
        <w:rPr>
          <w:spacing w:val="-2"/>
        </w:rPr>
        <w:t> </w:t>
      </w:r>
      <w:r>
        <w:rPr/>
        <w:t>H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ý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ind w:left="382" w:right="1043" w:firstLine="2904"/>
      </w:pPr>
      <w:r>
        <w:rPr/>
        <w:t>a</w:t>
      </w:r>
      <w:r>
        <w:rPr>
          <w:spacing w:val="-5"/>
        </w:rPr>
        <w:t> </w:t>
      </w:r>
      <w:r>
        <w:rPr/>
        <w:t>MUDr.</w:t>
      </w:r>
      <w:r>
        <w:rPr>
          <w:spacing w:val="-5"/>
        </w:rPr>
        <w:t> </w:t>
      </w:r>
      <w:r>
        <w:rPr/>
        <w:t>Marcelem</w:t>
      </w:r>
      <w:r>
        <w:rPr>
          <w:spacing w:val="-3"/>
        </w:rPr>
        <w:t> </w:t>
      </w:r>
      <w:r>
        <w:rPr/>
        <w:t>G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ř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Ph.</w:t>
      </w:r>
      <w:r>
        <w:rPr>
          <w:spacing w:val="-4"/>
        </w:rPr>
        <w:t> </w:t>
      </w:r>
      <w:r>
        <w:rPr/>
        <w:t>D.,</w:t>
      </w:r>
      <w:r>
        <w:rPr>
          <w:spacing w:val="-5"/>
        </w:rPr>
        <w:t> </w:t>
      </w:r>
      <w:r>
        <w:rPr/>
        <w:t>členem představenstva bankovní spojení:</w:t>
        <w:tab/>
        <w:t>UniCredit Bank Czech Republic and Slovakia, 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2108637168/2700</w:t>
      </w:r>
    </w:p>
    <w:p>
      <w:pPr>
        <w:pStyle w:val="BodyText"/>
        <w:spacing w:line="265" w:lineRule="exac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9"/>
        <w:jc w:val="both"/>
      </w:pPr>
      <w:r>
        <w:rPr/>
        <w:t>„Smlouva“) se uzavírá na základě Rozhodnutí ministra životního prostředí č. 5220300046 o poskytnutí finančních prostředků ze Státního fondu životního prostředí ČR ze dne 16.</w:t>
      </w:r>
      <w:r>
        <w:rPr>
          <w:spacing w:val="-3"/>
        </w:rPr>
        <w:t> </w:t>
      </w:r>
      <w:r>
        <w:rPr/>
        <w:t>9.</w:t>
      </w:r>
      <w:r>
        <w:rPr>
          <w:spacing w:val="-3"/>
        </w:rPr>
        <w:t> </w:t>
      </w:r>
      <w:r>
        <w:rPr/>
        <w:t>2022, jeho změny č. 1 ze dne 2. 10. 2023 a Směrnice Ministerstva životního prostředí č. 4/2015 o poskytování finančních 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prostřednictvím</w:t>
      </w:r>
      <w:r>
        <w:rPr>
          <w:spacing w:val="-1"/>
        </w:rPr>
        <w:t> </w:t>
      </w:r>
      <w:r>
        <w:rPr/>
        <w:t>Národního</w:t>
      </w:r>
      <w:r>
        <w:rPr>
          <w:spacing w:val="-3"/>
        </w:rPr>
        <w:t> </w:t>
      </w:r>
      <w:r>
        <w:rPr/>
        <w:t>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15"/>
        <w:jc w:val="both"/>
      </w:pPr>
      <w:r>
        <w:rPr/>
        <w:t>„Elektromobily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Krajskou</w:t>
      </w:r>
      <w:r>
        <w:rPr>
          <w:spacing w:val="-7"/>
        </w:rPr>
        <w:t> </w:t>
      </w:r>
      <w:r>
        <w:rPr/>
        <w:t>nemocnici</w:t>
      </w:r>
      <w:r>
        <w:rPr>
          <w:spacing w:val="-6"/>
        </w:rPr>
        <w:t> </w:t>
      </w:r>
      <w:r>
        <w:rPr/>
        <w:t>T.</w:t>
      </w:r>
      <w:r>
        <w:rPr>
          <w:spacing w:val="-6"/>
        </w:rPr>
        <w:t> </w:t>
      </w:r>
      <w:r>
        <w:rPr/>
        <w:t>Bati,</w:t>
      </w:r>
      <w:r>
        <w:rPr>
          <w:spacing w:val="-5"/>
        </w:rPr>
        <w:t> </w:t>
      </w:r>
      <w:r>
        <w:rPr/>
        <w:t>a.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>
          <w:spacing w:val="-4"/>
        </w:rPr>
        <w:t>II.“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Rozhodnutím</w:t>
      </w:r>
      <w:r>
        <w:rPr>
          <w:spacing w:val="-7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20.</w:t>
      </w:r>
      <w:r>
        <w:rPr>
          <w:spacing w:val="-8"/>
          <w:sz w:val="20"/>
        </w:rPr>
        <w:t> </w:t>
      </w:r>
      <w:r>
        <w:rPr>
          <w:sz w:val="20"/>
        </w:rPr>
        <w:t>prosince</w:t>
      </w:r>
      <w:r>
        <w:rPr>
          <w:spacing w:val="-9"/>
          <w:sz w:val="20"/>
        </w:rPr>
        <w:t> </w:t>
      </w:r>
      <w:r>
        <w:rPr>
          <w:sz w:val="20"/>
        </w:rPr>
        <w:t>2011 o použití čl. 106 odst. 2 Smlouvy o fungování Evropské unie na státní podporu ve formě vyrovnávací platby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závazek</w:t>
      </w:r>
      <w:r>
        <w:rPr>
          <w:spacing w:val="-14"/>
          <w:sz w:val="20"/>
        </w:rPr>
        <w:t> </w:t>
      </w:r>
      <w:r>
        <w:rPr>
          <w:sz w:val="20"/>
        </w:rPr>
        <w:t>veřejné</w:t>
      </w:r>
      <w:r>
        <w:rPr>
          <w:spacing w:val="-14"/>
          <w:sz w:val="20"/>
        </w:rPr>
        <w:t> </w:t>
      </w:r>
      <w:r>
        <w:rPr>
          <w:sz w:val="20"/>
        </w:rPr>
        <w:t>služby</w:t>
      </w:r>
      <w:r>
        <w:rPr>
          <w:spacing w:val="-13"/>
          <w:sz w:val="20"/>
        </w:rPr>
        <w:t> </w:t>
      </w:r>
      <w:r>
        <w:rPr>
          <w:sz w:val="20"/>
        </w:rPr>
        <w:t>udělené</w:t>
      </w:r>
      <w:r>
        <w:rPr>
          <w:spacing w:val="-14"/>
          <w:sz w:val="20"/>
        </w:rPr>
        <w:t> </w:t>
      </w:r>
      <w:r>
        <w:rPr>
          <w:sz w:val="20"/>
        </w:rPr>
        <w:t>určitým</w:t>
      </w:r>
      <w:r>
        <w:rPr>
          <w:spacing w:val="-12"/>
          <w:sz w:val="20"/>
        </w:rPr>
        <w:t> </w:t>
      </w:r>
      <w:r>
        <w:rPr>
          <w:sz w:val="20"/>
        </w:rPr>
        <w:t>podnikům</w:t>
      </w:r>
      <w:r>
        <w:rPr>
          <w:spacing w:val="-12"/>
          <w:sz w:val="20"/>
        </w:rPr>
        <w:t> </w:t>
      </w:r>
      <w:r>
        <w:rPr>
          <w:sz w:val="20"/>
        </w:rPr>
        <w:t>pověřeným</w:t>
      </w:r>
      <w:r>
        <w:rPr>
          <w:spacing w:val="-13"/>
          <w:sz w:val="20"/>
        </w:rPr>
        <w:t> </w:t>
      </w:r>
      <w:r>
        <w:rPr>
          <w:sz w:val="20"/>
        </w:rPr>
        <w:t>poskytováním</w:t>
      </w:r>
      <w:r>
        <w:rPr>
          <w:spacing w:val="-13"/>
          <w:sz w:val="20"/>
        </w:rPr>
        <w:t> </w:t>
      </w:r>
      <w:r>
        <w:rPr>
          <w:sz w:val="20"/>
        </w:rPr>
        <w:t>služeb</w:t>
      </w:r>
      <w:r>
        <w:rPr>
          <w:spacing w:val="-13"/>
          <w:sz w:val="20"/>
        </w:rPr>
        <w:t> </w:t>
      </w:r>
      <w:r>
        <w:rPr>
          <w:sz w:val="20"/>
        </w:rPr>
        <w:t>obecného hospodářského zájmu.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238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206,97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jeden</w:t>
      </w:r>
      <w:r>
        <w:rPr>
          <w:spacing w:val="-5"/>
        </w:rPr>
        <w:t> </w:t>
      </w:r>
      <w:r>
        <w:rPr/>
        <w:t>milion</w:t>
      </w:r>
      <w:r>
        <w:rPr>
          <w:spacing w:val="-4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7"/>
        </w:rPr>
        <w:t> </w:t>
      </w:r>
      <w:r>
        <w:rPr/>
        <w:t>třicet</w:t>
      </w:r>
      <w:r>
        <w:rPr>
          <w:spacing w:val="-5"/>
        </w:rPr>
        <w:t> </w:t>
      </w:r>
      <w:r>
        <w:rPr/>
        <w:t>osm</w:t>
      </w:r>
      <w:r>
        <w:rPr>
          <w:spacing w:val="-3"/>
        </w:rPr>
        <w:t> </w:t>
      </w:r>
      <w:r>
        <w:rPr/>
        <w:t>tisíc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šest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českých,</w:t>
      </w:r>
      <w:r>
        <w:rPr>
          <w:spacing w:val="-4"/>
        </w:rPr>
        <w:t> </w:t>
      </w:r>
      <w:r>
        <w:rPr/>
        <w:t>devadesát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4" w:right="190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3" w:right="192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3" w:right="19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7" w:right="19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206,97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„Elektromobily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Krajskou</w:t>
      </w:r>
      <w:r>
        <w:rPr>
          <w:spacing w:val="-8"/>
          <w:sz w:val="20"/>
        </w:rPr>
        <w:t> </w:t>
      </w:r>
      <w:r>
        <w:rPr>
          <w:sz w:val="20"/>
        </w:rPr>
        <w:t>nemocnici</w:t>
      </w:r>
      <w:r>
        <w:rPr>
          <w:spacing w:val="-8"/>
          <w:sz w:val="20"/>
        </w:rPr>
        <w:t> </w:t>
      </w:r>
      <w:r>
        <w:rPr>
          <w:sz w:val="20"/>
        </w:rPr>
        <w:t>T.</w:t>
      </w:r>
      <w:r>
        <w:rPr>
          <w:spacing w:val="-8"/>
          <w:sz w:val="20"/>
        </w:rPr>
        <w:t> </w:t>
      </w:r>
      <w:r>
        <w:rPr>
          <w:sz w:val="20"/>
        </w:rPr>
        <w:t>Bati,</w:t>
      </w:r>
      <w:r>
        <w:rPr>
          <w:spacing w:val="-8"/>
          <w:sz w:val="20"/>
        </w:rPr>
        <w:t> </w:t>
      </w:r>
      <w:r>
        <w:rPr>
          <w:sz w:val="20"/>
        </w:rPr>
        <w:t>a.</w:t>
      </w:r>
      <w:r>
        <w:rPr>
          <w:spacing w:val="-8"/>
          <w:sz w:val="20"/>
        </w:rPr>
        <w:t> </w:t>
      </w:r>
      <w:r>
        <w:rPr>
          <w:sz w:val="20"/>
        </w:rPr>
        <w:t>s.</w:t>
      </w:r>
      <w:r>
        <w:rPr>
          <w:spacing w:val="-6"/>
          <w:sz w:val="20"/>
        </w:rPr>
        <w:t> </w:t>
      </w:r>
      <w:r>
        <w:rPr>
          <w:sz w:val="20"/>
        </w:rPr>
        <w:t>II.“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8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5/2024 a o dodržení tohoto termínu Fond bez zbytečného odkladu informovat (za termín ukončení projektu se považuje datum předání/převzetí posledního vozidla dle příslušné kupní smlouvy); přitom se konstatuje, že akce byla zahájena v 9/2022,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38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51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51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98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2024-02-14T09:35:39Z</dcterms:created>
  <dcterms:modified xsi:type="dcterms:W3CDTF">2024-02-14T09:35:39Z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2024-02-14T00:00:00Z</vt:filetime>
  </property>
</Properties>
</file>