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09E1"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S M L O U V A</w:t>
      </w:r>
    </w:p>
    <w:p w14:paraId="3FE5F7B2"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o spolupráci v oblasti</w:t>
      </w:r>
    </w:p>
    <w:p w14:paraId="745C4459" w14:textId="77777777" w:rsidR="00411E93" w:rsidRPr="00411E93" w:rsidRDefault="00411E93" w:rsidP="00411E93">
      <w:pPr>
        <w:spacing w:after="0" w:line="240" w:lineRule="auto"/>
        <w:jc w:val="center"/>
        <w:rPr>
          <w:rFonts w:ascii="Calibri" w:eastAsia="Times New Roman" w:hAnsi="Calibri" w:cs="Times New Roman"/>
          <w:kern w:val="0"/>
          <w:sz w:val="18"/>
          <w:szCs w:val="18"/>
          <w:lang w:eastAsia="cs-CZ"/>
          <w14:ligatures w14:val="none"/>
        </w:rPr>
      </w:pPr>
      <w:r w:rsidRPr="00411E93">
        <w:rPr>
          <w:rFonts w:ascii="Calibri" w:eastAsia="Times New Roman" w:hAnsi="Calibri" w:cs="Times New Roman"/>
          <w:kern w:val="0"/>
          <w:sz w:val="18"/>
          <w:szCs w:val="18"/>
          <w:lang w:eastAsia="cs-CZ"/>
          <w14:ligatures w14:val="none"/>
        </w:rPr>
        <w:t>SML-0027/24</w:t>
      </w:r>
    </w:p>
    <w:p w14:paraId="12B6FEA0" w14:textId="77777777" w:rsidR="00411E93" w:rsidRPr="00411E93" w:rsidRDefault="00411E93" w:rsidP="00411E93">
      <w:pPr>
        <w:spacing w:after="0" w:line="240" w:lineRule="auto"/>
        <w:jc w:val="center"/>
        <w:rPr>
          <w:rFonts w:ascii="Calibri" w:eastAsia="Times New Roman" w:hAnsi="Calibri" w:cs="Times New Roman"/>
          <w:b/>
          <w:kern w:val="0"/>
          <w:sz w:val="20"/>
          <w:szCs w:val="20"/>
          <w:lang w:eastAsia="cs-CZ"/>
          <w14:ligatures w14:val="none"/>
        </w:rPr>
      </w:pPr>
    </w:p>
    <w:p w14:paraId="1152F002" w14:textId="77777777" w:rsidR="00411E93" w:rsidRPr="00411E93" w:rsidRDefault="00411E93" w:rsidP="00411E93">
      <w:pPr>
        <w:spacing w:after="0" w:line="240" w:lineRule="auto"/>
        <w:jc w:val="center"/>
        <w:rPr>
          <w:rFonts w:ascii="Calibri" w:eastAsia="Times New Roman" w:hAnsi="Calibri" w:cs="Times New Roman"/>
          <w:b/>
          <w:kern w:val="0"/>
          <w:sz w:val="28"/>
          <w:szCs w:val="28"/>
          <w:lang w:eastAsia="cs-CZ"/>
          <w14:ligatures w14:val="none"/>
        </w:rPr>
      </w:pPr>
      <w:r w:rsidRPr="00411E93">
        <w:rPr>
          <w:rFonts w:ascii="Calibri" w:eastAsia="Times New Roman" w:hAnsi="Calibri" w:cs="Times New Roman"/>
          <w:b/>
          <w:kern w:val="0"/>
          <w:sz w:val="28"/>
          <w:szCs w:val="28"/>
          <w:lang w:eastAsia="cs-CZ"/>
          <w14:ligatures w14:val="none"/>
        </w:rPr>
        <w:t>„Hodnocení kvality a bezpečí poskytovaných zdravotních služeb ve smyslu zákona č. 372/2011 Sb., o zdravotních službách a podmínkách jejich poskytování a vyhlášky č. 102/2012 Sb., o hodnocení kvality a bezpečí lůžkové zdravotní péče“</w:t>
      </w:r>
    </w:p>
    <w:p w14:paraId="35CE32D3"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4280A809"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5CBB43E0" w14:textId="77777777" w:rsidR="00411E93" w:rsidRPr="00411E93" w:rsidRDefault="00411E93" w:rsidP="00411E93">
      <w:pPr>
        <w:spacing w:after="0" w:line="240" w:lineRule="auto"/>
        <w:jc w:val="both"/>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Smluvní strany</w:t>
      </w:r>
    </w:p>
    <w:p w14:paraId="1727C3B7"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p>
    <w:p w14:paraId="6B8C0710" w14:textId="77777777" w:rsidR="00411E93" w:rsidRPr="00411E93" w:rsidRDefault="00411E93" w:rsidP="00411E93">
      <w:pPr>
        <w:spacing w:after="0" w:line="240" w:lineRule="auto"/>
        <w:jc w:val="both"/>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Česká společnost pro akreditaci ve zdravotnictví s.r.o.</w:t>
      </w:r>
    </w:p>
    <w:p w14:paraId="75F7EADE"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zapsaná v obchodním rejstříku vedeným Krajským soudem v Ostravě, oddíl C, vložka 53902 </w:t>
      </w:r>
    </w:p>
    <w:p w14:paraId="42FA42CE"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sídlem: nábř. Přemyslovců 867/8, 779 00 Olomouc </w:t>
      </w:r>
    </w:p>
    <w:p w14:paraId="15E1B1EE"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IČ: 29446520</w:t>
      </w:r>
    </w:p>
    <w:p w14:paraId="0E73A9D1"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b/>
          <w:bCs/>
          <w:kern w:val="0"/>
          <w:sz w:val="24"/>
          <w:szCs w:val="24"/>
          <w:lang w:eastAsia="cs-CZ"/>
          <w14:ligatures w14:val="none"/>
        </w:rPr>
        <w:t>DIČ:</w:t>
      </w:r>
      <w:r w:rsidRPr="00411E93">
        <w:rPr>
          <w:rFonts w:ascii="Calibri" w:eastAsia="Times New Roman" w:hAnsi="Calibri" w:cs="Times New Roman"/>
          <w:kern w:val="0"/>
          <w:sz w:val="24"/>
          <w:szCs w:val="24"/>
          <w:lang w:eastAsia="cs-CZ"/>
          <w14:ligatures w14:val="none"/>
        </w:rPr>
        <w:t xml:space="preserve"> CZ29446520</w:t>
      </w:r>
    </w:p>
    <w:p w14:paraId="06466CCE"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Zastoupená: RNDr. Renata Podstatová, jednatel</w:t>
      </w:r>
    </w:p>
    <w:p w14:paraId="56C8BEF3"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(dále jen </w:t>
      </w:r>
      <w:r w:rsidRPr="00411E93">
        <w:rPr>
          <w:rFonts w:ascii="Calibri" w:eastAsia="Times New Roman" w:hAnsi="Calibri" w:cs="Times New Roman"/>
          <w:b/>
          <w:kern w:val="0"/>
          <w:sz w:val="24"/>
          <w:szCs w:val="24"/>
          <w:lang w:eastAsia="cs-CZ"/>
          <w14:ligatures w14:val="none"/>
        </w:rPr>
        <w:t>"Dodavatel"</w:t>
      </w:r>
      <w:r w:rsidRPr="00411E93">
        <w:rPr>
          <w:rFonts w:ascii="Calibri" w:eastAsia="Times New Roman" w:hAnsi="Calibri" w:cs="Times New Roman"/>
          <w:kern w:val="0"/>
          <w:sz w:val="24"/>
          <w:szCs w:val="24"/>
          <w:lang w:eastAsia="cs-CZ"/>
          <w14:ligatures w14:val="none"/>
        </w:rPr>
        <w:t>)</w:t>
      </w:r>
    </w:p>
    <w:p w14:paraId="6E525F3E"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691CCE19"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-a-</w:t>
      </w:r>
    </w:p>
    <w:p w14:paraId="111B8999" w14:textId="77777777" w:rsidR="00411E93" w:rsidRPr="00411E93" w:rsidRDefault="00411E93" w:rsidP="00411E93">
      <w:pPr>
        <w:spacing w:after="0" w:line="240" w:lineRule="auto"/>
        <w:outlineLvl w:val="0"/>
        <w:rPr>
          <w:rFonts w:ascii="Calibri" w:eastAsia="Times New Roman" w:hAnsi="Calibri" w:cs="Times New Roman"/>
          <w:b/>
          <w:kern w:val="0"/>
          <w:sz w:val="20"/>
          <w:szCs w:val="20"/>
          <w:lang w:eastAsia="cs-CZ"/>
          <w14:ligatures w14:val="none"/>
        </w:rPr>
      </w:pPr>
    </w:p>
    <w:p w14:paraId="687A775D" w14:textId="77777777" w:rsidR="00411E93" w:rsidRPr="00411E93" w:rsidRDefault="00411E93" w:rsidP="00411E93">
      <w:pPr>
        <w:spacing w:after="0" w:line="240" w:lineRule="auto"/>
        <w:rPr>
          <w:rFonts w:ascii="Times New Roman" w:eastAsia="Times New Roman" w:hAnsi="Times New Roman" w:cs="Times New Roman"/>
          <w:b/>
          <w:bCs/>
          <w:kern w:val="0"/>
          <w:sz w:val="24"/>
          <w:szCs w:val="24"/>
          <w:lang w:eastAsia="cs-CZ"/>
          <w14:ligatures w14:val="none"/>
        </w:rPr>
      </w:pPr>
      <w:r w:rsidRPr="00411E93">
        <w:rPr>
          <w:rFonts w:ascii="Calibri" w:eastAsia="Times New Roman" w:hAnsi="Calibri" w:cs="Times New Roman"/>
          <w:b/>
          <w:bCs/>
          <w:kern w:val="0"/>
          <w:sz w:val="24"/>
          <w:szCs w:val="24"/>
          <w:lang w:eastAsia="cs-CZ"/>
          <w14:ligatures w14:val="none"/>
        </w:rPr>
        <w:t>Psychiatrická nemocnice Jihlava</w:t>
      </w:r>
    </w:p>
    <w:p w14:paraId="3D42213F" w14:textId="77777777" w:rsidR="00411E93" w:rsidRPr="00411E93" w:rsidRDefault="00411E93" w:rsidP="00411E93">
      <w:pPr>
        <w:spacing w:after="0" w:line="240" w:lineRule="auto"/>
        <w:rPr>
          <w:rFonts w:ascii="Times New Roman" w:eastAsia="Times New Roman" w:hAnsi="Times New Roman" w:cs="Tahoma"/>
          <w:kern w:val="0"/>
          <w:sz w:val="24"/>
          <w:szCs w:val="24"/>
          <w:lang w:eastAsia="cs-CZ"/>
          <w14:ligatures w14:val="none"/>
        </w:rPr>
      </w:pPr>
      <w:r w:rsidRPr="00411E93">
        <w:rPr>
          <w:rFonts w:ascii="Calibri" w:eastAsia="Times New Roman" w:hAnsi="Calibri" w:cs="Tahoma"/>
          <w:kern w:val="0"/>
          <w:sz w:val="24"/>
          <w:szCs w:val="24"/>
          <w:lang w:eastAsia="cs-CZ"/>
          <w14:ligatures w14:val="none"/>
        </w:rPr>
        <w:t>sídlem: Brněnská 455/54, 586 01 Jihlava</w:t>
      </w:r>
    </w:p>
    <w:p w14:paraId="2D024E65" w14:textId="77777777" w:rsidR="00411E93" w:rsidRPr="00411E93" w:rsidRDefault="00411E93" w:rsidP="00411E93">
      <w:pPr>
        <w:spacing w:after="0" w:line="240" w:lineRule="auto"/>
        <w:rPr>
          <w:rFonts w:ascii="Calibri" w:eastAsia="Times New Roman" w:hAnsi="Calibri" w:cs="Tahoma"/>
          <w:kern w:val="0"/>
          <w:sz w:val="24"/>
          <w:szCs w:val="24"/>
          <w:lang w:eastAsia="cs-CZ"/>
          <w14:ligatures w14:val="none"/>
        </w:rPr>
      </w:pPr>
      <w:r w:rsidRPr="00411E93">
        <w:rPr>
          <w:rFonts w:ascii="Calibri" w:eastAsia="Times New Roman" w:hAnsi="Calibri" w:cs="Tahoma"/>
          <w:kern w:val="0"/>
          <w:sz w:val="24"/>
          <w:szCs w:val="24"/>
          <w:lang w:eastAsia="cs-CZ"/>
          <w14:ligatures w14:val="none"/>
        </w:rPr>
        <w:t>IČ: 00600601</w:t>
      </w:r>
    </w:p>
    <w:p w14:paraId="4C8650BB" w14:textId="77777777" w:rsidR="00411E93" w:rsidRPr="00411E93" w:rsidRDefault="00411E93" w:rsidP="00411E93">
      <w:pPr>
        <w:spacing w:after="0" w:line="240" w:lineRule="auto"/>
        <w:rPr>
          <w:rFonts w:ascii="Calibri" w:eastAsia="Times New Roman" w:hAnsi="Calibri" w:cs="Tahoma"/>
          <w:kern w:val="0"/>
          <w:sz w:val="24"/>
          <w:szCs w:val="24"/>
          <w:lang w:eastAsia="cs-CZ"/>
          <w14:ligatures w14:val="none"/>
        </w:rPr>
      </w:pPr>
      <w:r w:rsidRPr="00411E93">
        <w:rPr>
          <w:rFonts w:ascii="Calibri" w:eastAsia="Times New Roman" w:hAnsi="Calibri" w:cs="Tahoma"/>
          <w:kern w:val="0"/>
          <w:sz w:val="24"/>
          <w:szCs w:val="24"/>
          <w:lang w:eastAsia="cs-CZ"/>
          <w14:ligatures w14:val="none"/>
        </w:rPr>
        <w:t>DIČ: CZ00600601</w:t>
      </w:r>
    </w:p>
    <w:p w14:paraId="57D4002E" w14:textId="77777777" w:rsidR="00411E93" w:rsidRPr="00411E93" w:rsidRDefault="00411E93" w:rsidP="00411E93">
      <w:pPr>
        <w:spacing w:after="0" w:line="240" w:lineRule="auto"/>
        <w:rPr>
          <w:rFonts w:ascii="Calibri" w:eastAsia="Times New Roman" w:hAnsi="Calibri" w:cs="Tahoma"/>
          <w:kern w:val="0"/>
          <w:sz w:val="24"/>
          <w:szCs w:val="24"/>
          <w:lang w:eastAsia="cs-CZ"/>
          <w14:ligatures w14:val="none"/>
        </w:rPr>
      </w:pPr>
      <w:r w:rsidRPr="00411E93">
        <w:rPr>
          <w:rFonts w:ascii="Calibri" w:eastAsia="Times New Roman" w:hAnsi="Calibri" w:cs="Tahoma"/>
          <w:kern w:val="0"/>
          <w:sz w:val="24"/>
          <w:szCs w:val="24"/>
          <w:lang w:eastAsia="cs-CZ"/>
          <w14:ligatures w14:val="none"/>
        </w:rPr>
        <w:t xml:space="preserve">Zastoupená: MUDr. Dagmar Dvořáková, ředitelka </w:t>
      </w:r>
    </w:p>
    <w:p w14:paraId="7B17D447"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(dále jen </w:t>
      </w:r>
      <w:r w:rsidRPr="00411E93">
        <w:rPr>
          <w:rFonts w:ascii="Calibri" w:eastAsia="Times New Roman" w:hAnsi="Calibri" w:cs="Times New Roman"/>
          <w:b/>
          <w:kern w:val="0"/>
          <w:sz w:val="24"/>
          <w:szCs w:val="24"/>
          <w:lang w:eastAsia="cs-CZ"/>
          <w14:ligatures w14:val="none"/>
        </w:rPr>
        <w:t>"Objednatel"</w:t>
      </w:r>
      <w:r w:rsidRPr="00411E93">
        <w:rPr>
          <w:rFonts w:ascii="Calibri" w:eastAsia="Times New Roman" w:hAnsi="Calibri" w:cs="Times New Roman"/>
          <w:kern w:val="0"/>
          <w:sz w:val="24"/>
          <w:szCs w:val="24"/>
          <w:lang w:eastAsia="cs-CZ"/>
          <w14:ligatures w14:val="none"/>
        </w:rPr>
        <w:t>)</w:t>
      </w:r>
    </w:p>
    <w:p w14:paraId="5C379363" w14:textId="77777777" w:rsidR="00411E93" w:rsidRPr="00411E93" w:rsidRDefault="00411E93" w:rsidP="00411E93">
      <w:pPr>
        <w:spacing w:after="0" w:line="240" w:lineRule="auto"/>
        <w:rPr>
          <w:rFonts w:ascii="Calibri" w:eastAsia="Times New Roman" w:hAnsi="Calibri" w:cs="Times New Roman"/>
          <w:b/>
          <w:kern w:val="0"/>
          <w:sz w:val="24"/>
          <w:szCs w:val="24"/>
          <w:lang w:eastAsia="cs-CZ"/>
          <w14:ligatures w14:val="none"/>
        </w:rPr>
      </w:pPr>
    </w:p>
    <w:p w14:paraId="5B1E36DF" w14:textId="77777777" w:rsidR="00411E93" w:rsidRPr="00411E93" w:rsidRDefault="00411E93" w:rsidP="00411E93">
      <w:pPr>
        <w:spacing w:after="0" w:line="240" w:lineRule="auto"/>
        <w:rPr>
          <w:rFonts w:ascii="Calibri" w:eastAsia="Times New Roman" w:hAnsi="Calibri" w:cs="Times New Roman"/>
          <w:b/>
          <w:kern w:val="0"/>
          <w:sz w:val="24"/>
          <w:szCs w:val="24"/>
          <w:lang w:eastAsia="cs-CZ"/>
          <w14:ligatures w14:val="none"/>
        </w:rPr>
      </w:pPr>
    </w:p>
    <w:p w14:paraId="312BF728" w14:textId="77777777" w:rsidR="00411E93" w:rsidRPr="00411E93" w:rsidRDefault="00411E93" w:rsidP="00411E93">
      <w:pPr>
        <w:spacing w:after="0" w:line="240" w:lineRule="auto"/>
        <w:jc w:val="both"/>
        <w:rPr>
          <w:rFonts w:ascii="Calibri" w:eastAsia="Times New Roman" w:hAnsi="Calibri" w:cs="Times New Roman"/>
          <w:i/>
          <w:kern w:val="0"/>
          <w:sz w:val="16"/>
          <w:szCs w:val="16"/>
          <w:lang w:eastAsia="cs-CZ"/>
          <w14:ligatures w14:val="none"/>
        </w:rPr>
      </w:pPr>
    </w:p>
    <w:p w14:paraId="7EB593D1" w14:textId="77777777" w:rsidR="00411E93" w:rsidRPr="00411E93" w:rsidRDefault="00411E93" w:rsidP="00411E93">
      <w:pPr>
        <w:suppressAutoHyphens/>
        <w:spacing w:after="0" w:line="240" w:lineRule="auto"/>
        <w:jc w:val="center"/>
        <w:rPr>
          <w:rFonts w:ascii="Calibri" w:eastAsia="Batang" w:hAnsi="Calibri" w:cs="Calibri"/>
          <w:kern w:val="0"/>
          <w:sz w:val="24"/>
          <w:szCs w:val="24"/>
          <w:lang w:eastAsia="ar-SA"/>
          <w14:ligatures w14:val="none"/>
        </w:rPr>
      </w:pPr>
      <w:r w:rsidRPr="00411E93">
        <w:rPr>
          <w:rFonts w:ascii="Calibri" w:eastAsia="Batang" w:hAnsi="Calibri" w:cs="Calibri"/>
          <w:kern w:val="0"/>
          <w:sz w:val="24"/>
          <w:szCs w:val="24"/>
          <w:lang w:eastAsia="ar-SA"/>
          <w14:ligatures w14:val="none"/>
        </w:rPr>
        <w:t>uzavírají podle ustanovení § 1746 odst. 2 zákona č. 89/2012 Sb., občanský zákoník, ve znění pozdějších předpisů, (dále jen „občanský zákoník“), tuto smlouvu o spolupráci:</w:t>
      </w:r>
    </w:p>
    <w:p w14:paraId="16F4B469" w14:textId="77777777" w:rsidR="00411E93" w:rsidRPr="00411E93" w:rsidRDefault="00411E93" w:rsidP="00411E93">
      <w:pPr>
        <w:spacing w:after="0" w:line="240" w:lineRule="auto"/>
        <w:rPr>
          <w:rFonts w:ascii="Calibri" w:eastAsia="Times New Roman" w:hAnsi="Calibri" w:cs="Times New Roman"/>
          <w:kern w:val="0"/>
          <w:sz w:val="20"/>
          <w:szCs w:val="20"/>
          <w:lang w:eastAsia="cs-CZ"/>
          <w14:ligatures w14:val="none"/>
        </w:rPr>
      </w:pPr>
    </w:p>
    <w:p w14:paraId="44B9E0CF" w14:textId="77777777" w:rsidR="00411E93" w:rsidRPr="00411E93" w:rsidRDefault="00411E93" w:rsidP="00411E93">
      <w:pPr>
        <w:spacing w:after="0" w:line="240" w:lineRule="auto"/>
        <w:rPr>
          <w:rFonts w:ascii="Calibri" w:eastAsia="Times New Roman" w:hAnsi="Calibri" w:cs="Times New Roman"/>
          <w:kern w:val="0"/>
          <w:sz w:val="20"/>
          <w:szCs w:val="20"/>
          <w:lang w:eastAsia="cs-CZ"/>
          <w14:ligatures w14:val="none"/>
        </w:rPr>
      </w:pPr>
    </w:p>
    <w:p w14:paraId="29F235AD"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I.</w:t>
      </w:r>
    </w:p>
    <w:p w14:paraId="4C01E478"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Předmět smlouvy</w:t>
      </w:r>
    </w:p>
    <w:p w14:paraId="7FA6B964"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p>
    <w:p w14:paraId="3A231D73"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Touto smlouvou se Dodavatel zavazuje provést u Objednatele externí hodnocení kvality a bezpečí zdravotních služeb (akreditační šetření).</w:t>
      </w:r>
    </w:p>
    <w:p w14:paraId="702DA2CF"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Tato činnost bude prováděna v souladu s požadavky zákona č. 372/2011 Sb., o zdravotních službách a podmínkách jejich poskytování a požadavky vyhlášky č. 102/2012 Sb., o hodnocení kvality a bezpečí lůžkové zdravotní péče.</w:t>
      </w:r>
    </w:p>
    <w:p w14:paraId="21CBDDD5" w14:textId="77777777" w:rsidR="00411E93" w:rsidRPr="00411E93" w:rsidRDefault="00411E93" w:rsidP="00411E93">
      <w:pPr>
        <w:numPr>
          <w:ilvl w:val="0"/>
          <w:numId w:val="3"/>
        </w:numPr>
        <w:spacing w:after="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lastRenderedPageBreak/>
        <w:t>Při externím hodnocení kvality a bezpečí budou členové hodnotitelského týmu Dodavatele posuzovat, zda Objednatel má zpracovány a zavedeny systémy a procesy uvedené v platné legislativě, především v oblastech:</w:t>
      </w:r>
    </w:p>
    <w:p w14:paraId="2509E6F5" w14:textId="77777777" w:rsidR="00411E93" w:rsidRPr="00411E93" w:rsidRDefault="00411E93" w:rsidP="00411E93">
      <w:pPr>
        <w:numPr>
          <w:ilvl w:val="0"/>
          <w:numId w:val="1"/>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řízení kvality a bezpečí,</w:t>
      </w:r>
    </w:p>
    <w:p w14:paraId="07EE0FC9" w14:textId="77777777" w:rsidR="00411E93" w:rsidRPr="00411E93" w:rsidRDefault="00411E93" w:rsidP="00411E93">
      <w:pPr>
        <w:numPr>
          <w:ilvl w:val="0"/>
          <w:numId w:val="1"/>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péče o pacienty,</w:t>
      </w:r>
    </w:p>
    <w:p w14:paraId="52E05022" w14:textId="77777777" w:rsidR="00411E93" w:rsidRPr="00411E93" w:rsidRDefault="00411E93" w:rsidP="00411E93">
      <w:pPr>
        <w:numPr>
          <w:ilvl w:val="0"/>
          <w:numId w:val="1"/>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řízení lidských zdrojů,</w:t>
      </w:r>
    </w:p>
    <w:p w14:paraId="026F1873" w14:textId="77777777" w:rsidR="00411E93" w:rsidRPr="00411E93" w:rsidRDefault="00411E93" w:rsidP="00411E93">
      <w:pPr>
        <w:numPr>
          <w:ilvl w:val="0"/>
          <w:numId w:val="1"/>
        </w:numPr>
        <w:suppressAutoHyphens/>
        <w:spacing w:after="12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zajištění bezpečného prostředí pro pacienty a zaměstnance.</w:t>
      </w:r>
    </w:p>
    <w:p w14:paraId="7B099D0F" w14:textId="77777777" w:rsidR="00411E93" w:rsidRPr="00411E93" w:rsidRDefault="00411E93" w:rsidP="00411E93">
      <w:pPr>
        <w:numPr>
          <w:ilvl w:val="0"/>
          <w:numId w:val="3"/>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Informace pro účely hodnocení kvality a bezpečí budou získávány:</w:t>
      </w:r>
    </w:p>
    <w:p w14:paraId="3ADB4BE0"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pohovorem s vedením a se zaměstnanci poskytovatele zdravotních služeb, </w:t>
      </w:r>
    </w:p>
    <w:p w14:paraId="09FAB1DC"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pohovorem s pacienty a jejich blízkými, za výslovného souhlasu těchto osob,</w:t>
      </w:r>
    </w:p>
    <w:p w14:paraId="71860475"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kontrolou vnitřních předpisů,</w:t>
      </w:r>
    </w:p>
    <w:p w14:paraId="3D65FDE8"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kontrolou dokumentace týkající se standardů,  </w:t>
      </w:r>
    </w:p>
    <w:p w14:paraId="0CCA7B6F"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sledováním pracovních postupů týkajících se standardů, </w:t>
      </w:r>
    </w:p>
    <w:p w14:paraId="4EEE161C"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kontrolou personálního zabezpečení zdravotní péče,</w:t>
      </w:r>
    </w:p>
    <w:p w14:paraId="1ED30046" w14:textId="77777777" w:rsidR="00411E93" w:rsidRPr="00411E93" w:rsidRDefault="00411E93" w:rsidP="00411E93">
      <w:pPr>
        <w:numPr>
          <w:ilvl w:val="0"/>
          <w:numId w:val="2"/>
        </w:numPr>
        <w:suppressAutoHyphens/>
        <w:spacing w:after="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prohlídkou pracovišť zdravotnického zařízení, </w:t>
      </w:r>
    </w:p>
    <w:p w14:paraId="1FBE3794" w14:textId="77777777" w:rsidR="00411E93" w:rsidRPr="00411E93" w:rsidRDefault="00411E93" w:rsidP="00411E93">
      <w:pPr>
        <w:numPr>
          <w:ilvl w:val="0"/>
          <w:numId w:val="2"/>
        </w:numPr>
        <w:suppressAutoHyphens/>
        <w:spacing w:after="120" w:line="240" w:lineRule="auto"/>
        <w:ind w:left="567" w:hanging="283"/>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kontrolou stavu budov, provozů a zdravotnické techniky, záznamů kontrol a údržby.</w:t>
      </w:r>
    </w:p>
    <w:p w14:paraId="5F66DA71"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Po ukončení externího hodnocení kvality a bezpečí vypracuje vedoucí hodnotitelského týmu Dodavatele (na základě podkladů všech členů hodnotitelského týmu) do 5 pracovních dnů písemnou závěrečnou zprávu z hodnocení kvality a bezpečí s nálezy z hodnocení a výsledek srovnání nálezů s hodnotícími kritérii a pošle ji statutárnímu zástupci Objednatele. Veškeré nálezy, které nebudou v rozporu s hodnotícími standardy Dodavatele, budou řešeny formou doporučení ke zlepšování.</w:t>
      </w:r>
    </w:p>
    <w:p w14:paraId="07D70B4E"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Pokud hodnotitelský tým Dodavatele při akreditačním šetření vyhodnotí úroveň poskytovaných zdravotních služeb u Objednatele jako vyhovující ve všech standardech a ukazatelích legislativy a České společnosti pro akreditaci ve zdravotnictví s.r.o., obdrží Objednatel (</w:t>
      </w:r>
      <w:r w:rsidRPr="00411E93">
        <w:rPr>
          <w:rFonts w:ascii="Calibri" w:eastAsia="Times New Roman" w:hAnsi="Calibri" w:cs="Times New Roman"/>
          <w:b/>
          <w:bCs/>
          <w:kern w:val="0"/>
          <w:sz w:val="24"/>
          <w:szCs w:val="24"/>
          <w:lang w:eastAsia="cs-CZ"/>
          <w14:ligatures w14:val="none"/>
        </w:rPr>
        <w:t>Psychiatrická nemocnice Jihlava)</w:t>
      </w:r>
      <w:r w:rsidRPr="00411E93">
        <w:rPr>
          <w:rFonts w:ascii="Calibri" w:eastAsia="Times New Roman" w:hAnsi="Calibri" w:cs="Times New Roman"/>
          <w:kern w:val="0"/>
          <w:sz w:val="24"/>
          <w:szCs w:val="24"/>
          <w:lang w:eastAsia="cs-CZ"/>
          <w14:ligatures w14:val="none"/>
        </w:rPr>
        <w:t xml:space="preserve"> certifikát kvality a bezpečí (dále jen “certifikát”) s platností 3 roky podle § 105 zákona č. 372/2011 Sb., o zdravotních službách.</w:t>
      </w:r>
    </w:p>
    <w:p w14:paraId="5FD9522D"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Objednatel se zavazuje za provedení činnosti, uvedené v článku I. </w:t>
      </w:r>
      <w:smartTag w:uri="urn:schemas-microsoft-com:office:smarttags" w:element="metricconverter">
        <w:smartTagPr>
          <w:attr w:name="ProductID" w:val="1. a"/>
        </w:smartTagPr>
        <w:r w:rsidRPr="00411E93">
          <w:rPr>
            <w:rFonts w:ascii="Calibri" w:eastAsia="Times New Roman" w:hAnsi="Calibri" w:cs="Times New Roman"/>
            <w:kern w:val="0"/>
            <w:sz w:val="24"/>
            <w:szCs w:val="24"/>
            <w:lang w:eastAsia="cs-CZ"/>
            <w14:ligatures w14:val="none"/>
          </w:rPr>
          <w:t>1. a</w:t>
        </w:r>
      </w:smartTag>
      <w:r w:rsidRPr="00411E93">
        <w:rPr>
          <w:rFonts w:ascii="Calibri" w:eastAsia="Times New Roman" w:hAnsi="Calibri" w:cs="Times New Roman"/>
          <w:kern w:val="0"/>
          <w:sz w:val="24"/>
          <w:szCs w:val="24"/>
          <w:lang w:eastAsia="cs-CZ"/>
          <w14:ligatures w14:val="none"/>
        </w:rPr>
        <w:t xml:space="preserve"> v souladu s touto smlouvou zaplatit Dodavateli za provedení hodnocení kvality a bezpečí úplatu dle podmínek v článku IV. 1. této smlouvy.</w:t>
      </w:r>
    </w:p>
    <w:p w14:paraId="2F3273F2" w14:textId="77777777" w:rsidR="00411E93" w:rsidRPr="00411E93" w:rsidRDefault="00411E93" w:rsidP="00411E93">
      <w:pPr>
        <w:numPr>
          <w:ilvl w:val="0"/>
          <w:numId w:val="3"/>
        </w:numPr>
        <w:spacing w:after="120" w:line="240" w:lineRule="auto"/>
        <w:ind w:left="284" w:hanging="29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Dodavatel prohlašuje, že na základě Rozhodnutí Ministerstva zdravotnictví ze dne 16. 10. 2012 získal oprávnění k provádění hodnocení kvality a bezpečí lůžkové zdravotní péče podle zákona č. 372/2011 Sb., o zdravotních službách a podmínkách jejich poskytování a vyhlášky č. 102/2012 Sb., o hodnocení kvality a bezpečí lůžkové zdravotní péče a je oprávněn vykonávat tuto činnost.</w:t>
      </w:r>
    </w:p>
    <w:p w14:paraId="3D96DE76" w14:textId="77777777" w:rsidR="00411E93" w:rsidRPr="00411E93" w:rsidRDefault="00411E93" w:rsidP="00411E93">
      <w:pPr>
        <w:spacing w:after="0" w:line="240" w:lineRule="auto"/>
        <w:rPr>
          <w:rFonts w:ascii="Calibri" w:eastAsia="Times New Roman" w:hAnsi="Calibri" w:cs="Times New Roman"/>
          <w:b/>
          <w:kern w:val="0"/>
          <w:sz w:val="24"/>
          <w:szCs w:val="24"/>
          <w:lang w:eastAsia="cs-CZ"/>
          <w14:ligatures w14:val="none"/>
        </w:rPr>
      </w:pPr>
    </w:p>
    <w:p w14:paraId="5FE11CA6"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II.</w:t>
      </w:r>
    </w:p>
    <w:p w14:paraId="5A14E698"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Doba a místo plnění</w:t>
      </w:r>
    </w:p>
    <w:p w14:paraId="6EDF2A56" w14:textId="77777777" w:rsidR="00411E93" w:rsidRPr="00411E93" w:rsidRDefault="00411E93" w:rsidP="00411E93">
      <w:pPr>
        <w:numPr>
          <w:ilvl w:val="0"/>
          <w:numId w:val="4"/>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Plnění předmětu smlouvy bude Dodavatelem zahájeno a ukončeno v termínech, předem stanovených Objednatelem, bude probíhat po dobu předem dohodnutou oběma stranami </w:t>
      </w:r>
      <w:r w:rsidRPr="00411E93">
        <w:rPr>
          <w:rFonts w:ascii="Calibri" w:eastAsia="Times New Roman" w:hAnsi="Calibri" w:cs="Times New Roman"/>
          <w:kern w:val="0"/>
          <w:sz w:val="24"/>
          <w:szCs w:val="24"/>
          <w:lang w:eastAsia="cs-CZ"/>
          <w14:ligatures w14:val="none"/>
        </w:rPr>
        <w:lastRenderedPageBreak/>
        <w:t>dle písemného harmonogramu vypracovaného Dodavatelem a odsouhlaseného Objednatelem, a to nejpozději do 28. 3. 2024.</w:t>
      </w:r>
    </w:p>
    <w:p w14:paraId="02680C46" w14:textId="77777777" w:rsidR="00411E93" w:rsidRPr="00411E93" w:rsidRDefault="00411E93" w:rsidP="00411E93">
      <w:pPr>
        <w:numPr>
          <w:ilvl w:val="0"/>
          <w:numId w:val="4"/>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Místem plnění je sídlo Objednatele na adrese:</w:t>
      </w:r>
    </w:p>
    <w:p w14:paraId="6CAB839D" w14:textId="77777777" w:rsidR="00411E93" w:rsidRPr="00411E93" w:rsidRDefault="00411E93" w:rsidP="00411E93">
      <w:pPr>
        <w:spacing w:after="0" w:line="240" w:lineRule="auto"/>
        <w:ind w:firstLine="284"/>
        <w:rPr>
          <w:rFonts w:ascii="Times New Roman" w:eastAsia="Times New Roman" w:hAnsi="Times New Roman" w:cs="Tahoma"/>
          <w:kern w:val="0"/>
          <w:sz w:val="24"/>
          <w:szCs w:val="24"/>
          <w:lang w:eastAsia="cs-CZ"/>
          <w14:ligatures w14:val="none"/>
        </w:rPr>
      </w:pPr>
      <w:r w:rsidRPr="00411E93">
        <w:rPr>
          <w:rFonts w:ascii="Calibri" w:eastAsia="Times New Roman" w:hAnsi="Calibri" w:cs="Times New Roman"/>
          <w:b/>
          <w:bCs/>
          <w:kern w:val="0"/>
          <w:sz w:val="24"/>
          <w:szCs w:val="24"/>
          <w:lang w:eastAsia="cs-CZ"/>
          <w14:ligatures w14:val="none"/>
        </w:rPr>
        <w:t xml:space="preserve">Psychiatrická nemocnice Jihlava; </w:t>
      </w:r>
      <w:r w:rsidRPr="00411E93">
        <w:rPr>
          <w:rFonts w:ascii="Calibri" w:eastAsia="Times New Roman" w:hAnsi="Calibri" w:cs="Tahoma"/>
          <w:kern w:val="0"/>
          <w:sz w:val="24"/>
          <w:szCs w:val="24"/>
          <w:lang w:eastAsia="cs-CZ"/>
          <w14:ligatures w14:val="none"/>
        </w:rPr>
        <w:t>Brněnská 455/54, 586 01 Jihlava.</w:t>
      </w:r>
    </w:p>
    <w:p w14:paraId="0AE501FF" w14:textId="77777777" w:rsidR="00411E93" w:rsidRPr="00411E93" w:rsidRDefault="00411E93" w:rsidP="00411E93">
      <w:pPr>
        <w:spacing w:after="0" w:line="240" w:lineRule="auto"/>
        <w:rPr>
          <w:rFonts w:ascii="Calibri" w:eastAsia="Times New Roman" w:hAnsi="Calibri" w:cs="Calibri"/>
          <w:b/>
          <w:kern w:val="0"/>
          <w:sz w:val="20"/>
          <w:szCs w:val="20"/>
          <w:lang w:eastAsia="cs-CZ"/>
          <w14:ligatures w14:val="none"/>
        </w:rPr>
      </w:pPr>
    </w:p>
    <w:p w14:paraId="0E8A43AB" w14:textId="77777777" w:rsidR="00411E93" w:rsidRPr="00411E93" w:rsidRDefault="00411E93" w:rsidP="00411E93">
      <w:pPr>
        <w:spacing w:after="0" w:line="240" w:lineRule="auto"/>
        <w:rPr>
          <w:rFonts w:ascii="Calibri" w:eastAsia="Times New Roman" w:hAnsi="Calibri" w:cs="Times New Roman"/>
          <w:b/>
          <w:kern w:val="0"/>
          <w:sz w:val="20"/>
          <w:szCs w:val="20"/>
          <w:lang w:eastAsia="cs-CZ"/>
          <w14:ligatures w14:val="none"/>
        </w:rPr>
      </w:pPr>
    </w:p>
    <w:p w14:paraId="6952BB27"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III.</w:t>
      </w:r>
    </w:p>
    <w:p w14:paraId="25E2C4AD"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Provedení hodnocení kvality a bezpečí</w:t>
      </w:r>
    </w:p>
    <w:p w14:paraId="079FDDD8" w14:textId="77777777" w:rsidR="00411E93" w:rsidRPr="00411E93" w:rsidRDefault="00411E93" w:rsidP="00411E93">
      <w:pPr>
        <w:spacing w:after="0" w:line="240" w:lineRule="auto"/>
        <w:jc w:val="center"/>
        <w:rPr>
          <w:rFonts w:ascii="Calibri" w:eastAsia="Times New Roman" w:hAnsi="Calibri" w:cs="Times New Roman"/>
          <w:b/>
          <w:kern w:val="0"/>
          <w:sz w:val="16"/>
          <w:szCs w:val="16"/>
          <w:lang w:eastAsia="cs-CZ"/>
          <w14:ligatures w14:val="none"/>
        </w:rPr>
      </w:pPr>
    </w:p>
    <w:p w14:paraId="1B0E5567" w14:textId="77777777" w:rsidR="00411E93" w:rsidRPr="00411E93" w:rsidRDefault="00411E93" w:rsidP="00411E93">
      <w:pPr>
        <w:numPr>
          <w:ilvl w:val="0"/>
          <w:numId w:val="5"/>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Dodavatel bude svoji činnost podle této smlouvy provádět za provozu Objednatele v jeho sídle a za jeho účasti. Objednatel umožní členům hodnotitelského týmu Dodavatele přístup do všech prostor, kde probíhá hodnocení kvality a bezpečí, pokud není ohroženo jejich zdraví nebo bezpečnost, soukromí pacientů a zaměstnanců.</w:t>
      </w:r>
    </w:p>
    <w:p w14:paraId="0FEF1129" w14:textId="77777777" w:rsidR="00411E93" w:rsidRPr="00411E93" w:rsidRDefault="00411E93" w:rsidP="00411E93">
      <w:pPr>
        <w:spacing w:after="0" w:line="240" w:lineRule="auto"/>
        <w:ind w:left="284" w:hanging="284"/>
        <w:jc w:val="both"/>
        <w:rPr>
          <w:rFonts w:ascii="Calibri" w:eastAsia="Times New Roman" w:hAnsi="Calibri" w:cs="Times New Roman"/>
          <w:kern w:val="0"/>
          <w:sz w:val="16"/>
          <w:szCs w:val="16"/>
          <w:lang w:eastAsia="cs-CZ"/>
          <w14:ligatures w14:val="none"/>
        </w:rPr>
      </w:pPr>
    </w:p>
    <w:p w14:paraId="617202F9" w14:textId="77777777" w:rsidR="00411E93" w:rsidRPr="00411E93" w:rsidRDefault="00411E93" w:rsidP="00411E93">
      <w:pPr>
        <w:numPr>
          <w:ilvl w:val="0"/>
          <w:numId w:val="5"/>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Objednatel poskytne Dodavateli potřebnou součinnost zejména tím, že mu poskytne potřebné informace, které souvisejí s předmětem plnění této smlouvy. Těmito informacemi jsou zejména základní údaje o rozsahu řízení kvality, bezpečí a rozsahu řízené dokumentace Objednatele.</w:t>
      </w:r>
    </w:p>
    <w:p w14:paraId="6DE8E352" w14:textId="77777777" w:rsidR="00411E93" w:rsidRPr="00411E93" w:rsidRDefault="00411E93" w:rsidP="00411E93">
      <w:pPr>
        <w:spacing w:after="0" w:line="240" w:lineRule="auto"/>
        <w:ind w:left="284" w:hanging="284"/>
        <w:jc w:val="both"/>
        <w:rPr>
          <w:rFonts w:ascii="Calibri" w:eastAsia="Times New Roman" w:hAnsi="Calibri" w:cs="Times New Roman"/>
          <w:kern w:val="0"/>
          <w:sz w:val="16"/>
          <w:szCs w:val="16"/>
          <w:lang w:eastAsia="cs-CZ"/>
          <w14:ligatures w14:val="none"/>
        </w:rPr>
      </w:pPr>
    </w:p>
    <w:p w14:paraId="1A65AAF7" w14:textId="77777777" w:rsidR="00411E93" w:rsidRPr="00411E93" w:rsidRDefault="00411E93" w:rsidP="00411E93">
      <w:pPr>
        <w:numPr>
          <w:ilvl w:val="0"/>
          <w:numId w:val="5"/>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Dodavatel se zavazuje, že svoji činnost podle této smlouvy bude vykonávat s maximálním vynaložením odborné péče, na základě úcty a respektu, nezávisle, diskrétně a objektivně. </w:t>
      </w:r>
    </w:p>
    <w:p w14:paraId="495C880B" w14:textId="77777777" w:rsidR="00411E93" w:rsidRPr="00411E93" w:rsidRDefault="00411E93" w:rsidP="00411E93">
      <w:pPr>
        <w:spacing w:after="0" w:line="240" w:lineRule="auto"/>
        <w:ind w:left="284" w:hanging="284"/>
        <w:jc w:val="both"/>
        <w:rPr>
          <w:rFonts w:ascii="Calibri" w:eastAsia="Times New Roman" w:hAnsi="Calibri" w:cs="Times New Roman"/>
          <w:kern w:val="0"/>
          <w:sz w:val="16"/>
          <w:szCs w:val="16"/>
          <w:lang w:eastAsia="cs-CZ"/>
          <w14:ligatures w14:val="none"/>
        </w:rPr>
      </w:pPr>
    </w:p>
    <w:p w14:paraId="7DDBDE51" w14:textId="77777777" w:rsidR="00411E93" w:rsidRPr="00411E93" w:rsidRDefault="00411E93" w:rsidP="00411E93">
      <w:pPr>
        <w:numPr>
          <w:ilvl w:val="0"/>
          <w:numId w:val="5"/>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Členové hodnotitelského týmu Dodavatele jsou povinni zachovat mlčenlivost o všech skutečnostech, údajích a datech, o kterých se dozvěděl před, při a po akreditačním šetření nebo v souvislosti s ním, také nesmí poskytovat tyto údaje třetím osobám. Tato povinnost trvá i po ukončení či zániku práce pro Dodavatele a není časově omezena. Tato povinnost se nevztahuje na informace, které jsou volně dostupné z veřejných zdrojů.</w:t>
      </w:r>
    </w:p>
    <w:p w14:paraId="76ECBED6" w14:textId="77777777" w:rsidR="00411E93" w:rsidRPr="00411E93" w:rsidRDefault="00411E93" w:rsidP="00411E93">
      <w:pPr>
        <w:spacing w:after="0" w:line="240" w:lineRule="auto"/>
        <w:jc w:val="center"/>
        <w:rPr>
          <w:rFonts w:ascii="Calibri" w:eastAsia="Times New Roman" w:hAnsi="Calibri" w:cs="Times New Roman"/>
          <w:b/>
          <w:kern w:val="0"/>
          <w:sz w:val="20"/>
          <w:szCs w:val="20"/>
          <w:lang w:eastAsia="cs-CZ"/>
          <w14:ligatures w14:val="none"/>
        </w:rPr>
      </w:pPr>
    </w:p>
    <w:p w14:paraId="736209DB" w14:textId="77777777" w:rsidR="00411E93" w:rsidRPr="00411E93" w:rsidRDefault="00411E93" w:rsidP="00411E93">
      <w:pPr>
        <w:spacing w:after="0" w:line="240" w:lineRule="auto"/>
        <w:jc w:val="center"/>
        <w:rPr>
          <w:rFonts w:ascii="Calibri" w:eastAsia="Times New Roman" w:hAnsi="Calibri" w:cs="Times New Roman"/>
          <w:b/>
          <w:kern w:val="0"/>
          <w:sz w:val="20"/>
          <w:szCs w:val="20"/>
          <w:lang w:eastAsia="cs-CZ"/>
          <w14:ligatures w14:val="none"/>
        </w:rPr>
      </w:pPr>
    </w:p>
    <w:p w14:paraId="132108FA"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IV.</w:t>
      </w:r>
    </w:p>
    <w:p w14:paraId="75622061"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Cenová ujednání</w:t>
      </w:r>
    </w:p>
    <w:p w14:paraId="508126F8" w14:textId="77777777" w:rsidR="00411E93" w:rsidRPr="00411E93" w:rsidRDefault="00411E93" w:rsidP="00411E93">
      <w:pPr>
        <w:spacing w:after="0" w:line="240" w:lineRule="auto"/>
        <w:rPr>
          <w:rFonts w:ascii="Calibri" w:eastAsia="Times New Roman" w:hAnsi="Calibri" w:cs="Times New Roman"/>
          <w:b/>
          <w:kern w:val="0"/>
          <w:sz w:val="24"/>
          <w:szCs w:val="24"/>
          <w:lang w:eastAsia="cs-CZ"/>
          <w14:ligatures w14:val="none"/>
        </w:rPr>
      </w:pPr>
    </w:p>
    <w:p w14:paraId="05C0CA25" w14:textId="77777777" w:rsidR="00411E93" w:rsidRPr="00411E93" w:rsidRDefault="00411E93" w:rsidP="00411E93">
      <w:pPr>
        <w:numPr>
          <w:ilvl w:val="0"/>
          <w:numId w:val="6"/>
        </w:numPr>
        <w:spacing w:after="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Smluvní strany sjednaly úplatu za splnění předmětu této smlouvy ve výši:</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410"/>
        <w:gridCol w:w="2409"/>
      </w:tblGrid>
      <w:tr w:rsidR="00411E93" w:rsidRPr="00411E93" w14:paraId="533F5D71" w14:textId="77777777" w:rsidTr="00A13F21">
        <w:tc>
          <w:tcPr>
            <w:tcW w:w="3969" w:type="dxa"/>
            <w:tcBorders>
              <w:top w:val="single" w:sz="4" w:space="0" w:color="000000"/>
              <w:left w:val="single" w:sz="4" w:space="0" w:color="000000"/>
              <w:bottom w:val="single" w:sz="4" w:space="0" w:color="000000"/>
              <w:right w:val="single" w:sz="4" w:space="0" w:color="000000"/>
            </w:tcBorders>
            <w:hideMark/>
          </w:tcPr>
          <w:p w14:paraId="50179CF2" w14:textId="77777777" w:rsidR="00411E93" w:rsidRPr="00411E93" w:rsidRDefault="00411E93" w:rsidP="00411E93">
            <w:pPr>
              <w:suppressAutoHyphens/>
              <w:spacing w:after="0" w:line="240" w:lineRule="auto"/>
              <w:jc w:val="center"/>
              <w:rPr>
                <w:rFonts w:ascii="Calibri" w:eastAsia="Times New Roman" w:hAnsi="Calibri" w:cs="Calibri"/>
                <w:b/>
                <w:bCs/>
                <w:color w:val="000000"/>
                <w:kern w:val="0"/>
                <w:lang w:eastAsia="ar-SA"/>
                <w14:ligatures w14:val="none"/>
              </w:rPr>
            </w:pPr>
            <w:r w:rsidRPr="00411E93">
              <w:rPr>
                <w:rFonts w:ascii="Calibri" w:eastAsia="Times New Roman" w:hAnsi="Calibri" w:cs="Times New Roman"/>
                <w:b/>
                <w:bCs/>
                <w:color w:val="000000"/>
                <w:kern w:val="0"/>
                <w:lang w:eastAsia="cs-CZ"/>
                <w14:ligatures w14:val="none"/>
              </w:rPr>
              <w:t>Činnost</w:t>
            </w:r>
          </w:p>
        </w:tc>
        <w:tc>
          <w:tcPr>
            <w:tcW w:w="2410" w:type="dxa"/>
            <w:tcBorders>
              <w:top w:val="single" w:sz="4" w:space="0" w:color="000000"/>
              <w:left w:val="single" w:sz="4" w:space="0" w:color="000000"/>
              <w:bottom w:val="single" w:sz="4" w:space="0" w:color="000000"/>
              <w:right w:val="single" w:sz="4" w:space="0" w:color="000000"/>
            </w:tcBorders>
            <w:hideMark/>
          </w:tcPr>
          <w:p w14:paraId="34ECCFE6" w14:textId="77777777" w:rsidR="00411E93" w:rsidRPr="00411E93" w:rsidRDefault="00411E93" w:rsidP="00411E93">
            <w:pPr>
              <w:suppressAutoHyphens/>
              <w:spacing w:after="0" w:line="240" w:lineRule="auto"/>
              <w:jc w:val="center"/>
              <w:rPr>
                <w:rFonts w:ascii="Calibri" w:eastAsia="Times New Roman" w:hAnsi="Calibri" w:cs="Calibri"/>
                <w:b/>
                <w:bCs/>
                <w:color w:val="000000"/>
                <w:kern w:val="0"/>
                <w:lang w:eastAsia="ar-SA"/>
                <w14:ligatures w14:val="none"/>
              </w:rPr>
            </w:pPr>
            <w:r w:rsidRPr="00411E93">
              <w:rPr>
                <w:rFonts w:ascii="Calibri" w:eastAsia="Times New Roman" w:hAnsi="Calibri" w:cs="Times New Roman"/>
                <w:b/>
                <w:bCs/>
                <w:color w:val="000000"/>
                <w:kern w:val="0"/>
                <w:lang w:eastAsia="cs-CZ"/>
                <w14:ligatures w14:val="none"/>
              </w:rPr>
              <w:t>Cena bez DPH</w:t>
            </w:r>
          </w:p>
        </w:tc>
        <w:tc>
          <w:tcPr>
            <w:tcW w:w="2409" w:type="dxa"/>
            <w:tcBorders>
              <w:top w:val="single" w:sz="4" w:space="0" w:color="000000"/>
              <w:left w:val="single" w:sz="4" w:space="0" w:color="000000"/>
              <w:bottom w:val="single" w:sz="4" w:space="0" w:color="000000"/>
              <w:right w:val="single" w:sz="4" w:space="0" w:color="000000"/>
            </w:tcBorders>
            <w:hideMark/>
          </w:tcPr>
          <w:p w14:paraId="7BF0782D" w14:textId="77777777" w:rsidR="00411E93" w:rsidRPr="00411E93" w:rsidRDefault="00411E93" w:rsidP="00411E93">
            <w:pPr>
              <w:spacing w:after="0" w:line="240" w:lineRule="auto"/>
              <w:jc w:val="center"/>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b/>
                <w:bCs/>
                <w:color w:val="000000"/>
                <w:kern w:val="0"/>
                <w:lang w:eastAsia="cs-CZ"/>
                <w14:ligatures w14:val="none"/>
              </w:rPr>
              <w:t xml:space="preserve">Cena s DPH </w:t>
            </w:r>
            <w:proofErr w:type="gramStart"/>
            <w:r w:rsidRPr="00411E93">
              <w:rPr>
                <w:rFonts w:ascii="Calibri" w:eastAsia="Times New Roman" w:hAnsi="Calibri" w:cs="Times New Roman"/>
                <w:b/>
                <w:bCs/>
                <w:color w:val="000000"/>
                <w:kern w:val="0"/>
                <w:lang w:eastAsia="cs-CZ"/>
                <w14:ligatures w14:val="none"/>
              </w:rPr>
              <w:t>21%</w:t>
            </w:r>
            <w:proofErr w:type="gramEnd"/>
          </w:p>
        </w:tc>
      </w:tr>
      <w:tr w:rsidR="00411E93" w:rsidRPr="00411E93" w14:paraId="48166909" w14:textId="77777777" w:rsidTr="00A13F21">
        <w:tc>
          <w:tcPr>
            <w:tcW w:w="3969" w:type="dxa"/>
            <w:tcBorders>
              <w:top w:val="single" w:sz="4" w:space="0" w:color="000000"/>
              <w:left w:val="single" w:sz="4" w:space="0" w:color="000000"/>
              <w:bottom w:val="single" w:sz="4" w:space="0" w:color="000000"/>
              <w:right w:val="single" w:sz="4" w:space="0" w:color="000000"/>
            </w:tcBorders>
            <w:hideMark/>
          </w:tcPr>
          <w:p w14:paraId="40F0A512" w14:textId="77777777" w:rsidR="00411E93" w:rsidRPr="00411E93" w:rsidRDefault="00411E93" w:rsidP="00411E93">
            <w:pPr>
              <w:spacing w:after="0" w:line="240" w:lineRule="auto"/>
              <w:jc w:val="center"/>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b/>
                <w:color w:val="000000"/>
                <w:kern w:val="0"/>
                <w:lang w:eastAsia="cs-CZ"/>
                <w14:ligatures w14:val="none"/>
              </w:rPr>
              <w:t>Externí hodnocení kvality a bezpečí poskytovaných zdravotních služeb</w:t>
            </w:r>
            <w:r w:rsidRPr="00411E93">
              <w:rPr>
                <w:rFonts w:ascii="Calibri" w:eastAsia="Times New Roman" w:hAnsi="Calibri" w:cs="Times New Roman"/>
                <w:color w:val="000000"/>
                <w:kern w:val="0"/>
                <w:lang w:eastAsia="cs-CZ"/>
                <w14:ligatures w14:val="none"/>
              </w:rPr>
              <w:t xml:space="preserve"> </w:t>
            </w:r>
            <w:r w:rsidRPr="00411E93">
              <w:rPr>
                <w:rFonts w:ascii="Calibri" w:eastAsia="Times New Roman" w:hAnsi="Calibri" w:cs="Times New Roman"/>
                <w:b/>
                <w:color w:val="000000"/>
                <w:kern w:val="0"/>
                <w:lang w:eastAsia="cs-CZ"/>
                <w14:ligatures w14:val="none"/>
              </w:rPr>
              <w:t>2024</w:t>
            </w:r>
            <w:r w:rsidRPr="00411E93">
              <w:rPr>
                <w:rFonts w:ascii="Calibri" w:eastAsia="Times New Roman" w:hAnsi="Calibri" w:cs="Times New Roman"/>
                <w:color w:val="000000"/>
                <w:kern w:val="0"/>
                <w:lang w:eastAsia="cs-CZ"/>
                <w14:ligatures w14:val="none"/>
              </w:rPr>
              <w:t xml:space="preserve"> (</w:t>
            </w:r>
            <w:proofErr w:type="spellStart"/>
            <w:r w:rsidRPr="00411E93">
              <w:rPr>
                <w:rFonts w:ascii="Calibri" w:eastAsia="Times New Roman" w:hAnsi="Calibri" w:cs="Times New Roman"/>
                <w:color w:val="000000"/>
                <w:kern w:val="0"/>
                <w:lang w:eastAsia="cs-CZ"/>
                <w14:ligatures w14:val="none"/>
              </w:rPr>
              <w:t>reakreditační</w:t>
            </w:r>
            <w:proofErr w:type="spellEnd"/>
            <w:r w:rsidRPr="00411E93">
              <w:rPr>
                <w:rFonts w:ascii="Calibri" w:eastAsia="Times New Roman" w:hAnsi="Calibri" w:cs="Times New Roman"/>
                <w:color w:val="000000"/>
                <w:kern w:val="0"/>
                <w:lang w:eastAsia="cs-CZ"/>
                <w14:ligatures w14:val="none"/>
              </w:rPr>
              <w:t xml:space="preserve"> šetření)</w:t>
            </w:r>
          </w:p>
        </w:tc>
        <w:tc>
          <w:tcPr>
            <w:tcW w:w="2410" w:type="dxa"/>
            <w:tcBorders>
              <w:top w:val="single" w:sz="4" w:space="0" w:color="000000"/>
              <w:left w:val="single" w:sz="4" w:space="0" w:color="000000"/>
              <w:bottom w:val="single" w:sz="4" w:space="0" w:color="000000"/>
              <w:right w:val="single" w:sz="4" w:space="0" w:color="000000"/>
            </w:tcBorders>
            <w:hideMark/>
          </w:tcPr>
          <w:p w14:paraId="6AF98864"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98 500 Kč</w:t>
            </w:r>
          </w:p>
        </w:tc>
        <w:tc>
          <w:tcPr>
            <w:tcW w:w="2409" w:type="dxa"/>
            <w:tcBorders>
              <w:top w:val="single" w:sz="4" w:space="0" w:color="000000"/>
              <w:left w:val="single" w:sz="4" w:space="0" w:color="000000"/>
              <w:bottom w:val="single" w:sz="4" w:space="0" w:color="000000"/>
              <w:right w:val="single" w:sz="4" w:space="0" w:color="000000"/>
            </w:tcBorders>
            <w:hideMark/>
          </w:tcPr>
          <w:p w14:paraId="01F250E7"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119 185 Kč</w:t>
            </w:r>
          </w:p>
        </w:tc>
      </w:tr>
    </w:tbl>
    <w:p w14:paraId="1EC8642D"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08B7DE07" w14:textId="77777777" w:rsidR="00411E93" w:rsidRPr="00411E93" w:rsidRDefault="00411E93" w:rsidP="00411E93">
      <w:pPr>
        <w:numPr>
          <w:ilvl w:val="0"/>
          <w:numId w:val="6"/>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Smluvní strany se výslovně dohodly, že cena je sjednána jako </w:t>
      </w:r>
      <w:r w:rsidRPr="00411E93">
        <w:rPr>
          <w:rFonts w:ascii="Calibri" w:eastAsia="Times New Roman" w:hAnsi="Calibri" w:cs="Times New Roman"/>
          <w:b/>
          <w:kern w:val="0"/>
          <w:sz w:val="24"/>
          <w:szCs w:val="24"/>
          <w:lang w:eastAsia="cs-CZ"/>
          <w14:ligatures w14:val="none"/>
        </w:rPr>
        <w:t>maximální a nepřekročitelná</w:t>
      </w:r>
      <w:r w:rsidRPr="00411E93">
        <w:rPr>
          <w:rFonts w:ascii="Calibri" w:eastAsia="Times New Roman" w:hAnsi="Calibri" w:cs="Times New Roman"/>
          <w:kern w:val="0"/>
          <w:sz w:val="24"/>
          <w:szCs w:val="24"/>
          <w:lang w:eastAsia="cs-CZ"/>
          <w14:ligatures w14:val="none"/>
        </w:rPr>
        <w:t xml:space="preserve"> a zahrnuje veškeré náklady související s předmětem plnění. Součástí ceny jsou veškeré náklady Dodavatele spojené s realizací akreditace.</w:t>
      </w:r>
    </w:p>
    <w:p w14:paraId="10CD778E" w14:textId="77777777" w:rsidR="00411E93" w:rsidRPr="00411E93" w:rsidRDefault="00411E93" w:rsidP="00411E93">
      <w:pPr>
        <w:numPr>
          <w:ilvl w:val="0"/>
          <w:numId w:val="6"/>
        </w:numPr>
        <w:spacing w:after="120" w:line="240" w:lineRule="auto"/>
        <w:ind w:left="284" w:hanging="284"/>
        <w:jc w:val="both"/>
        <w:rPr>
          <w:rFonts w:ascii="Times New Roman" w:eastAsia="Times New Roman" w:hAnsi="Times New Roman" w:cs="Times New Roman"/>
          <w:bCs/>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Cena zahrnuje také vydání certifikátu ve dvou vyhotoveních v českém jazyce, používání certifikačního loga ČSAZ na propagačních materiálech, webových stránkách a interních dokumentech </w:t>
      </w:r>
      <w:r w:rsidRPr="00411E93">
        <w:rPr>
          <w:rFonts w:ascii="Calibri" w:eastAsia="Times New Roman" w:hAnsi="Calibri" w:cs="Times New Roman"/>
          <w:b/>
          <w:bCs/>
          <w:kern w:val="0"/>
          <w:sz w:val="24"/>
          <w:szCs w:val="24"/>
          <w:lang w:eastAsia="cs-CZ"/>
          <w14:ligatures w14:val="none"/>
        </w:rPr>
        <w:t>Psychiatrické nemocnice Jihlava.</w:t>
      </w:r>
    </w:p>
    <w:p w14:paraId="3570413A" w14:textId="77777777" w:rsidR="00411E93" w:rsidRPr="00411E93" w:rsidRDefault="00411E93" w:rsidP="00411E93">
      <w:pPr>
        <w:numPr>
          <w:ilvl w:val="0"/>
          <w:numId w:val="6"/>
        </w:numPr>
        <w:spacing w:after="120" w:line="240" w:lineRule="auto"/>
        <w:ind w:left="284" w:hanging="284"/>
        <w:jc w:val="both"/>
        <w:rPr>
          <w:rFonts w:ascii="Times New Roman" w:eastAsia="Times New Roman" w:hAnsi="Times New Roman"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lastRenderedPageBreak/>
        <w:t xml:space="preserve">Dodavatel </w:t>
      </w:r>
      <w:r w:rsidRPr="00411E93">
        <w:rPr>
          <w:rFonts w:ascii="Calibri" w:eastAsia="Times New Roman" w:hAnsi="Calibri" w:cs="Times New Roman"/>
          <w:bCs/>
          <w:kern w:val="0"/>
          <w:sz w:val="24"/>
          <w:szCs w:val="24"/>
          <w:lang w:eastAsia="cs-CZ"/>
          <w14:ligatures w14:val="none"/>
        </w:rPr>
        <w:t xml:space="preserve">bude tuto částku fakturovat Objednateli do 14 dnů po dodání a převzetí celého předmětu plnění předmětu smlouvy, </w:t>
      </w:r>
      <w:r w:rsidRPr="00411E93">
        <w:rPr>
          <w:rFonts w:ascii="Calibri" w:eastAsia="Times New Roman" w:hAnsi="Calibri" w:cs="Times New Roman"/>
          <w:kern w:val="0"/>
          <w:sz w:val="24"/>
          <w:szCs w:val="24"/>
          <w:lang w:eastAsia="cs-CZ"/>
          <w14:ligatures w14:val="none"/>
        </w:rPr>
        <w:t>uvedeného v čl. I. 1., Objednatelem a</w:t>
      </w:r>
      <w:r w:rsidRPr="00411E93">
        <w:rPr>
          <w:rFonts w:ascii="Calibri" w:eastAsia="Times New Roman" w:hAnsi="Calibri" w:cs="Times New Roman"/>
          <w:bCs/>
          <w:kern w:val="0"/>
          <w:sz w:val="24"/>
          <w:szCs w:val="24"/>
          <w:lang w:eastAsia="cs-CZ"/>
          <w14:ligatures w14:val="none"/>
        </w:rPr>
        <w:t xml:space="preserve"> po předání zprávy a certifikátu. Dodavatel nepožaduje žádné zálohy.</w:t>
      </w:r>
    </w:p>
    <w:p w14:paraId="2E832237" w14:textId="77777777" w:rsidR="00411E93" w:rsidRPr="00411E93" w:rsidRDefault="00411E93" w:rsidP="00411E93">
      <w:pPr>
        <w:numPr>
          <w:ilvl w:val="0"/>
          <w:numId w:val="6"/>
        </w:numPr>
        <w:spacing w:after="12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Dodavatel vystaví fakturu s náležitostmi daňového dokladu podle zákona č. 235/2004 Sb., o dani z přidané hodnoty, v platném znění a splatností 30 kalendářních dnů ode dne vystavení faktury.</w:t>
      </w:r>
    </w:p>
    <w:p w14:paraId="77C47124" w14:textId="77777777" w:rsidR="00411E93" w:rsidRPr="00411E93" w:rsidRDefault="00411E93" w:rsidP="00411E93">
      <w:pPr>
        <w:numPr>
          <w:ilvl w:val="0"/>
          <w:numId w:val="6"/>
        </w:numPr>
        <w:spacing w:after="12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Pokud faktura nebude splňovat veškeré náležitosti, je Objednatel oprávněn fakturu Dodavateli ve lhůtě splatnosti vrátit, přičemž lhůta splatnosti smluvní ceny začíná běžet znovu ode dne doručení řádně vystavené faktury Objednateli.</w:t>
      </w:r>
    </w:p>
    <w:p w14:paraId="46357820" w14:textId="77777777" w:rsidR="00411E93" w:rsidRPr="00411E93" w:rsidRDefault="00411E93" w:rsidP="00411E93">
      <w:pPr>
        <w:numPr>
          <w:ilvl w:val="0"/>
          <w:numId w:val="6"/>
        </w:numPr>
        <w:tabs>
          <w:tab w:val="left" w:pos="360"/>
        </w:tabs>
        <w:suppressAutoHyphens/>
        <w:spacing w:after="120" w:line="240" w:lineRule="auto"/>
        <w:ind w:left="284" w:hanging="284"/>
        <w:jc w:val="both"/>
        <w:rPr>
          <w:rFonts w:ascii="Calibri" w:eastAsia="Cambria" w:hAnsi="Calibri" w:cs="Times New Roman"/>
          <w:bCs/>
          <w:kern w:val="0"/>
          <w14:ligatures w14:val="none"/>
        </w:rPr>
      </w:pPr>
      <w:r w:rsidRPr="00411E93">
        <w:rPr>
          <w:rFonts w:ascii="Calibri" w:eastAsia="Cambria" w:hAnsi="Calibri" w:cs="Times New Roman"/>
          <w:bCs/>
          <w:kern w:val="0"/>
          <w14:ligatures w14:val="none"/>
        </w:rPr>
        <w:t xml:space="preserve">Objednatel </w:t>
      </w:r>
      <w:r w:rsidRPr="00411E93">
        <w:rPr>
          <w:rFonts w:ascii="Calibri" w:eastAsia="Cambria" w:hAnsi="Calibri" w:cs="Times New Roman"/>
          <w:kern w:val="0"/>
          <w14:ligatures w14:val="none"/>
        </w:rPr>
        <w:t>se zavazuje řádně vystavené a doručené daňové doklady (faktury) uhradit.</w:t>
      </w:r>
    </w:p>
    <w:p w14:paraId="0C4E3BD2" w14:textId="77777777" w:rsidR="00411E93" w:rsidRPr="00411E93" w:rsidRDefault="00411E93" w:rsidP="00411E93">
      <w:pPr>
        <w:tabs>
          <w:tab w:val="left" w:pos="360"/>
        </w:tabs>
        <w:spacing w:after="0" w:line="240" w:lineRule="auto"/>
        <w:jc w:val="both"/>
        <w:rPr>
          <w:rFonts w:ascii="Calibri" w:eastAsia="Cambria" w:hAnsi="Calibri" w:cs="Times New Roman"/>
          <w:kern w:val="0"/>
          <w:sz w:val="20"/>
          <w:szCs w:val="20"/>
          <w14:ligatures w14:val="none"/>
        </w:rPr>
      </w:pPr>
    </w:p>
    <w:p w14:paraId="305992C0" w14:textId="77777777" w:rsidR="00411E93" w:rsidRPr="00411E93" w:rsidRDefault="00411E93" w:rsidP="00411E93">
      <w:pPr>
        <w:tabs>
          <w:tab w:val="left" w:pos="360"/>
        </w:tabs>
        <w:spacing w:after="0" w:line="240" w:lineRule="auto"/>
        <w:jc w:val="both"/>
        <w:rPr>
          <w:rFonts w:ascii="Calibri" w:eastAsia="Cambria" w:hAnsi="Calibri" w:cs="Times New Roman"/>
          <w:kern w:val="0"/>
          <w:sz w:val="20"/>
          <w:szCs w:val="20"/>
          <w14:ligatures w14:val="none"/>
        </w:rPr>
      </w:pPr>
    </w:p>
    <w:p w14:paraId="775F90B6"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V.</w:t>
      </w:r>
    </w:p>
    <w:p w14:paraId="283F8277"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Zvláštní ujednání</w:t>
      </w:r>
    </w:p>
    <w:p w14:paraId="277CDBE2" w14:textId="77777777" w:rsidR="00411E93" w:rsidRPr="00411E93" w:rsidRDefault="00411E93" w:rsidP="00411E93">
      <w:pPr>
        <w:spacing w:after="0" w:line="240" w:lineRule="auto"/>
        <w:ind w:left="284" w:hanging="284"/>
        <w:jc w:val="center"/>
        <w:rPr>
          <w:rFonts w:ascii="Calibri" w:eastAsia="Times New Roman" w:hAnsi="Calibri" w:cs="Times New Roman"/>
          <w:b/>
          <w:bCs/>
          <w:kern w:val="0"/>
          <w:lang w:eastAsia="cs-CZ"/>
          <w14:ligatures w14:val="none"/>
        </w:rPr>
      </w:pPr>
    </w:p>
    <w:p w14:paraId="7C0C3FF8" w14:textId="77777777" w:rsidR="00411E93" w:rsidRPr="00411E93" w:rsidRDefault="00411E93" w:rsidP="00411E93">
      <w:pPr>
        <w:numPr>
          <w:ilvl w:val="0"/>
          <w:numId w:val="7"/>
        </w:numPr>
        <w:spacing w:after="12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Dodavatel je povinen chránit podklady převzaté od Objednatele před jejich zneužitím.</w:t>
      </w:r>
    </w:p>
    <w:p w14:paraId="7CFF093F" w14:textId="77777777" w:rsidR="00411E93" w:rsidRPr="00411E93" w:rsidRDefault="00411E93" w:rsidP="00411E93">
      <w:pPr>
        <w:numPr>
          <w:ilvl w:val="0"/>
          <w:numId w:val="7"/>
        </w:numPr>
        <w:spacing w:after="12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Smluvní strany se zavazují, že dbají na náležitém zachovávaní mlčenlivosti o citlivých (důvěrných) informacích a tuto mlčenlivost se zavazují dodržovat.</w:t>
      </w:r>
    </w:p>
    <w:p w14:paraId="5F12B557" w14:textId="77777777" w:rsidR="00411E93" w:rsidRPr="00411E93" w:rsidRDefault="00411E93" w:rsidP="00411E93">
      <w:pPr>
        <w:numPr>
          <w:ilvl w:val="0"/>
          <w:numId w:val="7"/>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Smluvní strany si dohodly, že všechny informace, které vejdou ve známost smluvních stran při jednání o uzavření smlouvy, při jejím plnění a v souvislosti s ním, budou považovány za důvěrné ve smyslu § 1730 odst. 2 občanského zákoníku a smluvní strany nejsou oprávněny sdělovat je bez předchozího písemného souhlasu druhé smluvní strany třetím osobám, s výjimkou zákonné povinnosti, a to ani po ukončení účinnosti této smlouvy. K povinnosti mlčenlivosti v uvedeném rozsahu zaváží smluvní strany i třetí osoby, prostřednictvím kterých budou plnit povinnosti z této smlouvy.</w:t>
      </w:r>
    </w:p>
    <w:p w14:paraId="6BC3A365" w14:textId="77777777" w:rsidR="00411E93" w:rsidRPr="00411E93" w:rsidRDefault="00411E93" w:rsidP="00411E93">
      <w:pPr>
        <w:numPr>
          <w:ilvl w:val="0"/>
          <w:numId w:val="7"/>
        </w:numPr>
        <w:spacing w:after="12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 xml:space="preserve">Smluvní strany se zavazují pro účely plnění této smlouvy, v případě nakládání s osobními údaji třetích osob, že bude dodržovat povinnosti stanovené podle zákona č. 110/2019 Sb., o zpracování osobních údajů a o změně některých zákonů, v platném znění. </w:t>
      </w:r>
    </w:p>
    <w:p w14:paraId="4B603CE5" w14:textId="77777777" w:rsidR="00411E93" w:rsidRPr="00411E93" w:rsidRDefault="00411E93" w:rsidP="00411E93">
      <w:pPr>
        <w:spacing w:after="0" w:line="240" w:lineRule="auto"/>
        <w:jc w:val="both"/>
        <w:rPr>
          <w:rFonts w:ascii="Calibri" w:eastAsia="Times New Roman" w:hAnsi="Calibri" w:cs="Times New Roman"/>
          <w:b/>
          <w:kern w:val="0"/>
          <w:sz w:val="20"/>
          <w:szCs w:val="20"/>
          <w:lang w:eastAsia="cs-CZ"/>
          <w14:ligatures w14:val="none"/>
        </w:rPr>
      </w:pPr>
    </w:p>
    <w:p w14:paraId="460D09EA" w14:textId="77777777" w:rsidR="00411E93" w:rsidRPr="00411E93" w:rsidRDefault="00411E93" w:rsidP="00411E93">
      <w:pPr>
        <w:spacing w:after="0" w:line="240" w:lineRule="auto"/>
        <w:jc w:val="both"/>
        <w:rPr>
          <w:rFonts w:ascii="Calibri" w:eastAsia="Times New Roman" w:hAnsi="Calibri" w:cs="Times New Roman"/>
          <w:b/>
          <w:kern w:val="0"/>
          <w:sz w:val="20"/>
          <w:szCs w:val="20"/>
          <w:lang w:eastAsia="cs-CZ"/>
          <w14:ligatures w14:val="none"/>
        </w:rPr>
      </w:pPr>
    </w:p>
    <w:p w14:paraId="7D421EFC"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VI.</w:t>
      </w:r>
    </w:p>
    <w:p w14:paraId="6CABA69A"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Smluvní pokuta</w:t>
      </w:r>
    </w:p>
    <w:p w14:paraId="102341EF"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p>
    <w:p w14:paraId="33A5152A" w14:textId="77777777" w:rsidR="00411E93" w:rsidRPr="00411E93" w:rsidRDefault="00411E93" w:rsidP="00411E93">
      <w:pPr>
        <w:numPr>
          <w:ilvl w:val="0"/>
          <w:numId w:val="8"/>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V případě porušení povinností sjednaných v čl. V. této smlouvy je Dodavatel povinen zaplatit </w:t>
      </w:r>
      <w:r w:rsidRPr="00411E93">
        <w:rPr>
          <w:rFonts w:ascii="Calibri" w:eastAsia="Times New Roman" w:hAnsi="Calibri" w:cs="Times New Roman"/>
          <w:bCs/>
          <w:kern w:val="0"/>
          <w:sz w:val="24"/>
          <w:szCs w:val="24"/>
          <w:lang w:eastAsia="cs-CZ"/>
          <w14:ligatures w14:val="none"/>
        </w:rPr>
        <w:t>Objednatel</w:t>
      </w:r>
      <w:r w:rsidRPr="00411E93">
        <w:rPr>
          <w:rFonts w:ascii="Calibri" w:eastAsia="Times New Roman" w:hAnsi="Calibri" w:cs="Times New Roman"/>
          <w:kern w:val="0"/>
          <w:sz w:val="24"/>
          <w:szCs w:val="24"/>
          <w:lang w:eastAsia="cs-CZ"/>
          <w14:ligatures w14:val="none"/>
        </w:rPr>
        <w:t>i smluvní pokutu ve výši 30 000 Kč za každý případ takovéhoto porušení.</w:t>
      </w:r>
    </w:p>
    <w:p w14:paraId="5F29AD98" w14:textId="77777777" w:rsidR="00411E93" w:rsidRPr="00411E93" w:rsidRDefault="00411E93" w:rsidP="00411E93">
      <w:pPr>
        <w:spacing w:after="0" w:line="240" w:lineRule="auto"/>
        <w:rPr>
          <w:rFonts w:ascii="Calibri" w:eastAsia="Times New Roman" w:hAnsi="Calibri" w:cs="Times New Roman"/>
          <w:b/>
          <w:kern w:val="0"/>
          <w:sz w:val="20"/>
          <w:szCs w:val="20"/>
          <w:lang w:eastAsia="cs-CZ"/>
          <w14:ligatures w14:val="none"/>
        </w:rPr>
      </w:pPr>
    </w:p>
    <w:p w14:paraId="5CF5890B"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p>
    <w:p w14:paraId="52974941"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VII.</w:t>
      </w:r>
    </w:p>
    <w:p w14:paraId="10E22FC9"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Komunikace mezi stranami</w:t>
      </w:r>
    </w:p>
    <w:p w14:paraId="504FFE72" w14:textId="77777777" w:rsidR="00411E93" w:rsidRPr="00411E93" w:rsidRDefault="00411E93" w:rsidP="00411E93">
      <w:pPr>
        <w:spacing w:after="0" w:line="240" w:lineRule="auto"/>
        <w:jc w:val="center"/>
        <w:rPr>
          <w:rFonts w:ascii="Calibri" w:eastAsia="Times New Roman" w:hAnsi="Calibri" w:cs="Times New Roman"/>
          <w:b/>
          <w:kern w:val="0"/>
          <w:sz w:val="16"/>
          <w:szCs w:val="16"/>
          <w:lang w:eastAsia="cs-CZ"/>
          <w14:ligatures w14:val="none"/>
        </w:rPr>
      </w:pPr>
    </w:p>
    <w:p w14:paraId="27E13FBF" w14:textId="77777777" w:rsidR="00411E93" w:rsidRPr="00411E93" w:rsidRDefault="00411E93" w:rsidP="00411E93">
      <w:pPr>
        <w:numPr>
          <w:ilvl w:val="0"/>
          <w:numId w:val="9"/>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lastRenderedPageBreak/>
        <w:t>Dodavatel a Objednatel se zavazují poskytovat si navzájem potřebné informace a součinnost.</w:t>
      </w:r>
    </w:p>
    <w:p w14:paraId="07573E2F" w14:textId="77777777" w:rsidR="00411E93" w:rsidRPr="00411E93" w:rsidRDefault="00411E93" w:rsidP="00411E93">
      <w:pPr>
        <w:numPr>
          <w:ilvl w:val="0"/>
          <w:numId w:val="9"/>
        </w:numPr>
        <w:spacing w:after="0" w:line="240" w:lineRule="auto"/>
        <w:ind w:left="284" w:hanging="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Za Dodavatele jsou v této věci oprávněni jednat:</w:t>
      </w:r>
    </w:p>
    <w:p w14:paraId="38F9429A" w14:textId="77777777" w:rsidR="00411E93" w:rsidRPr="00411E93" w:rsidRDefault="00411E93" w:rsidP="00411E93">
      <w:pPr>
        <w:tabs>
          <w:tab w:val="left" w:pos="360"/>
        </w:tabs>
        <w:spacing w:after="0" w:line="240" w:lineRule="auto"/>
        <w:jc w:val="both"/>
        <w:rPr>
          <w:rFonts w:ascii="Calibri" w:eastAsia="Times New Roman" w:hAnsi="Calibri" w:cs="Times New Roman"/>
          <w:bCs/>
          <w:kern w:val="0"/>
          <w:sz w:val="8"/>
          <w:szCs w:val="8"/>
          <w:lang w:eastAsia="cs-CZ"/>
          <w14:ligatures w14:val="none"/>
        </w:rPr>
      </w:pPr>
    </w:p>
    <w:tbl>
      <w:tblPr>
        <w:tblW w:w="8790" w:type="dxa"/>
        <w:tblInd w:w="392" w:type="dxa"/>
        <w:tblLayout w:type="fixed"/>
        <w:tblLook w:val="04A0" w:firstRow="1" w:lastRow="0" w:firstColumn="1" w:lastColumn="0" w:noHBand="0" w:noVBand="1"/>
      </w:tblPr>
      <w:tblGrid>
        <w:gridCol w:w="2836"/>
        <w:gridCol w:w="5954"/>
      </w:tblGrid>
      <w:tr w:rsidR="00411E93" w:rsidRPr="00411E93" w14:paraId="77109514" w14:textId="77777777" w:rsidTr="00A13F21">
        <w:tc>
          <w:tcPr>
            <w:tcW w:w="2835" w:type="dxa"/>
            <w:tcBorders>
              <w:top w:val="single" w:sz="4" w:space="0" w:color="000000"/>
              <w:left w:val="single" w:sz="4" w:space="0" w:color="000000"/>
              <w:bottom w:val="single" w:sz="4" w:space="0" w:color="000000"/>
              <w:right w:val="nil"/>
            </w:tcBorders>
            <w:hideMark/>
          </w:tcPr>
          <w:p w14:paraId="4D7CEA42" w14:textId="77777777" w:rsidR="00411E93" w:rsidRPr="00411E93" w:rsidRDefault="00411E93" w:rsidP="00411E93">
            <w:pPr>
              <w:tabs>
                <w:tab w:val="left" w:pos="360"/>
              </w:tabs>
              <w:suppressAutoHyphens/>
              <w:snapToGrid w:val="0"/>
              <w:spacing w:after="0" w:line="240" w:lineRule="auto"/>
              <w:jc w:val="both"/>
              <w:rPr>
                <w:rFonts w:ascii="Calibri" w:eastAsia="Calibri" w:hAnsi="Calibri" w:cs="Calibri"/>
                <w:bCs/>
                <w:kern w:val="0"/>
                <w:sz w:val="24"/>
                <w:szCs w:val="24"/>
                <w:lang w:eastAsia="ar-SA"/>
                <w14:ligatures w14:val="none"/>
              </w:rPr>
            </w:pPr>
            <w:proofErr w:type="spellStart"/>
            <w:r w:rsidRPr="00411E93">
              <w:rPr>
                <w:rFonts w:ascii="Calibri" w:eastAsia="Times New Roman" w:hAnsi="Calibri" w:cs="Times New Roman"/>
                <w:bCs/>
                <w:kern w:val="0"/>
                <w:sz w:val="24"/>
                <w:szCs w:val="24"/>
                <w:lang w:eastAsia="cs-CZ"/>
                <w14:ligatures w14:val="none"/>
              </w:rPr>
              <w:t>xxxxx</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14:paraId="4C33B76C" w14:textId="77777777" w:rsidR="00411E93" w:rsidRPr="00411E93" w:rsidRDefault="00411E93" w:rsidP="00411E93">
            <w:pPr>
              <w:tabs>
                <w:tab w:val="left" w:pos="360"/>
              </w:tabs>
              <w:suppressAutoHyphens/>
              <w:snapToGrid w:val="0"/>
              <w:spacing w:after="0" w:line="240" w:lineRule="auto"/>
              <w:jc w:val="both"/>
              <w:rPr>
                <w:rFonts w:ascii="Calibri" w:eastAsia="Calibri" w:hAnsi="Calibri" w:cs="Calibri"/>
                <w:bCs/>
                <w:kern w:val="0"/>
                <w:sz w:val="24"/>
                <w:szCs w:val="24"/>
                <w:lang w:eastAsia="ar-SA"/>
                <w14:ligatures w14:val="none"/>
              </w:rPr>
            </w:pPr>
            <w:r w:rsidRPr="00411E93">
              <w:rPr>
                <w:rFonts w:ascii="Calibri" w:eastAsia="Times New Roman" w:hAnsi="Calibri" w:cs="Times New Roman"/>
                <w:bCs/>
                <w:kern w:val="0"/>
                <w:sz w:val="24"/>
                <w:szCs w:val="24"/>
                <w:lang w:eastAsia="cs-CZ"/>
                <w14:ligatures w14:val="none"/>
              </w:rPr>
              <w:t xml:space="preserve">Tel.: </w:t>
            </w:r>
            <w:proofErr w:type="spellStart"/>
            <w:r w:rsidRPr="00411E93">
              <w:rPr>
                <w:rFonts w:ascii="Calibri" w:eastAsia="Times New Roman" w:hAnsi="Calibri" w:cs="Times New Roman"/>
                <w:bCs/>
                <w:kern w:val="0"/>
                <w:sz w:val="24"/>
                <w:szCs w:val="24"/>
                <w:lang w:eastAsia="cs-CZ"/>
                <w14:ligatures w14:val="none"/>
              </w:rPr>
              <w:t>xxxxx</w:t>
            </w:r>
            <w:proofErr w:type="spellEnd"/>
            <w:r w:rsidRPr="00411E93">
              <w:rPr>
                <w:rFonts w:ascii="Calibri" w:eastAsia="Times New Roman" w:hAnsi="Calibri" w:cs="Times New Roman"/>
                <w:bCs/>
                <w:kern w:val="0"/>
                <w:sz w:val="24"/>
                <w:szCs w:val="24"/>
                <w:lang w:eastAsia="cs-CZ"/>
                <w14:ligatures w14:val="none"/>
              </w:rPr>
              <w:t xml:space="preserve">, e-mail: </w:t>
            </w:r>
            <w:hyperlink r:id="rId5" w:history="1">
              <w:proofErr w:type="spellStart"/>
              <w:r w:rsidRPr="00411E93">
                <w:rPr>
                  <w:rFonts w:ascii="Calibri" w:eastAsia="Times New Roman" w:hAnsi="Calibri" w:cs="Times New Roman"/>
                  <w:color w:val="0000FF"/>
                  <w:kern w:val="0"/>
                  <w:sz w:val="24"/>
                  <w:szCs w:val="24"/>
                  <w:u w:val="single"/>
                  <w:lang w:eastAsia="cs-CZ"/>
                  <w14:ligatures w14:val="none"/>
                </w:rPr>
                <w:t>xxxxx</w:t>
              </w:r>
              <w:proofErr w:type="spellEnd"/>
            </w:hyperlink>
          </w:p>
        </w:tc>
      </w:tr>
    </w:tbl>
    <w:p w14:paraId="52342137" w14:textId="77777777" w:rsidR="00411E93" w:rsidRPr="00411E93" w:rsidRDefault="00411E93" w:rsidP="00411E93">
      <w:pPr>
        <w:tabs>
          <w:tab w:val="left" w:pos="360"/>
        </w:tabs>
        <w:spacing w:after="0" w:line="240" w:lineRule="auto"/>
        <w:jc w:val="both"/>
        <w:rPr>
          <w:rFonts w:ascii="Calibri" w:eastAsia="Calibri" w:hAnsi="Calibri" w:cs="Calibri"/>
          <w:bCs/>
          <w:kern w:val="0"/>
          <w:sz w:val="16"/>
          <w:szCs w:val="16"/>
          <w:lang w:eastAsia="ar-SA"/>
          <w14:ligatures w14:val="none"/>
        </w:rPr>
      </w:pPr>
    </w:p>
    <w:p w14:paraId="34EB2C0C" w14:textId="77777777" w:rsidR="00411E93" w:rsidRPr="00411E93" w:rsidRDefault="00411E93" w:rsidP="00411E93">
      <w:pPr>
        <w:spacing w:after="0" w:line="240" w:lineRule="auto"/>
        <w:ind w:left="284"/>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Za Objednatele jsou v této věci oprávněni jednat:</w:t>
      </w:r>
    </w:p>
    <w:p w14:paraId="3D05A5DF" w14:textId="77777777" w:rsidR="00411E93" w:rsidRPr="00411E93" w:rsidRDefault="00411E93" w:rsidP="00411E93">
      <w:pPr>
        <w:tabs>
          <w:tab w:val="left" w:pos="360"/>
        </w:tabs>
        <w:spacing w:after="0" w:line="240" w:lineRule="auto"/>
        <w:jc w:val="both"/>
        <w:rPr>
          <w:rFonts w:ascii="Calibri" w:eastAsia="Times New Roman" w:hAnsi="Calibri" w:cs="Times New Roman"/>
          <w:bCs/>
          <w:kern w:val="0"/>
          <w:sz w:val="8"/>
          <w:szCs w:val="8"/>
          <w:lang w:eastAsia="cs-CZ"/>
          <w14:ligatures w14:val="none"/>
        </w:rPr>
      </w:pPr>
    </w:p>
    <w:tbl>
      <w:tblPr>
        <w:tblW w:w="8790" w:type="dxa"/>
        <w:tblInd w:w="392" w:type="dxa"/>
        <w:tblLayout w:type="fixed"/>
        <w:tblLook w:val="04A0" w:firstRow="1" w:lastRow="0" w:firstColumn="1" w:lastColumn="0" w:noHBand="0" w:noVBand="1"/>
      </w:tblPr>
      <w:tblGrid>
        <w:gridCol w:w="2831"/>
        <w:gridCol w:w="5959"/>
      </w:tblGrid>
      <w:tr w:rsidR="00411E93" w:rsidRPr="00411E93" w14:paraId="23A59889" w14:textId="77777777" w:rsidTr="00A13F21">
        <w:tc>
          <w:tcPr>
            <w:tcW w:w="2830" w:type="dxa"/>
            <w:tcBorders>
              <w:top w:val="single" w:sz="4" w:space="0" w:color="000000"/>
              <w:left w:val="single" w:sz="4" w:space="0" w:color="000000"/>
              <w:bottom w:val="single" w:sz="4" w:space="0" w:color="000000"/>
              <w:right w:val="nil"/>
            </w:tcBorders>
            <w:hideMark/>
          </w:tcPr>
          <w:p w14:paraId="1CB929DD" w14:textId="77777777" w:rsidR="00411E93" w:rsidRPr="00411E93" w:rsidRDefault="00411E93" w:rsidP="00411E93">
            <w:pPr>
              <w:tabs>
                <w:tab w:val="left" w:pos="360"/>
              </w:tabs>
              <w:snapToGrid w:val="0"/>
              <w:spacing w:after="0" w:line="276" w:lineRule="auto"/>
              <w:jc w:val="both"/>
              <w:rPr>
                <w:rFonts w:ascii="Calibri" w:eastAsia="Times New Roman" w:hAnsi="Calibri" w:cs="Times New Roman"/>
                <w:kern w:val="0"/>
                <w:sz w:val="24"/>
                <w:szCs w:val="24"/>
                <w:lang w:eastAsia="cs-CZ"/>
                <w14:ligatures w14:val="none"/>
              </w:rPr>
            </w:pPr>
            <w:proofErr w:type="spellStart"/>
            <w:r w:rsidRPr="00411E93">
              <w:rPr>
                <w:rFonts w:ascii="Calibri" w:eastAsia="Times New Roman" w:hAnsi="Calibri" w:cs="Times New Roman"/>
                <w:kern w:val="0"/>
                <w:sz w:val="24"/>
                <w:szCs w:val="24"/>
                <w:lang w:eastAsia="cs-CZ"/>
                <w14:ligatures w14:val="none"/>
              </w:rPr>
              <w:t>xxxxx</w:t>
            </w:r>
            <w:proofErr w:type="spellEnd"/>
          </w:p>
        </w:tc>
        <w:tc>
          <w:tcPr>
            <w:tcW w:w="5958" w:type="dxa"/>
            <w:tcBorders>
              <w:top w:val="single" w:sz="4" w:space="0" w:color="000000"/>
              <w:left w:val="single" w:sz="4" w:space="0" w:color="000000"/>
              <w:bottom w:val="single" w:sz="4" w:space="0" w:color="000000"/>
              <w:right w:val="single" w:sz="4" w:space="0" w:color="000000"/>
            </w:tcBorders>
            <w:hideMark/>
          </w:tcPr>
          <w:p w14:paraId="0687D290" w14:textId="77777777" w:rsidR="00411E93" w:rsidRPr="00411E93" w:rsidRDefault="00411E93" w:rsidP="00411E93">
            <w:pPr>
              <w:tabs>
                <w:tab w:val="left" w:pos="360"/>
              </w:tabs>
              <w:snapToGrid w:val="0"/>
              <w:spacing w:after="0" w:line="276" w:lineRule="auto"/>
              <w:jc w:val="both"/>
              <w:rPr>
                <w:rFonts w:ascii="Calibri" w:eastAsia="Times New Roman" w:hAnsi="Calibri" w:cs="Times New Roman"/>
                <w:bCs/>
                <w:kern w:val="0"/>
                <w:sz w:val="24"/>
                <w:szCs w:val="24"/>
                <w:lang w:eastAsia="cs-CZ"/>
                <w14:ligatures w14:val="none"/>
              </w:rPr>
            </w:pPr>
            <w:r w:rsidRPr="00411E93">
              <w:rPr>
                <w:rFonts w:ascii="Calibri" w:eastAsia="Times New Roman" w:hAnsi="Calibri" w:cs="Times New Roman"/>
                <w:bCs/>
                <w:kern w:val="0"/>
                <w:sz w:val="24"/>
                <w:szCs w:val="24"/>
                <w:lang w:eastAsia="cs-CZ"/>
                <w14:ligatures w14:val="none"/>
              </w:rPr>
              <w:t>Tel.:</w:t>
            </w:r>
            <w:r w:rsidRPr="00411E93">
              <w:rPr>
                <w:rFonts w:ascii="Times New Roman" w:eastAsia="Times New Roman" w:hAnsi="Times New Roman" w:cs="Times New Roman"/>
                <w:kern w:val="0"/>
                <w:sz w:val="24"/>
                <w:szCs w:val="24"/>
                <w:lang w:eastAsia="cs-CZ"/>
                <w14:ligatures w14:val="none"/>
              </w:rPr>
              <w:t xml:space="preserve"> </w:t>
            </w:r>
            <w:proofErr w:type="spellStart"/>
            <w:r w:rsidRPr="00411E93">
              <w:rPr>
                <w:rFonts w:ascii="Calibri" w:eastAsia="Times New Roman" w:hAnsi="Calibri" w:cs="Times New Roman"/>
                <w:kern w:val="0"/>
                <w:sz w:val="24"/>
                <w:szCs w:val="24"/>
                <w:lang w:eastAsia="cs-CZ"/>
                <w14:ligatures w14:val="none"/>
              </w:rPr>
              <w:t>xxxxx</w:t>
            </w:r>
            <w:proofErr w:type="spellEnd"/>
            <w:r w:rsidRPr="00411E93">
              <w:rPr>
                <w:rFonts w:ascii="Calibri" w:eastAsia="Times New Roman" w:hAnsi="Calibri" w:cs="Tahoma"/>
                <w:kern w:val="0"/>
                <w:sz w:val="24"/>
                <w:szCs w:val="24"/>
                <w:lang w:eastAsia="cs-CZ"/>
                <w14:ligatures w14:val="none"/>
              </w:rPr>
              <w:t xml:space="preserve">, e-mail: </w:t>
            </w:r>
            <w:hyperlink r:id="rId6" w:history="1">
              <w:proofErr w:type="spellStart"/>
              <w:r w:rsidRPr="00411E93">
                <w:rPr>
                  <w:rFonts w:ascii="Calibri" w:eastAsia="Times New Roman" w:hAnsi="Calibri" w:cs="Times New Roman"/>
                  <w:color w:val="0000FF"/>
                  <w:kern w:val="0"/>
                  <w:sz w:val="24"/>
                  <w:szCs w:val="24"/>
                  <w:u w:val="single"/>
                  <w:lang w:eastAsia="cs-CZ"/>
                  <w14:ligatures w14:val="none"/>
                </w:rPr>
                <w:t>xxxxx</w:t>
              </w:r>
              <w:proofErr w:type="spellEnd"/>
            </w:hyperlink>
          </w:p>
        </w:tc>
      </w:tr>
    </w:tbl>
    <w:p w14:paraId="22D9786B"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0BED60A3" w14:textId="77777777" w:rsidR="00411E93" w:rsidRPr="00411E93" w:rsidRDefault="00411E93" w:rsidP="00411E93">
      <w:pPr>
        <w:spacing w:after="0" w:line="240" w:lineRule="auto"/>
        <w:jc w:val="both"/>
        <w:rPr>
          <w:rFonts w:ascii="Calibri" w:eastAsia="Times New Roman" w:hAnsi="Calibri" w:cs="Times New Roman"/>
          <w:kern w:val="0"/>
          <w:sz w:val="20"/>
          <w:szCs w:val="20"/>
          <w:lang w:eastAsia="cs-CZ"/>
          <w14:ligatures w14:val="none"/>
        </w:rPr>
      </w:pPr>
    </w:p>
    <w:p w14:paraId="2CA116CC"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Článek VIII.</w:t>
      </w:r>
    </w:p>
    <w:p w14:paraId="3AF451D2" w14:textId="77777777" w:rsidR="00411E93" w:rsidRPr="00411E93" w:rsidRDefault="00411E93" w:rsidP="00411E93">
      <w:pPr>
        <w:spacing w:after="0" w:line="240" w:lineRule="auto"/>
        <w:jc w:val="center"/>
        <w:rPr>
          <w:rFonts w:ascii="Calibri" w:eastAsia="Times New Roman" w:hAnsi="Calibri" w:cs="Times New Roman"/>
          <w:b/>
          <w:kern w:val="0"/>
          <w:sz w:val="24"/>
          <w:szCs w:val="24"/>
          <w:lang w:eastAsia="cs-CZ"/>
          <w14:ligatures w14:val="none"/>
        </w:rPr>
      </w:pPr>
      <w:r w:rsidRPr="00411E93">
        <w:rPr>
          <w:rFonts w:ascii="Calibri" w:eastAsia="Times New Roman" w:hAnsi="Calibri" w:cs="Times New Roman"/>
          <w:b/>
          <w:kern w:val="0"/>
          <w:sz w:val="24"/>
          <w:szCs w:val="24"/>
          <w:lang w:eastAsia="cs-CZ"/>
          <w14:ligatures w14:val="none"/>
        </w:rPr>
        <w:t>Závěrečná ustanovení</w:t>
      </w:r>
    </w:p>
    <w:p w14:paraId="49F3CA98" w14:textId="77777777" w:rsidR="00411E93" w:rsidRPr="00411E93" w:rsidRDefault="00411E93" w:rsidP="00411E93">
      <w:pPr>
        <w:spacing w:after="0" w:line="240" w:lineRule="auto"/>
        <w:jc w:val="center"/>
        <w:rPr>
          <w:rFonts w:ascii="Calibri" w:eastAsia="Times New Roman" w:hAnsi="Calibri" w:cs="Times New Roman"/>
          <w:b/>
          <w:kern w:val="0"/>
          <w:sz w:val="16"/>
          <w:szCs w:val="16"/>
          <w:lang w:eastAsia="cs-CZ"/>
          <w14:ligatures w14:val="none"/>
        </w:rPr>
      </w:pPr>
    </w:p>
    <w:p w14:paraId="28AFF2E0"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Tato smlouva nabývá platnosti dnem jejího podpisu poslední ze smluvních stran.</w:t>
      </w:r>
    </w:p>
    <w:p w14:paraId="0105440F"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Times New Roman"/>
          <w:color w:val="FF0000"/>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Smlouva a vztahy z ní vyplývající touto smlouvou neupravené se řídí občanským zákoníkem.</w:t>
      </w:r>
    </w:p>
    <w:p w14:paraId="4210AE45"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Tato smlouva je sepsána ve dvou vyhotoveních s platností originálu, z nichž každá strana obdrží po jednom výtisku. Smlouva může být měněna nebo doplněna jen řádně očíslovanými písemnými dodatky, které odsouhlasí a podepíší obě strany. Jakákoliv </w:t>
      </w:r>
      <w:proofErr w:type="gramStart"/>
      <w:r w:rsidRPr="00411E93">
        <w:rPr>
          <w:rFonts w:ascii="Calibri" w:eastAsia="Times New Roman" w:hAnsi="Calibri" w:cs="Times New Roman"/>
          <w:kern w:val="0"/>
          <w:sz w:val="24"/>
          <w:szCs w:val="24"/>
          <w:lang w:eastAsia="cs-CZ"/>
          <w14:ligatures w14:val="none"/>
        </w:rPr>
        <w:t>jiná</w:t>
      </w:r>
      <w:proofErr w:type="gramEnd"/>
      <w:r w:rsidRPr="00411E93">
        <w:rPr>
          <w:rFonts w:ascii="Calibri" w:eastAsia="Times New Roman" w:hAnsi="Calibri" w:cs="Times New Roman"/>
          <w:kern w:val="0"/>
          <w:sz w:val="24"/>
          <w:szCs w:val="24"/>
          <w:lang w:eastAsia="cs-CZ"/>
          <w14:ligatures w14:val="none"/>
        </w:rPr>
        <w:t xml:space="preserve"> než písemná změna této smlouvy se tímto vylučuje.</w:t>
      </w:r>
    </w:p>
    <w:p w14:paraId="14FA571A"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Calibri"/>
          <w:kern w:val="0"/>
          <w:sz w:val="24"/>
          <w:szCs w:val="24"/>
          <w:lang w:eastAsia="cs-CZ"/>
          <w14:ligatures w14:val="none"/>
        </w:rPr>
      </w:pPr>
      <w:r w:rsidRPr="00411E93">
        <w:rPr>
          <w:rFonts w:ascii="Calibri" w:eastAsia="Times New Roman" w:hAnsi="Calibri" w:cs="Calibri"/>
          <w:kern w:val="0"/>
          <w:sz w:val="24"/>
          <w:szCs w:val="24"/>
          <w:lang w:eastAsia="cs-CZ"/>
          <w14:ligatures w14:val="none"/>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14:paraId="62EC2AB4"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Calibri"/>
          <w:kern w:val="0"/>
          <w:sz w:val="24"/>
          <w:szCs w:val="24"/>
          <w:lang w:eastAsia="cs-CZ"/>
          <w14:ligatures w14:val="none"/>
        </w:rPr>
      </w:pPr>
      <w:r w:rsidRPr="00411E93">
        <w:rPr>
          <w:rFonts w:ascii="Calibri" w:eastAsia="Times New Roman" w:hAnsi="Calibri" w:cs="Calibri"/>
          <w:kern w:val="0"/>
          <w:sz w:val="24"/>
          <w:szCs w:val="24"/>
          <w:lang w:eastAsia="cs-CZ"/>
          <w14:ligatures w14:val="none"/>
        </w:rPr>
        <w:t>Dodavatel souhlasí se zveřejněním všech náležitostí této smlouvy o dílo. Smluvní strany berou na vědomí, že smlouva podléhá zveřejnění v registru smluv dle zákona č. 340/2015 Sb., o registru smluv. Smlouvu zašle správci registru smluv k uveřejnění Objednatel.</w:t>
      </w:r>
    </w:p>
    <w:p w14:paraId="192F2651" w14:textId="77777777" w:rsidR="00411E93" w:rsidRPr="00411E93" w:rsidRDefault="00411E93" w:rsidP="00411E93">
      <w:pPr>
        <w:numPr>
          <w:ilvl w:val="0"/>
          <w:numId w:val="10"/>
        </w:numPr>
        <w:spacing w:after="120" w:line="240" w:lineRule="auto"/>
        <w:ind w:left="284" w:hanging="284"/>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Smluvní strany smlouvu přečetly, s jejím obsahem souhlasí a na důkaz své pravé, určité a svobodné vůle připojují své podpisy.</w:t>
      </w:r>
    </w:p>
    <w:p w14:paraId="40DDAC9F" w14:textId="77777777" w:rsidR="00411E93" w:rsidRPr="00411E93" w:rsidRDefault="00411E93" w:rsidP="00411E93">
      <w:pPr>
        <w:spacing w:after="0" w:line="240" w:lineRule="auto"/>
        <w:jc w:val="both"/>
        <w:rPr>
          <w:rFonts w:ascii="Calibri" w:eastAsia="Times New Roman" w:hAnsi="Calibri" w:cs="Calibri"/>
          <w:kern w:val="0"/>
          <w:sz w:val="24"/>
          <w:szCs w:val="24"/>
          <w:lang w:eastAsia="cs-CZ"/>
          <w14:ligatures w14:val="none"/>
        </w:rPr>
      </w:pPr>
    </w:p>
    <w:p w14:paraId="13341646"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p>
    <w:p w14:paraId="50472BFC"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p>
    <w:p w14:paraId="556F30FF"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p>
    <w:p w14:paraId="25B7874C"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V Olomouci dne 6. 2. 2024</w:t>
      </w: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t xml:space="preserve">                   </w:t>
      </w:r>
      <w:proofErr w:type="gramStart"/>
      <w:r w:rsidRPr="00411E93">
        <w:rPr>
          <w:rFonts w:ascii="Calibri" w:eastAsia="Times New Roman" w:hAnsi="Calibri" w:cs="Times New Roman"/>
          <w:kern w:val="0"/>
          <w:sz w:val="24"/>
          <w:szCs w:val="24"/>
          <w:lang w:eastAsia="cs-CZ"/>
          <w14:ligatures w14:val="none"/>
        </w:rPr>
        <w:tab/>
        <w:t xml:space="preserve">  V</w:t>
      </w:r>
      <w:proofErr w:type="gramEnd"/>
      <w:r w:rsidRPr="00411E93">
        <w:rPr>
          <w:rFonts w:ascii="Calibri" w:eastAsia="Times New Roman" w:hAnsi="Calibri" w:cs="Times New Roman"/>
          <w:kern w:val="0"/>
          <w:sz w:val="24"/>
          <w:szCs w:val="24"/>
          <w:lang w:eastAsia="cs-CZ"/>
          <w14:ligatures w14:val="none"/>
        </w:rPr>
        <w:t> Jihlavě dne ………………………2024</w:t>
      </w:r>
    </w:p>
    <w:p w14:paraId="0CCE2E3A"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p>
    <w:p w14:paraId="5CD022B6"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r>
    </w:p>
    <w:p w14:paraId="37D0906F"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t xml:space="preserve">              </w:t>
      </w:r>
    </w:p>
    <w:p w14:paraId="5741D6E0" w14:textId="77777777" w:rsidR="00411E93" w:rsidRPr="00411E93" w:rsidRDefault="00411E93" w:rsidP="00411E93">
      <w:pPr>
        <w:spacing w:after="0" w:line="240" w:lineRule="auto"/>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w:t>
      </w: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t xml:space="preserve">         ……………………..…………………………………</w:t>
      </w:r>
    </w:p>
    <w:p w14:paraId="13DD4670" w14:textId="77777777" w:rsidR="00411E93" w:rsidRPr="00411E93" w:rsidRDefault="00411E93" w:rsidP="00411E93">
      <w:pPr>
        <w:spacing w:after="0" w:line="240" w:lineRule="auto"/>
        <w:ind w:firstLine="708"/>
        <w:jc w:val="both"/>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    Dodavatel                                                                                          Objednatel</w:t>
      </w:r>
    </w:p>
    <w:p w14:paraId="2AE40238" w14:textId="77777777" w:rsidR="00411E93" w:rsidRPr="00411E93" w:rsidRDefault="00411E93" w:rsidP="00411E93">
      <w:pPr>
        <w:spacing w:after="0" w:line="240" w:lineRule="auto"/>
        <w:rPr>
          <w:rFonts w:ascii="Calibri" w:eastAsia="Times New Roman" w:hAnsi="Calibri" w:cs="Tahoma"/>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     RNDr. Renata Podstatová</w:t>
      </w:r>
      <w:r w:rsidRPr="00411E93">
        <w:rPr>
          <w:rFonts w:ascii="Calibri" w:eastAsia="Times New Roman" w:hAnsi="Calibri" w:cs="Times New Roman"/>
          <w:kern w:val="0"/>
          <w:sz w:val="24"/>
          <w:szCs w:val="24"/>
          <w:lang w:eastAsia="cs-CZ"/>
          <w14:ligatures w14:val="none"/>
        </w:rPr>
        <w:tab/>
        <w:t xml:space="preserve">                                                              </w:t>
      </w:r>
      <w:r w:rsidRPr="00411E93">
        <w:rPr>
          <w:rFonts w:ascii="Calibri" w:eastAsia="Times New Roman" w:hAnsi="Calibri" w:cs="Tahoma"/>
          <w:kern w:val="0"/>
          <w:sz w:val="24"/>
          <w:szCs w:val="24"/>
          <w:lang w:eastAsia="cs-CZ"/>
          <w14:ligatures w14:val="none"/>
        </w:rPr>
        <w:t>MUDr. Dagmar Dvořáková</w:t>
      </w:r>
    </w:p>
    <w:p w14:paraId="0835D56B" w14:textId="77777777" w:rsidR="00411E93" w:rsidRPr="00411E93" w:rsidRDefault="00411E93" w:rsidP="00411E93">
      <w:pPr>
        <w:spacing w:after="0" w:line="240" w:lineRule="auto"/>
        <w:ind w:firstLine="708"/>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 xml:space="preserve">     jednatelka</w:t>
      </w: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r>
      <w:r w:rsidRPr="00411E93">
        <w:rPr>
          <w:rFonts w:ascii="Calibri" w:eastAsia="Times New Roman" w:hAnsi="Calibri" w:cs="Times New Roman"/>
          <w:kern w:val="0"/>
          <w:sz w:val="24"/>
          <w:szCs w:val="24"/>
          <w:lang w:eastAsia="cs-CZ"/>
          <w14:ligatures w14:val="none"/>
        </w:rPr>
        <w:tab/>
        <w:t xml:space="preserve">                                       ředitelka nemocnice </w:t>
      </w:r>
    </w:p>
    <w:p w14:paraId="144930C2" w14:textId="77777777" w:rsidR="00411E93" w:rsidRPr="00411E93" w:rsidRDefault="00411E93" w:rsidP="00411E93">
      <w:pPr>
        <w:spacing w:after="0" w:line="240" w:lineRule="auto"/>
        <w:rPr>
          <w:rFonts w:ascii="Calibri" w:eastAsia="Times New Roman" w:hAnsi="Calibri" w:cs="Times New Roman"/>
          <w:kern w:val="0"/>
          <w:sz w:val="24"/>
          <w:szCs w:val="24"/>
          <w:lang w:eastAsia="cs-CZ"/>
          <w14:ligatures w14:val="none"/>
        </w:rPr>
      </w:pPr>
      <w:r w:rsidRPr="00411E93">
        <w:rPr>
          <w:rFonts w:ascii="Calibri" w:eastAsia="Times New Roman" w:hAnsi="Calibri" w:cs="Times New Roman"/>
          <w:kern w:val="0"/>
          <w:sz w:val="24"/>
          <w:szCs w:val="24"/>
          <w:lang w:eastAsia="cs-CZ"/>
          <w14:ligatures w14:val="none"/>
        </w:rPr>
        <w:t>Česká společnost pro akreditaci ve zdravotnictví s.r.o.</w:t>
      </w:r>
      <w:r w:rsidRPr="00411E93">
        <w:rPr>
          <w:rFonts w:ascii="Calibri" w:eastAsia="Times New Roman" w:hAnsi="Calibri" w:cs="Times New Roman"/>
          <w:b/>
          <w:kern w:val="0"/>
          <w:sz w:val="24"/>
          <w:szCs w:val="24"/>
          <w:lang w:eastAsia="cs-CZ"/>
          <w14:ligatures w14:val="none"/>
        </w:rPr>
        <w:t xml:space="preserve">            </w:t>
      </w:r>
      <w:r w:rsidRPr="00411E93">
        <w:rPr>
          <w:rFonts w:ascii="Calibri" w:eastAsia="Times New Roman" w:hAnsi="Calibri" w:cs="Times New Roman"/>
          <w:b/>
          <w:bCs/>
          <w:kern w:val="0"/>
          <w:sz w:val="24"/>
          <w:szCs w:val="24"/>
          <w:lang w:eastAsia="cs-CZ"/>
          <w14:ligatures w14:val="none"/>
        </w:rPr>
        <w:t>Psychiatrická nemocnice Jihlava</w:t>
      </w:r>
    </w:p>
    <w:p w14:paraId="56E02F82" w14:textId="77777777" w:rsidR="00411E93" w:rsidRPr="00411E93" w:rsidRDefault="00411E93" w:rsidP="00411E93">
      <w:pPr>
        <w:spacing w:after="0" w:line="240" w:lineRule="auto"/>
        <w:rPr>
          <w:rFonts w:ascii="Tahoma" w:eastAsia="Times New Roman" w:hAnsi="Tahoma" w:cs="Tahoma"/>
          <w:b/>
          <w:bCs/>
          <w:kern w:val="0"/>
          <w:sz w:val="8"/>
          <w:szCs w:val="8"/>
          <w:lang w:eastAsia="cs-CZ"/>
          <w14:ligatures w14:val="none"/>
        </w:rPr>
      </w:pPr>
    </w:p>
    <w:p w14:paraId="35DDA776" w14:textId="77777777" w:rsidR="005279A6" w:rsidRDefault="005279A6"/>
    <w:sectPr w:rsidR="005279A6" w:rsidSect="00411E93">
      <w:headerReference w:type="even" r:id="rId7"/>
      <w:headerReference w:type="default" r:id="rId8"/>
      <w:headerReference w:type="first" r:id="rId9"/>
      <w:pgSz w:w="11906" w:h="16838"/>
      <w:pgMar w:top="1977" w:right="1417" w:bottom="19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A2F" w14:textId="77777777" w:rsidR="00411E93" w:rsidRDefault="00411E93">
    <w:pPr>
      <w:pStyle w:val="Zhlav"/>
    </w:pPr>
    <w:r>
      <w:rPr>
        <w:noProof/>
      </w:rPr>
      <w:drawing>
        <wp:anchor distT="0" distB="0" distL="114300" distR="114300" simplePos="0" relativeHeight="251661312" behindDoc="1" locked="0" layoutInCell="1" allowOverlap="1" wp14:anchorId="7F4711BB" wp14:editId="64801F5A">
          <wp:simplePos x="0" y="0"/>
          <wp:positionH relativeFrom="margin">
            <wp:align>center</wp:align>
          </wp:positionH>
          <wp:positionV relativeFrom="margin">
            <wp:align>center</wp:align>
          </wp:positionV>
          <wp:extent cx="5759450" cy="8145145"/>
          <wp:effectExtent l="0" t="0" r="0" b="0"/>
          <wp:wrapNone/>
          <wp:docPr id="5" name="obrázek 5"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5145"/>
                  </a:xfrm>
                  <a:prstGeom prst="rect">
                    <a:avLst/>
                  </a:prstGeom>
                  <a:noFill/>
                </pic:spPr>
              </pic:pic>
            </a:graphicData>
          </a:graphic>
        </wp:anchor>
      </w:drawing>
    </w:r>
    <w:r>
      <w:rPr>
        <w:noProof/>
      </w:rPr>
      <w:pict w14:anchorId="718B6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1240.5pt;height:1754.25pt;z-index:-251656192;mso-position-horizontal:center;mso-position-horizontal-relative:margin;mso-position-vertical:center;mso-position-vertical-relative:margin" o:allowincell="f">
          <v:imagedata r:id="rId2" o:title="asociace_dopisak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2AB2" w14:textId="4ACD65C5" w:rsidR="00411E93" w:rsidRDefault="00411E93">
    <w:pPr>
      <w:pStyle w:val="Zhlav"/>
    </w:pPr>
    <w:sdt>
      <w:sdtPr>
        <w:id w:val="7687761"/>
        <w:docPartObj>
          <w:docPartGallery w:val="Page Numbers (Margins)"/>
          <w:docPartUnique/>
        </w:docPartObj>
      </w:sdtPr>
      <w:sdtEndPr/>
      <w:sdtContent>
        <w:r>
          <w:rPr>
            <w:noProof/>
            <w:lang w:eastAsia="zh-TW"/>
          </w:rPr>
          <mc:AlternateContent>
            <mc:Choice Requires="wps">
              <w:drawing>
                <wp:anchor distT="0" distB="0" distL="114300" distR="114300" simplePos="0" relativeHeight="251663360" behindDoc="0" locked="0" layoutInCell="0" allowOverlap="1" wp14:anchorId="0D187ADC" wp14:editId="21581293">
                  <wp:simplePos x="0" y="0"/>
                  <wp:positionH relativeFrom="rightMargin">
                    <wp:align>center</wp:align>
                  </wp:positionH>
                  <wp:positionV relativeFrom="page">
                    <wp:align>center</wp:align>
                  </wp:positionV>
                  <wp:extent cx="762000" cy="895350"/>
                  <wp:effectExtent l="0" t="0" r="0" b="0"/>
                  <wp:wrapNone/>
                  <wp:docPr id="1762392036"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sz w:val="48"/>
                                  <w:szCs w:val="44"/>
                                </w:rPr>
                                <w:id w:val="37901641"/>
                                <w:docPartObj>
                                  <w:docPartGallery w:val="Page Numbers (Margins)"/>
                                  <w:docPartUnique/>
                                </w:docPartObj>
                              </w:sdtPr>
                              <w:sdtEndPr/>
                              <w:sdtContent>
                                <w:p w14:paraId="2E5107FC" w14:textId="77777777" w:rsidR="00411E93" w:rsidRPr="00411E93" w:rsidRDefault="00411E93">
                                  <w:pPr>
                                    <w:jc w:val="center"/>
                                    <w:rPr>
                                      <w:rFonts w:ascii="Calibri" w:hAnsi="Calibri"/>
                                      <w:sz w:val="72"/>
                                      <w:szCs w:val="44"/>
                                    </w:rPr>
                                  </w:pPr>
                                  <w:r>
                                    <w:rPr>
                                      <w:rFonts w:ascii="Times New Roman" w:hAnsi="Times New Roman"/>
                                      <w:sz w:val="24"/>
                                      <w:szCs w:val="24"/>
                                    </w:rPr>
                                    <w:fldChar w:fldCharType="begin"/>
                                  </w:r>
                                  <w:r>
                                    <w:instrText xml:space="preserve"> PAGE  \* MERGEFORMAT </w:instrText>
                                  </w:r>
                                  <w:r>
                                    <w:rPr>
                                      <w:rFonts w:ascii="Times New Roman" w:hAnsi="Times New Roman"/>
                                      <w:sz w:val="24"/>
                                      <w:szCs w:val="24"/>
                                    </w:rPr>
                                    <w:fldChar w:fldCharType="separate"/>
                                  </w:r>
                                  <w:r w:rsidRPr="00411E93">
                                    <w:rPr>
                                      <w:rFonts w:ascii="Calibri" w:hAnsi="Calibri"/>
                                      <w:noProof/>
                                      <w:sz w:val="48"/>
                                      <w:szCs w:val="44"/>
                                    </w:rPr>
                                    <w:t>5</w:t>
                                  </w:r>
                                  <w:r w:rsidRPr="00411E93">
                                    <w:rPr>
                                      <w:rFonts w:ascii="Calibri" w:hAnsi="Calibr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7ADC" id="Obdélník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Calibri" w:hAnsi="Calibri"/>
                            <w:sz w:val="48"/>
                            <w:szCs w:val="44"/>
                          </w:rPr>
                          <w:id w:val="37901641"/>
                          <w:docPartObj>
                            <w:docPartGallery w:val="Page Numbers (Margins)"/>
                            <w:docPartUnique/>
                          </w:docPartObj>
                        </w:sdtPr>
                        <w:sdtEndPr/>
                        <w:sdtContent>
                          <w:p w14:paraId="2E5107FC" w14:textId="77777777" w:rsidR="00411E93" w:rsidRPr="00411E93" w:rsidRDefault="00411E93">
                            <w:pPr>
                              <w:jc w:val="center"/>
                              <w:rPr>
                                <w:rFonts w:ascii="Calibri" w:hAnsi="Calibri"/>
                                <w:sz w:val="72"/>
                                <w:szCs w:val="44"/>
                              </w:rPr>
                            </w:pPr>
                            <w:r>
                              <w:rPr>
                                <w:rFonts w:ascii="Times New Roman" w:hAnsi="Times New Roman"/>
                                <w:sz w:val="24"/>
                                <w:szCs w:val="24"/>
                              </w:rPr>
                              <w:fldChar w:fldCharType="begin"/>
                            </w:r>
                            <w:r>
                              <w:instrText xml:space="preserve"> PAGE  \* MERGEFORMAT </w:instrText>
                            </w:r>
                            <w:r>
                              <w:rPr>
                                <w:rFonts w:ascii="Times New Roman" w:hAnsi="Times New Roman"/>
                                <w:sz w:val="24"/>
                                <w:szCs w:val="24"/>
                              </w:rPr>
                              <w:fldChar w:fldCharType="separate"/>
                            </w:r>
                            <w:r w:rsidRPr="00411E93">
                              <w:rPr>
                                <w:rFonts w:ascii="Calibri" w:hAnsi="Calibri"/>
                                <w:noProof/>
                                <w:sz w:val="48"/>
                                <w:szCs w:val="44"/>
                              </w:rPr>
                              <w:t>5</w:t>
                            </w:r>
                            <w:r w:rsidRPr="00411E93">
                              <w:rPr>
                                <w:rFonts w:ascii="Calibri" w:hAnsi="Calibri"/>
                                <w:noProof/>
                                <w:sz w:val="48"/>
                                <w:szCs w:val="44"/>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60A4" w14:textId="77777777" w:rsidR="00411E93" w:rsidRDefault="00411E93">
    <w:pPr>
      <w:pStyle w:val="Zhlav"/>
    </w:pPr>
    <w:r>
      <w:rPr>
        <w:noProof/>
        <w:lang w:val="en-US" w:eastAsia="en-US"/>
      </w:rPr>
      <w:pict w14:anchorId="7F2DF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3.5pt;height:641.35pt;z-index:-251654144;mso-wrap-edited:f;mso-position-horizontal:center;mso-position-horizontal-relative:margin;mso-position-vertical:center;mso-position-vertical-relative:margin" wrapcoords="8925 1061 8318 1465 8282 1869 8818 2298 10710 2652 10782 19654 2427 19806 2356 20033 3391 20058 1856 20463 1856 20614 7497 20842 10782 20867 5676 21170 5676 21549 15887 21549 15887 21170 10782 20867 13888 20842 19207 20614 19172 20185 18958 20109 18101 20058 19779 19932 19600 19831 10782 19654 10746 2652 9675 2273 11639 2248 13102 2096 13102 1869 12602 1844 13281 1743 13281 1389 12638 1313 9568 1061 8925 1061">
          <v:imagedata r:id="rId1" o:title="asociace_dopisak_A4"/>
          <w10:wrap anchorx="margin" anchory="margin"/>
        </v:shape>
      </w:pict>
    </w:r>
    <w:r>
      <w:rPr>
        <w:noProof/>
      </w:rPr>
      <w:pict w14:anchorId="21900D0A">
        <v:shape id="WordPictureWatermark1" o:spid="_x0000_s1025" type="#_x0000_t75" style="position:absolute;margin-left:0;margin-top:0;width:1240.5pt;height:1754.25pt;z-index:-251657216;mso-position-horizontal:center;mso-position-horizontal-relative:margin;mso-position-vertical:center;mso-position-vertical-relative:margin" o:allowincell="f">
          <v:imagedata r:id="rId2" o:title="asociace_dopisak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18"/>
    <w:lvl w:ilvl="0">
      <w:start w:val="1"/>
      <w:numFmt w:val="lowerLetter"/>
      <w:lvlText w:val="%1)"/>
      <w:lvlJc w:val="left"/>
      <w:pPr>
        <w:tabs>
          <w:tab w:val="num" w:pos="720"/>
        </w:tabs>
        <w:ind w:left="720" w:hanging="360"/>
      </w:pPr>
    </w:lvl>
  </w:abstractNum>
  <w:abstractNum w:abstractNumId="2" w15:restartNumberingAfterBreak="0">
    <w:nsid w:val="061C1182"/>
    <w:multiLevelType w:val="hybridMultilevel"/>
    <w:tmpl w:val="D8083176"/>
    <w:lvl w:ilvl="0" w:tplc="F87061D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DE82478"/>
    <w:multiLevelType w:val="hybridMultilevel"/>
    <w:tmpl w:val="C324D80E"/>
    <w:lvl w:ilvl="0" w:tplc="60A88D48">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0615562"/>
    <w:multiLevelType w:val="hybridMultilevel"/>
    <w:tmpl w:val="B336C92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AA52869"/>
    <w:multiLevelType w:val="hybridMultilevel"/>
    <w:tmpl w:val="99AA905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8AB28D3"/>
    <w:multiLevelType w:val="hybridMultilevel"/>
    <w:tmpl w:val="8D4633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59B6A8B"/>
    <w:multiLevelType w:val="hybridMultilevel"/>
    <w:tmpl w:val="D10C64F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67E764F"/>
    <w:multiLevelType w:val="hybridMultilevel"/>
    <w:tmpl w:val="F8D6DBC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80C3772"/>
    <w:multiLevelType w:val="hybridMultilevel"/>
    <w:tmpl w:val="F30A4D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946429193">
    <w:abstractNumId w:val="0"/>
    <w:lvlOverride w:ilvl="0">
      <w:startOverride w:val="1"/>
    </w:lvlOverride>
  </w:num>
  <w:num w:numId="2" w16cid:durableId="674382967">
    <w:abstractNumId w:val="1"/>
    <w:lvlOverride w:ilvl="0">
      <w:startOverride w:val="1"/>
    </w:lvlOverride>
  </w:num>
  <w:num w:numId="3" w16cid:durableId="1304001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222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088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046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81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10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5657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689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93"/>
    <w:rsid w:val="00411E93"/>
    <w:rsid w:val="00527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6461C8"/>
  <w15:chartTrackingRefBased/>
  <w15:docId w15:val="{2B060439-FAE5-41B2-B46D-FA9FC20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11E93"/>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rsid w:val="00411E93"/>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tesnikova@pnj.cz" TargetMode="External"/><Relationship Id="rId11" Type="http://schemas.openxmlformats.org/officeDocument/2006/relationships/theme" Target="theme/theme1.xml"/><Relationship Id="rId5" Type="http://schemas.openxmlformats.org/officeDocument/2006/relationships/hyperlink" Target="mailto:renata.podstatova@csaz.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8705</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2024-02-14T09:23:00Z</dcterms:created>
  <dcterms:modified xsi:type="dcterms:W3CDTF">2024-02-14T09:24:00Z</dcterms:modified>
</cp:coreProperties>
</file>