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8B31" w14:textId="7AC025D8" w:rsidR="00B671EE" w:rsidRPr="007E197F" w:rsidRDefault="00B671EE" w:rsidP="00B671EE">
      <w:pPr>
        <w:spacing w:after="120" w:line="288" w:lineRule="auto"/>
        <w:jc w:val="center"/>
        <w:rPr>
          <w:rFonts w:ascii="Times New Roman" w:eastAsia="Calibri" w:hAnsi="Times New Roman" w:cs="Times New Roman"/>
          <w:b/>
          <w:sz w:val="24"/>
          <w:szCs w:val="24"/>
          <w:lang w:eastAsia="cs-CZ"/>
        </w:rPr>
      </w:pPr>
      <w:bookmarkStart w:id="0" w:name="_GoBack"/>
      <w:bookmarkEnd w:id="0"/>
      <w:r w:rsidRPr="007E197F">
        <w:rPr>
          <w:rFonts w:ascii="Times New Roman" w:eastAsia="Calibri" w:hAnsi="Times New Roman" w:cs="Times New Roman"/>
          <w:b/>
          <w:sz w:val="24"/>
          <w:szCs w:val="24"/>
          <w:lang w:eastAsia="cs-CZ"/>
        </w:rPr>
        <w:t xml:space="preserve">Prováděcí smlouva č. </w:t>
      </w:r>
      <w:r w:rsidR="0002379A" w:rsidRPr="007E197F">
        <w:rPr>
          <w:rFonts w:ascii="Times New Roman" w:eastAsia="Calibri" w:hAnsi="Times New Roman" w:cs="Times New Roman"/>
          <w:b/>
          <w:sz w:val="24"/>
          <w:szCs w:val="24"/>
          <w:lang w:eastAsia="cs-CZ"/>
        </w:rPr>
        <w:t>2024 - 003</w:t>
      </w:r>
    </w:p>
    <w:p w14:paraId="4081BD74" w14:textId="77777777" w:rsidR="00B671EE" w:rsidRPr="007E197F" w:rsidRDefault="00B671EE" w:rsidP="00B671EE">
      <w:pPr>
        <w:spacing w:after="120" w:line="288" w:lineRule="auto"/>
        <w:jc w:val="center"/>
        <w:rPr>
          <w:rFonts w:ascii="Times New Roman" w:eastAsia="Calibri" w:hAnsi="Times New Roman" w:cs="Times New Roman"/>
          <w:sz w:val="24"/>
          <w:szCs w:val="24"/>
          <w:lang w:eastAsia="cs-CZ"/>
        </w:rPr>
      </w:pPr>
      <w:r w:rsidRPr="007E197F">
        <w:rPr>
          <w:rFonts w:ascii="Times New Roman" w:eastAsia="Calibri" w:hAnsi="Times New Roman" w:cs="Times New Roman"/>
          <w:b/>
          <w:sz w:val="24"/>
          <w:szCs w:val="24"/>
          <w:lang w:eastAsia="cs-CZ"/>
        </w:rPr>
        <w:t xml:space="preserve">Č. j. objednatele: 20 </w:t>
      </w:r>
      <w:proofErr w:type="spellStart"/>
      <w:r w:rsidRPr="007E197F">
        <w:rPr>
          <w:rFonts w:ascii="Times New Roman" w:eastAsia="Calibri" w:hAnsi="Times New Roman" w:cs="Times New Roman"/>
          <w:b/>
          <w:sz w:val="24"/>
          <w:szCs w:val="24"/>
          <w:lang w:eastAsia="cs-CZ"/>
        </w:rPr>
        <w:t>Spr</w:t>
      </w:r>
      <w:proofErr w:type="spellEnd"/>
      <w:r w:rsidR="00006C3D" w:rsidRPr="007E197F">
        <w:rPr>
          <w:rFonts w:ascii="Times New Roman" w:eastAsia="Calibri" w:hAnsi="Times New Roman" w:cs="Times New Roman"/>
          <w:b/>
          <w:sz w:val="24"/>
          <w:szCs w:val="24"/>
          <w:lang w:eastAsia="cs-CZ"/>
        </w:rPr>
        <w:t xml:space="preserve"> 11</w:t>
      </w:r>
      <w:r w:rsidR="0050468C" w:rsidRPr="007E197F">
        <w:rPr>
          <w:rFonts w:ascii="Times New Roman" w:eastAsia="Calibri" w:hAnsi="Times New Roman" w:cs="Times New Roman"/>
          <w:b/>
          <w:sz w:val="24"/>
          <w:szCs w:val="24"/>
          <w:lang w:eastAsia="cs-CZ"/>
        </w:rPr>
        <w:t>2</w:t>
      </w:r>
      <w:r w:rsidRPr="007E197F">
        <w:rPr>
          <w:rFonts w:ascii="Times New Roman" w:eastAsia="Calibri" w:hAnsi="Times New Roman" w:cs="Times New Roman"/>
          <w:b/>
          <w:sz w:val="24"/>
          <w:szCs w:val="24"/>
          <w:lang w:eastAsia="cs-CZ"/>
        </w:rPr>
        <w:t>/202</w:t>
      </w:r>
      <w:r w:rsidR="0050468C" w:rsidRPr="007E197F">
        <w:rPr>
          <w:rFonts w:ascii="Times New Roman" w:eastAsia="Calibri" w:hAnsi="Times New Roman" w:cs="Times New Roman"/>
          <w:b/>
          <w:sz w:val="24"/>
          <w:szCs w:val="24"/>
          <w:lang w:eastAsia="cs-CZ"/>
        </w:rPr>
        <w:t>4</w:t>
      </w:r>
    </w:p>
    <w:p w14:paraId="4C4DDF49" w14:textId="77777777" w:rsidR="00B671EE" w:rsidRPr="007E197F" w:rsidRDefault="00B671EE" w:rsidP="00B671EE">
      <w:pPr>
        <w:spacing w:after="240" w:line="288"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k Rámcové dohodě na pořizování produktů IBM</w:t>
      </w:r>
    </w:p>
    <w:p w14:paraId="627BCCAF" w14:textId="77777777" w:rsidR="00C002FB" w:rsidRPr="007E197F" w:rsidRDefault="00C002FB" w:rsidP="00B671EE">
      <w:pPr>
        <w:spacing w:after="240" w:line="288" w:lineRule="auto"/>
        <w:jc w:val="center"/>
        <w:rPr>
          <w:rFonts w:ascii="Times New Roman" w:eastAsia="Calibri" w:hAnsi="Times New Roman" w:cs="Times New Roman"/>
          <w:sz w:val="24"/>
          <w:szCs w:val="24"/>
          <w:lang w:eastAsia="cs-CZ"/>
        </w:rPr>
      </w:pPr>
    </w:p>
    <w:p w14:paraId="42683542"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Níže uvedeného dne, měsíce a roku smluvní strany </w:t>
      </w:r>
    </w:p>
    <w:p w14:paraId="32CFFD18"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702D4C92" w14:textId="77777777" w:rsidR="00105BD1" w:rsidRPr="007E197F" w:rsidRDefault="00105BD1" w:rsidP="00105BD1">
      <w:pPr>
        <w:spacing w:after="0" w:line="288" w:lineRule="auto"/>
        <w:jc w:val="both"/>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Název:</w:t>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t>Okresní soud v Chrudimi</w:t>
      </w:r>
    </w:p>
    <w:p w14:paraId="14DF687D" w14:textId="77777777"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se sídlem:</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Všehrdovo náměstí 45, 537 21, Chrudim</w:t>
      </w:r>
    </w:p>
    <w:p w14:paraId="59B8492B" w14:textId="77777777"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zastoupený:</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 xml:space="preserve">JUDr. Milanem </w:t>
      </w:r>
      <w:proofErr w:type="spellStart"/>
      <w:r w:rsidRPr="007E197F">
        <w:rPr>
          <w:rFonts w:ascii="Times New Roman" w:eastAsia="Calibri" w:hAnsi="Times New Roman" w:cs="Times New Roman"/>
          <w:sz w:val="24"/>
          <w:szCs w:val="24"/>
          <w:lang w:eastAsia="cs-CZ"/>
        </w:rPr>
        <w:t>Špryňarem</w:t>
      </w:r>
      <w:proofErr w:type="spellEnd"/>
      <w:r w:rsidR="001E319B" w:rsidRPr="007E197F">
        <w:rPr>
          <w:rFonts w:ascii="Times New Roman" w:eastAsia="Calibri" w:hAnsi="Times New Roman" w:cs="Times New Roman"/>
          <w:sz w:val="24"/>
          <w:szCs w:val="24"/>
          <w:lang w:eastAsia="cs-CZ"/>
        </w:rPr>
        <w:t>, předsedou okresního soudu</w:t>
      </w:r>
    </w:p>
    <w:p w14:paraId="0DDBD496" w14:textId="77777777"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IČO:</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00024953</w:t>
      </w:r>
    </w:p>
    <w:p w14:paraId="4577296D" w14:textId="77777777"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DIČ:</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neplátce</w:t>
      </w:r>
    </w:p>
    <w:p w14:paraId="077D1783" w14:textId="77777777"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bankovní spojení:</w:t>
      </w:r>
      <w:r w:rsidRPr="007E197F">
        <w:rPr>
          <w:rFonts w:ascii="Times New Roman" w:eastAsia="Calibri" w:hAnsi="Times New Roman" w:cs="Times New Roman"/>
          <w:sz w:val="24"/>
          <w:szCs w:val="24"/>
          <w:lang w:eastAsia="cs-CZ"/>
        </w:rPr>
        <w:tab/>
        <w:t>Česká národní banka</w:t>
      </w:r>
    </w:p>
    <w:p w14:paraId="64FBB90E" w14:textId="41AAB1FE"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číslo účtu:</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p>
    <w:p w14:paraId="27F73E55" w14:textId="77777777" w:rsidR="00105BD1" w:rsidRPr="007E197F" w:rsidRDefault="00E15810"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kontaktní osoba:</w:t>
      </w:r>
      <w:r w:rsidRPr="007E197F">
        <w:rPr>
          <w:rFonts w:ascii="Times New Roman" w:eastAsia="Calibri" w:hAnsi="Times New Roman" w:cs="Times New Roman"/>
          <w:sz w:val="24"/>
          <w:szCs w:val="24"/>
          <w:lang w:eastAsia="cs-CZ"/>
        </w:rPr>
        <w:tab/>
        <w:t>Renata Nováková</w:t>
      </w:r>
      <w:r w:rsidR="001E319B" w:rsidRPr="007E197F">
        <w:rPr>
          <w:rFonts w:ascii="Times New Roman" w:eastAsia="Calibri" w:hAnsi="Times New Roman" w:cs="Times New Roman"/>
          <w:sz w:val="24"/>
          <w:szCs w:val="24"/>
          <w:lang w:eastAsia="cs-CZ"/>
        </w:rPr>
        <w:t>, informatik okresního soudu</w:t>
      </w:r>
      <w:r w:rsidRPr="007E197F">
        <w:rPr>
          <w:rFonts w:ascii="Times New Roman" w:eastAsia="Calibri" w:hAnsi="Times New Roman" w:cs="Times New Roman"/>
          <w:sz w:val="24"/>
          <w:szCs w:val="24"/>
          <w:lang w:eastAsia="cs-CZ"/>
        </w:rPr>
        <w:t xml:space="preserve"> </w:t>
      </w:r>
    </w:p>
    <w:p w14:paraId="531EFA1A" w14:textId="32F9F779" w:rsidR="00105BD1" w:rsidRPr="007E197F" w:rsidRDefault="00105BD1"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e-mail:</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p>
    <w:p w14:paraId="666D8C43"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13AAD7DC"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(dále jen „</w:t>
      </w:r>
      <w:r w:rsidRPr="007E197F">
        <w:rPr>
          <w:rFonts w:ascii="Times New Roman" w:eastAsia="Calibri" w:hAnsi="Times New Roman" w:cs="Times New Roman"/>
          <w:b/>
          <w:sz w:val="24"/>
          <w:szCs w:val="24"/>
          <w:lang w:eastAsia="cs-CZ"/>
        </w:rPr>
        <w:t>Objednatel</w:t>
      </w:r>
      <w:r w:rsidRPr="007E197F">
        <w:rPr>
          <w:rFonts w:ascii="Times New Roman" w:eastAsia="Calibri" w:hAnsi="Times New Roman" w:cs="Times New Roman"/>
          <w:sz w:val="24"/>
          <w:szCs w:val="24"/>
          <w:lang w:eastAsia="cs-CZ"/>
        </w:rPr>
        <w:t xml:space="preserve">“)  </w:t>
      </w:r>
    </w:p>
    <w:p w14:paraId="1C27CD85"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na straně jedné</w:t>
      </w:r>
    </w:p>
    <w:p w14:paraId="3E041C71"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p>
    <w:p w14:paraId="3EC3EC93"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a</w:t>
      </w:r>
    </w:p>
    <w:p w14:paraId="7D578EDA"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p>
    <w:p w14:paraId="103BCF39"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bookmarkStart w:id="1" w:name="_Hlk154571320"/>
      <w:r w:rsidRPr="007E197F">
        <w:rPr>
          <w:rFonts w:ascii="Times New Roman" w:eastAsia="Calibri" w:hAnsi="Times New Roman" w:cs="Times New Roman"/>
          <w:b/>
          <w:sz w:val="24"/>
          <w:szCs w:val="24"/>
          <w:lang w:eastAsia="cs-CZ"/>
        </w:rPr>
        <w:t>Název:</w:t>
      </w:r>
      <w:r w:rsidRPr="007E197F">
        <w:rPr>
          <w:rFonts w:ascii="Times New Roman" w:eastAsia="Calibri" w:hAnsi="Times New Roman" w:cs="Times New Roman"/>
          <w:sz w:val="24"/>
          <w:szCs w:val="24"/>
          <w:lang w:eastAsia="cs-CZ"/>
        </w:rPr>
        <w:t xml:space="preserve"> </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proofErr w:type="spellStart"/>
      <w:r w:rsidRPr="007E197F">
        <w:rPr>
          <w:rFonts w:ascii="Times New Roman" w:eastAsia="Calibri" w:hAnsi="Times New Roman" w:cs="Times New Roman"/>
          <w:b/>
          <w:bCs/>
          <w:sz w:val="24"/>
          <w:szCs w:val="24"/>
          <w:lang w:eastAsia="cs-CZ"/>
        </w:rPr>
        <w:t>Aricoma</w:t>
      </w:r>
      <w:proofErr w:type="spellEnd"/>
      <w:r w:rsidRPr="007E197F">
        <w:rPr>
          <w:rFonts w:ascii="Times New Roman" w:eastAsia="Calibri" w:hAnsi="Times New Roman" w:cs="Times New Roman"/>
          <w:b/>
          <w:bCs/>
          <w:sz w:val="24"/>
          <w:szCs w:val="24"/>
          <w:lang w:eastAsia="cs-CZ"/>
        </w:rPr>
        <w:t xml:space="preserve"> Systems a.s.</w:t>
      </w:r>
      <w:r w:rsidRPr="007E197F">
        <w:rPr>
          <w:rFonts w:ascii="Times New Roman" w:eastAsia="Calibri" w:hAnsi="Times New Roman" w:cs="Times New Roman"/>
          <w:sz w:val="24"/>
          <w:szCs w:val="24"/>
          <w:lang w:eastAsia="cs-CZ"/>
        </w:rPr>
        <w:t xml:space="preserve"> </w:t>
      </w:r>
    </w:p>
    <w:p w14:paraId="6189650B"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se sídlem:</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Hornopolní 3322/34, 702 00 Ostrava</w:t>
      </w:r>
    </w:p>
    <w:p w14:paraId="6EF63EB2"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zastoupený:</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Ing. Josef Středa, ředitel RC, na základě plné moci</w:t>
      </w:r>
    </w:p>
    <w:p w14:paraId="77D01B7C"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IČO:</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04308697</w:t>
      </w:r>
    </w:p>
    <w:p w14:paraId="05BB68C0"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DIČ:</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CZ04308697</w:t>
      </w:r>
    </w:p>
    <w:p w14:paraId="01AE353E"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zapsaná v obchodním rejstříku vedeném u rejstříkového soudu v Ostravě oddíl B, vložka 11012</w:t>
      </w:r>
    </w:p>
    <w:p w14:paraId="133D3470"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bankovní spojení:</w:t>
      </w:r>
      <w:r w:rsidRPr="007E197F">
        <w:rPr>
          <w:rFonts w:ascii="Times New Roman" w:eastAsia="Calibri" w:hAnsi="Times New Roman" w:cs="Times New Roman"/>
          <w:sz w:val="24"/>
          <w:szCs w:val="24"/>
          <w:lang w:eastAsia="cs-CZ"/>
        </w:rPr>
        <w:tab/>
        <w:t>Česká spořitelna a.s.</w:t>
      </w:r>
    </w:p>
    <w:p w14:paraId="2E1166E9" w14:textId="2AB446E4"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č. účtu:</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 xml:space="preserve"> </w:t>
      </w:r>
    </w:p>
    <w:p w14:paraId="6CA5C84A" w14:textId="77777777"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kontaktní osoba:</w:t>
      </w:r>
      <w:r w:rsidRPr="007E197F">
        <w:rPr>
          <w:rFonts w:ascii="Times New Roman" w:eastAsia="Calibri" w:hAnsi="Times New Roman" w:cs="Times New Roman"/>
          <w:sz w:val="24"/>
          <w:szCs w:val="24"/>
          <w:lang w:eastAsia="cs-CZ"/>
        </w:rPr>
        <w:tab/>
        <w:t xml:space="preserve">Petra </w:t>
      </w:r>
      <w:proofErr w:type="spellStart"/>
      <w:r w:rsidRPr="007E197F">
        <w:rPr>
          <w:rFonts w:ascii="Times New Roman" w:eastAsia="Calibri" w:hAnsi="Times New Roman" w:cs="Times New Roman"/>
          <w:sz w:val="24"/>
          <w:szCs w:val="24"/>
          <w:lang w:eastAsia="cs-CZ"/>
        </w:rPr>
        <w:t>Pácaltová</w:t>
      </w:r>
      <w:proofErr w:type="spellEnd"/>
      <w:r w:rsidRPr="007E197F">
        <w:rPr>
          <w:rFonts w:ascii="Times New Roman" w:eastAsia="Calibri" w:hAnsi="Times New Roman" w:cs="Times New Roman"/>
          <w:sz w:val="24"/>
          <w:szCs w:val="24"/>
          <w:lang w:eastAsia="cs-CZ"/>
        </w:rPr>
        <w:t>, interní obchodník</w:t>
      </w:r>
    </w:p>
    <w:p w14:paraId="2F01C24F" w14:textId="630EB75C" w:rsidR="007536E9" w:rsidRPr="007E197F" w:rsidRDefault="007536E9" w:rsidP="007536E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e-mail:</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p>
    <w:bookmarkEnd w:id="1"/>
    <w:p w14:paraId="4381EDA5"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6A869EC4"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(dále jen „</w:t>
      </w:r>
      <w:r w:rsidRPr="007E197F">
        <w:rPr>
          <w:rFonts w:ascii="Times New Roman" w:eastAsia="Calibri" w:hAnsi="Times New Roman" w:cs="Times New Roman"/>
          <w:b/>
          <w:sz w:val="24"/>
          <w:szCs w:val="24"/>
          <w:lang w:eastAsia="cs-CZ"/>
        </w:rPr>
        <w:t>Dodavatel</w:t>
      </w:r>
      <w:r w:rsidRPr="007E197F">
        <w:rPr>
          <w:rFonts w:ascii="Times New Roman" w:eastAsia="Calibri" w:hAnsi="Times New Roman" w:cs="Times New Roman"/>
          <w:sz w:val="24"/>
          <w:szCs w:val="24"/>
          <w:lang w:eastAsia="cs-CZ"/>
        </w:rPr>
        <w:t>“)</w:t>
      </w:r>
    </w:p>
    <w:p w14:paraId="4985BE83"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na straně druhé</w:t>
      </w:r>
    </w:p>
    <w:p w14:paraId="2AEA845A" w14:textId="77777777" w:rsidR="00C002FB" w:rsidRPr="007E197F" w:rsidRDefault="00C002FB" w:rsidP="009030C9">
      <w:pPr>
        <w:spacing w:after="0" w:line="288" w:lineRule="auto"/>
        <w:jc w:val="both"/>
        <w:rPr>
          <w:rFonts w:ascii="Times New Roman" w:eastAsia="Calibri" w:hAnsi="Times New Roman" w:cs="Times New Roman"/>
          <w:b/>
          <w:sz w:val="24"/>
          <w:szCs w:val="24"/>
          <w:lang w:eastAsia="cs-CZ"/>
        </w:rPr>
      </w:pPr>
    </w:p>
    <w:p w14:paraId="01E44598" w14:textId="77777777" w:rsidR="009A6782" w:rsidRPr="007E197F" w:rsidRDefault="009A6782" w:rsidP="009030C9">
      <w:pPr>
        <w:spacing w:after="0" w:line="288" w:lineRule="auto"/>
        <w:jc w:val="both"/>
        <w:rPr>
          <w:rFonts w:ascii="Times New Roman" w:eastAsia="Calibri" w:hAnsi="Times New Roman" w:cs="Times New Roman"/>
          <w:sz w:val="24"/>
          <w:szCs w:val="24"/>
          <w:lang w:eastAsia="cs-CZ"/>
        </w:rPr>
      </w:pPr>
    </w:p>
    <w:p w14:paraId="2D4E83FA" w14:textId="77777777" w:rsidR="00D56772" w:rsidRPr="007E197F" w:rsidRDefault="00D56772" w:rsidP="009030C9">
      <w:pPr>
        <w:spacing w:after="0" w:line="288" w:lineRule="auto"/>
        <w:jc w:val="both"/>
        <w:rPr>
          <w:rFonts w:ascii="Times New Roman" w:eastAsia="Calibri" w:hAnsi="Times New Roman" w:cs="Times New Roman"/>
          <w:sz w:val="24"/>
          <w:szCs w:val="24"/>
          <w:lang w:eastAsia="cs-CZ"/>
        </w:rPr>
      </w:pPr>
    </w:p>
    <w:p w14:paraId="3829EAA9"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(Objednatel a Dodavatel jednotlivě jako „</w:t>
      </w:r>
      <w:r w:rsidRPr="007E197F">
        <w:rPr>
          <w:rFonts w:ascii="Times New Roman" w:eastAsia="Calibri" w:hAnsi="Times New Roman" w:cs="Times New Roman"/>
          <w:b/>
          <w:sz w:val="24"/>
          <w:szCs w:val="24"/>
          <w:lang w:eastAsia="cs-CZ"/>
        </w:rPr>
        <w:t>Smluvní strana</w:t>
      </w:r>
      <w:r w:rsidRPr="007E197F">
        <w:rPr>
          <w:rFonts w:ascii="Times New Roman" w:eastAsia="Calibri" w:hAnsi="Times New Roman" w:cs="Times New Roman"/>
          <w:sz w:val="24"/>
          <w:szCs w:val="24"/>
          <w:lang w:eastAsia="cs-CZ"/>
        </w:rPr>
        <w:t>“ a společně jako „</w:t>
      </w:r>
      <w:r w:rsidRPr="007E197F">
        <w:rPr>
          <w:rFonts w:ascii="Times New Roman" w:eastAsia="Calibri" w:hAnsi="Times New Roman" w:cs="Times New Roman"/>
          <w:b/>
          <w:sz w:val="24"/>
          <w:szCs w:val="24"/>
          <w:lang w:eastAsia="cs-CZ"/>
        </w:rPr>
        <w:t>Smluvní strany</w:t>
      </w:r>
      <w:r w:rsidRPr="007E197F">
        <w:rPr>
          <w:rFonts w:ascii="Times New Roman" w:eastAsia="Calibri" w:hAnsi="Times New Roman" w:cs="Times New Roman"/>
          <w:sz w:val="24"/>
          <w:szCs w:val="24"/>
          <w:lang w:eastAsia="cs-CZ"/>
        </w:rPr>
        <w:t>“)</w:t>
      </w:r>
    </w:p>
    <w:p w14:paraId="3B1C21E6"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414D397D" w14:textId="77777777" w:rsidR="009030C9" w:rsidRPr="007E197F" w:rsidRDefault="009030C9" w:rsidP="00105BD1">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lastRenderedPageBreak/>
        <w:t>uzavřeli tuto Prováděcí smlouvu (dále jen „</w:t>
      </w:r>
      <w:r w:rsidRPr="007E197F">
        <w:rPr>
          <w:rFonts w:ascii="Times New Roman" w:eastAsia="Calibri" w:hAnsi="Times New Roman" w:cs="Times New Roman"/>
          <w:b/>
          <w:sz w:val="24"/>
          <w:szCs w:val="24"/>
          <w:lang w:eastAsia="cs-CZ"/>
        </w:rPr>
        <w:t>Prováděcí smlouva</w:t>
      </w:r>
      <w:r w:rsidRPr="007E197F">
        <w:rPr>
          <w:rFonts w:ascii="Times New Roman" w:eastAsia="Calibri" w:hAnsi="Times New Roman" w:cs="Times New Roman"/>
          <w:sz w:val="24"/>
          <w:szCs w:val="24"/>
          <w:lang w:eastAsia="cs-CZ"/>
        </w:rPr>
        <w:t>“) k Rámcové dohodě na</w:t>
      </w:r>
      <w:r w:rsidR="00C002FB" w:rsidRPr="007E197F">
        <w:rPr>
          <w:rFonts w:ascii="Times New Roman" w:eastAsia="Calibri" w:hAnsi="Times New Roman" w:cs="Times New Roman"/>
          <w:sz w:val="24"/>
          <w:szCs w:val="24"/>
          <w:lang w:eastAsia="cs-CZ"/>
        </w:rPr>
        <w:t> </w:t>
      </w:r>
      <w:r w:rsidRPr="007E197F">
        <w:rPr>
          <w:rFonts w:ascii="Times New Roman" w:eastAsia="Calibri" w:hAnsi="Times New Roman" w:cs="Times New Roman"/>
          <w:sz w:val="24"/>
          <w:szCs w:val="24"/>
          <w:lang w:eastAsia="cs-CZ"/>
        </w:rPr>
        <w:t xml:space="preserve">pořizování produktů IBM ze dne </w:t>
      </w:r>
      <w:proofErr w:type="gramStart"/>
      <w:r w:rsidR="00A22232" w:rsidRPr="007E197F">
        <w:rPr>
          <w:rFonts w:ascii="Times New Roman" w:eastAsia="Calibri" w:hAnsi="Times New Roman" w:cs="Times New Roman"/>
          <w:sz w:val="24"/>
          <w:szCs w:val="24"/>
          <w:lang w:eastAsia="cs-CZ"/>
        </w:rPr>
        <w:t>14.5.2021</w:t>
      </w:r>
      <w:proofErr w:type="gramEnd"/>
      <w:r w:rsidRPr="007E197F">
        <w:rPr>
          <w:rFonts w:ascii="Times New Roman" w:eastAsia="Calibri" w:hAnsi="Times New Roman" w:cs="Times New Roman"/>
          <w:sz w:val="24"/>
          <w:szCs w:val="24"/>
          <w:lang w:eastAsia="cs-CZ"/>
        </w:rPr>
        <w:t xml:space="preserve"> (dále jen „</w:t>
      </w:r>
      <w:r w:rsidRPr="007E197F">
        <w:rPr>
          <w:rFonts w:ascii="Times New Roman" w:eastAsia="Calibri" w:hAnsi="Times New Roman" w:cs="Times New Roman"/>
          <w:b/>
          <w:sz w:val="24"/>
          <w:szCs w:val="24"/>
          <w:lang w:eastAsia="cs-CZ"/>
        </w:rPr>
        <w:t>Rámcová dohoda</w:t>
      </w:r>
      <w:r w:rsidRPr="007E197F">
        <w:rPr>
          <w:rFonts w:ascii="Times New Roman" w:eastAsia="Calibri" w:hAnsi="Times New Roman" w:cs="Times New Roman"/>
          <w:sz w:val="24"/>
          <w:szCs w:val="24"/>
          <w:lang w:eastAsia="cs-CZ"/>
        </w:rPr>
        <w:t>“) dle zákona č.</w:t>
      </w:r>
      <w:r w:rsidR="00C002FB" w:rsidRPr="007E197F">
        <w:rPr>
          <w:rFonts w:ascii="Times New Roman" w:eastAsia="Calibri" w:hAnsi="Times New Roman" w:cs="Times New Roman"/>
          <w:sz w:val="24"/>
          <w:szCs w:val="24"/>
          <w:lang w:eastAsia="cs-CZ"/>
        </w:rPr>
        <w:t> </w:t>
      </w:r>
      <w:r w:rsidRPr="007E197F">
        <w:rPr>
          <w:rFonts w:ascii="Times New Roman" w:eastAsia="Calibri" w:hAnsi="Times New Roman" w:cs="Times New Roman"/>
          <w:sz w:val="24"/>
          <w:szCs w:val="24"/>
          <w:lang w:eastAsia="cs-CZ"/>
        </w:rPr>
        <w:t>134/2016 Sb., o zadávání veřejných zakázek, v platném znění (dále jen „</w:t>
      </w:r>
      <w:r w:rsidRPr="007E197F">
        <w:rPr>
          <w:rFonts w:ascii="Times New Roman" w:eastAsia="Calibri" w:hAnsi="Times New Roman" w:cs="Times New Roman"/>
          <w:b/>
          <w:sz w:val="24"/>
          <w:szCs w:val="24"/>
          <w:lang w:eastAsia="cs-CZ"/>
        </w:rPr>
        <w:t>ZZVZ</w:t>
      </w:r>
      <w:r w:rsidRPr="007E197F">
        <w:rPr>
          <w:rFonts w:ascii="Times New Roman" w:eastAsia="Calibri" w:hAnsi="Times New Roman" w:cs="Times New Roman"/>
          <w:sz w:val="24"/>
          <w:szCs w:val="24"/>
          <w:lang w:eastAsia="cs-CZ"/>
        </w:rPr>
        <w:t>“) a v souladu s ustanovením § 1746 odst. 2 zákona č. 89/2012 Sb., občanský zákoník, ve znění pozdějších předpisů.</w:t>
      </w:r>
    </w:p>
    <w:p w14:paraId="4AA34E72" w14:textId="77777777" w:rsidR="009030C9" w:rsidRPr="007E197F" w:rsidRDefault="009030C9" w:rsidP="009030C9">
      <w:pPr>
        <w:spacing w:after="0" w:line="288" w:lineRule="auto"/>
        <w:jc w:val="center"/>
        <w:rPr>
          <w:rFonts w:ascii="Times New Roman" w:eastAsia="Calibri" w:hAnsi="Times New Roman" w:cs="Times New Roman"/>
          <w:sz w:val="24"/>
          <w:szCs w:val="24"/>
          <w:lang w:eastAsia="cs-CZ"/>
        </w:rPr>
      </w:pPr>
    </w:p>
    <w:p w14:paraId="760543AD" w14:textId="77777777" w:rsidR="009030C9" w:rsidRPr="007E197F" w:rsidRDefault="009030C9" w:rsidP="00105BD1">
      <w:pPr>
        <w:spacing w:after="0" w:line="288" w:lineRule="auto"/>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Smluvní strany vědomy si svých závazků v této Prováděcí smlouvě obsažených a v úmyslu být touto Prováděcí smlouvou vázány, se dohodly na následujícím znění Prováděcí smlouvy.</w:t>
      </w:r>
    </w:p>
    <w:p w14:paraId="43024300" w14:textId="77777777" w:rsidR="009030C9" w:rsidRPr="007E197F" w:rsidRDefault="009030C9" w:rsidP="009030C9">
      <w:pPr>
        <w:spacing w:after="0" w:line="288" w:lineRule="auto"/>
        <w:jc w:val="center"/>
        <w:rPr>
          <w:rFonts w:ascii="Times New Roman" w:eastAsia="Calibri" w:hAnsi="Times New Roman" w:cs="Times New Roman"/>
          <w:b/>
          <w:sz w:val="24"/>
          <w:szCs w:val="24"/>
          <w:lang w:eastAsia="cs-CZ"/>
        </w:rPr>
      </w:pPr>
    </w:p>
    <w:p w14:paraId="48D13A48" w14:textId="77777777" w:rsidR="00C002FB" w:rsidRPr="007E197F" w:rsidRDefault="00C002FB" w:rsidP="009030C9">
      <w:pPr>
        <w:spacing w:after="0" w:line="288" w:lineRule="auto"/>
        <w:jc w:val="center"/>
        <w:rPr>
          <w:rFonts w:ascii="Times New Roman" w:eastAsia="Calibri" w:hAnsi="Times New Roman" w:cs="Times New Roman"/>
          <w:b/>
          <w:sz w:val="24"/>
          <w:szCs w:val="24"/>
          <w:lang w:eastAsia="cs-CZ"/>
        </w:rPr>
      </w:pPr>
    </w:p>
    <w:p w14:paraId="1DB5A97C" w14:textId="77777777" w:rsidR="009030C9" w:rsidRPr="007E197F" w:rsidRDefault="009030C9" w:rsidP="009030C9">
      <w:pPr>
        <w:spacing w:after="0" w:line="288"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Preambule</w:t>
      </w:r>
    </w:p>
    <w:p w14:paraId="5D33BEE8" w14:textId="77777777" w:rsidR="009030C9" w:rsidRPr="007E197F" w:rsidRDefault="009030C9" w:rsidP="009030C9">
      <w:pPr>
        <w:spacing w:after="0" w:line="288" w:lineRule="auto"/>
        <w:jc w:val="center"/>
        <w:rPr>
          <w:rFonts w:ascii="Times New Roman" w:eastAsia="Calibri" w:hAnsi="Times New Roman" w:cs="Times New Roman"/>
          <w:sz w:val="24"/>
          <w:szCs w:val="24"/>
          <w:lang w:eastAsia="cs-CZ"/>
        </w:rPr>
      </w:pPr>
    </w:p>
    <w:p w14:paraId="252FA15A" w14:textId="77777777" w:rsidR="009030C9" w:rsidRPr="007E197F"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Dne </w:t>
      </w:r>
      <w:proofErr w:type="gramStart"/>
      <w:r w:rsidR="0067771E" w:rsidRPr="007E197F">
        <w:rPr>
          <w:rFonts w:ascii="Times New Roman" w:eastAsia="Calibri" w:hAnsi="Times New Roman" w:cs="Times New Roman"/>
          <w:sz w:val="24"/>
          <w:szCs w:val="24"/>
          <w:lang w:eastAsia="cs-CZ"/>
        </w:rPr>
        <w:t>14.5.2021</w:t>
      </w:r>
      <w:proofErr w:type="gramEnd"/>
      <w:r w:rsidRPr="007E197F">
        <w:rPr>
          <w:rFonts w:ascii="Times New Roman" w:eastAsia="Calibri" w:hAnsi="Times New Roman" w:cs="Times New Roman"/>
          <w:sz w:val="24"/>
          <w:szCs w:val="24"/>
          <w:lang w:eastAsia="cs-CZ"/>
        </w:rPr>
        <w:t xml:space="preserve"> uzavřela Česká republika – Ministerstvo vnitra, se sídlem Nad Štolou 936/3, 170 34 Praha 7, IČO: 00007064 (dále jen „</w:t>
      </w:r>
      <w:r w:rsidRPr="007E197F">
        <w:rPr>
          <w:rFonts w:ascii="Times New Roman" w:eastAsia="Calibri" w:hAnsi="Times New Roman" w:cs="Times New Roman"/>
          <w:b/>
          <w:sz w:val="24"/>
          <w:szCs w:val="24"/>
          <w:lang w:eastAsia="cs-CZ"/>
        </w:rPr>
        <w:t>Centrální zadavatel</w:t>
      </w:r>
      <w:r w:rsidRPr="007E197F">
        <w:rPr>
          <w:rFonts w:ascii="Times New Roman" w:eastAsia="Calibri" w:hAnsi="Times New Roman" w:cs="Times New Roman"/>
          <w:sz w:val="24"/>
          <w:szCs w:val="24"/>
          <w:lang w:eastAsia="cs-CZ"/>
        </w:rPr>
        <w:t>“) s Dodavatelem Rámcovou dohodu, na základě které se Dodavatel zavázal dodávat Centrálnímu zadavateli a Objednatelům plnění vymezené v Rámcové dohodě.</w:t>
      </w:r>
    </w:p>
    <w:p w14:paraId="2F4DAFB8" w14:textId="77777777" w:rsidR="009030C9" w:rsidRPr="007E197F" w:rsidRDefault="009030C9" w:rsidP="009030C9">
      <w:pPr>
        <w:spacing w:after="0" w:line="288" w:lineRule="auto"/>
        <w:ind w:left="426"/>
        <w:jc w:val="both"/>
        <w:rPr>
          <w:rFonts w:ascii="Times New Roman" w:eastAsia="Calibri" w:hAnsi="Times New Roman" w:cs="Times New Roman"/>
          <w:sz w:val="24"/>
          <w:szCs w:val="24"/>
          <w:lang w:eastAsia="cs-CZ"/>
        </w:rPr>
      </w:pPr>
    </w:p>
    <w:p w14:paraId="525AFE42" w14:textId="77777777" w:rsidR="009030C9" w:rsidRPr="007E197F"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Podpisem Rámcové dohody se tak Dodavatel zavázal dodávat uvedená plnění též Objednateli uvedenému na titulní straně této Prováděcí smlouvy, a to za podmínek stanovených v této Prováděcí smlouvě a v Rámcové dohodě.</w:t>
      </w:r>
    </w:p>
    <w:p w14:paraId="07D910B5" w14:textId="77777777" w:rsidR="009030C9" w:rsidRPr="007E197F" w:rsidRDefault="009030C9" w:rsidP="009030C9">
      <w:pPr>
        <w:spacing w:after="0" w:line="288" w:lineRule="auto"/>
        <w:ind w:left="708"/>
        <w:jc w:val="both"/>
        <w:rPr>
          <w:rFonts w:ascii="Times New Roman" w:eastAsia="Calibri" w:hAnsi="Times New Roman" w:cs="Times New Roman"/>
          <w:sz w:val="24"/>
          <w:szCs w:val="24"/>
          <w:lang w:eastAsia="cs-CZ"/>
        </w:rPr>
      </w:pPr>
    </w:p>
    <w:p w14:paraId="2D62A45B" w14:textId="77777777" w:rsidR="009030C9" w:rsidRPr="007E197F"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Na základě Rámcové dohody jsou uzavírány Prováděcí smlouvy v souladu s postupem upraveným v ustanovení § 135 ZZVZ (tj. v tzv. </w:t>
      </w:r>
      <w:proofErr w:type="spellStart"/>
      <w:r w:rsidRPr="007E197F">
        <w:rPr>
          <w:rFonts w:ascii="Times New Roman" w:eastAsia="Calibri" w:hAnsi="Times New Roman" w:cs="Times New Roman"/>
          <w:sz w:val="24"/>
          <w:szCs w:val="24"/>
          <w:lang w:eastAsia="cs-CZ"/>
        </w:rPr>
        <w:t>minitendrech</w:t>
      </w:r>
      <w:proofErr w:type="spellEnd"/>
      <w:r w:rsidRPr="007E197F">
        <w:rPr>
          <w:rFonts w:ascii="Times New Roman" w:eastAsia="Calibri" w:hAnsi="Times New Roman" w:cs="Times New Roman"/>
          <w:sz w:val="24"/>
          <w:szCs w:val="24"/>
          <w:lang w:eastAsia="cs-CZ"/>
        </w:rPr>
        <w:t xml:space="preserve">), tedy na základě písemné výzvy Objednatele k podání nabídky adresované všem Dodavatelům učiněné prostřednictvím elektronického nástroje „Národní elektronický nástroj“ (dále jen „NEN“) dostupného na URL adrese: </w:t>
      </w:r>
      <w:hyperlink r:id="rId7" w:history="1">
        <w:r w:rsidRPr="007E197F">
          <w:rPr>
            <w:rFonts w:ascii="Times New Roman" w:eastAsia="Calibri" w:hAnsi="Times New Roman" w:cs="Times New Roman"/>
            <w:sz w:val="24"/>
            <w:szCs w:val="24"/>
            <w:lang w:eastAsia="cs-CZ"/>
          </w:rPr>
          <w:t>https://nen.nipez.cz/profil/MVCR</w:t>
        </w:r>
      </w:hyperlink>
      <w:r w:rsidRPr="007E197F">
        <w:rPr>
          <w:rFonts w:ascii="Times New Roman" w:eastAsia="Calibri" w:hAnsi="Times New Roman" w:cs="Times New Roman"/>
          <w:sz w:val="24"/>
          <w:szCs w:val="24"/>
          <w:lang w:eastAsia="cs-CZ"/>
        </w:rPr>
        <w:t>.</w:t>
      </w:r>
    </w:p>
    <w:p w14:paraId="3C47FE2B"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30EE798F" w14:textId="77777777" w:rsidR="009030C9" w:rsidRPr="007E197F"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S ohledem na skutečnost, že nabídka Dodavatele byla v rámci </w:t>
      </w:r>
      <w:proofErr w:type="spellStart"/>
      <w:r w:rsidRPr="007E197F">
        <w:rPr>
          <w:rFonts w:ascii="Times New Roman" w:eastAsia="Calibri" w:hAnsi="Times New Roman" w:cs="Times New Roman"/>
          <w:sz w:val="24"/>
          <w:szCs w:val="24"/>
          <w:lang w:eastAsia="cs-CZ"/>
        </w:rPr>
        <w:t>minitendru</w:t>
      </w:r>
      <w:proofErr w:type="spellEnd"/>
      <w:r w:rsidRPr="007E197F">
        <w:rPr>
          <w:rFonts w:ascii="Times New Roman" w:eastAsia="Calibri" w:hAnsi="Times New Roman" w:cs="Times New Roman"/>
          <w:sz w:val="24"/>
          <w:szCs w:val="24"/>
          <w:lang w:eastAsia="cs-CZ"/>
        </w:rPr>
        <w:t xml:space="preserve">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47BA36CB" w14:textId="77777777" w:rsidR="009030C9" w:rsidRPr="007E197F" w:rsidRDefault="009030C9" w:rsidP="009030C9">
      <w:pPr>
        <w:spacing w:after="0" w:line="288" w:lineRule="auto"/>
        <w:ind w:left="708"/>
        <w:jc w:val="both"/>
        <w:rPr>
          <w:rFonts w:ascii="Times New Roman" w:eastAsia="Calibri" w:hAnsi="Times New Roman" w:cs="Times New Roman"/>
          <w:sz w:val="24"/>
          <w:szCs w:val="24"/>
          <w:lang w:eastAsia="cs-CZ"/>
        </w:rPr>
      </w:pPr>
    </w:p>
    <w:p w14:paraId="4DD4ED66" w14:textId="77777777" w:rsidR="009030C9" w:rsidRPr="007E197F"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CA45238" w14:textId="77777777" w:rsidR="009030C9" w:rsidRPr="007E197F" w:rsidRDefault="009030C9" w:rsidP="009030C9">
      <w:pPr>
        <w:spacing w:after="0" w:line="288" w:lineRule="auto"/>
        <w:ind w:left="708"/>
        <w:jc w:val="both"/>
        <w:rPr>
          <w:rFonts w:ascii="Times New Roman" w:eastAsia="Calibri" w:hAnsi="Times New Roman" w:cs="Times New Roman"/>
          <w:sz w:val="24"/>
          <w:szCs w:val="24"/>
          <w:lang w:eastAsia="cs-CZ"/>
        </w:rPr>
      </w:pPr>
    </w:p>
    <w:p w14:paraId="46F32B53" w14:textId="77777777" w:rsidR="00C002FB" w:rsidRPr="007E197F" w:rsidRDefault="00C002FB" w:rsidP="009030C9">
      <w:pPr>
        <w:spacing w:after="0" w:line="288" w:lineRule="auto"/>
        <w:ind w:left="708"/>
        <w:jc w:val="both"/>
        <w:rPr>
          <w:rFonts w:ascii="Times New Roman" w:eastAsia="Calibri" w:hAnsi="Times New Roman" w:cs="Times New Roman"/>
          <w:sz w:val="24"/>
          <w:szCs w:val="24"/>
          <w:lang w:eastAsia="cs-CZ"/>
        </w:rPr>
      </w:pPr>
    </w:p>
    <w:p w14:paraId="79D1E817" w14:textId="15C48095" w:rsidR="00C002FB" w:rsidRPr="007E197F" w:rsidRDefault="00C002FB" w:rsidP="009030C9">
      <w:pPr>
        <w:spacing w:after="0" w:line="288" w:lineRule="auto"/>
        <w:ind w:left="708"/>
        <w:jc w:val="both"/>
        <w:rPr>
          <w:rFonts w:ascii="Times New Roman" w:eastAsia="Calibri" w:hAnsi="Times New Roman" w:cs="Times New Roman"/>
          <w:sz w:val="24"/>
          <w:szCs w:val="24"/>
          <w:lang w:eastAsia="cs-CZ"/>
        </w:rPr>
      </w:pPr>
    </w:p>
    <w:p w14:paraId="2E858668" w14:textId="6E48EEDD" w:rsidR="003849E1" w:rsidRPr="007E197F" w:rsidRDefault="003849E1" w:rsidP="009030C9">
      <w:pPr>
        <w:spacing w:after="0" w:line="288" w:lineRule="auto"/>
        <w:ind w:left="708"/>
        <w:jc w:val="both"/>
        <w:rPr>
          <w:rFonts w:ascii="Times New Roman" w:eastAsia="Calibri" w:hAnsi="Times New Roman" w:cs="Times New Roman"/>
          <w:sz w:val="24"/>
          <w:szCs w:val="24"/>
          <w:lang w:eastAsia="cs-CZ"/>
        </w:rPr>
      </w:pPr>
    </w:p>
    <w:p w14:paraId="7F00971B" w14:textId="77777777" w:rsidR="003849E1" w:rsidRPr="007E197F" w:rsidRDefault="003849E1" w:rsidP="009030C9">
      <w:pPr>
        <w:spacing w:after="0" w:line="288" w:lineRule="auto"/>
        <w:ind w:left="708"/>
        <w:jc w:val="both"/>
        <w:rPr>
          <w:rFonts w:ascii="Times New Roman" w:eastAsia="Calibri" w:hAnsi="Times New Roman" w:cs="Times New Roman"/>
          <w:sz w:val="24"/>
          <w:szCs w:val="24"/>
          <w:lang w:eastAsia="cs-CZ"/>
        </w:rPr>
      </w:pPr>
    </w:p>
    <w:p w14:paraId="04C1AB80" w14:textId="77777777" w:rsidR="00C002FB" w:rsidRPr="007E197F" w:rsidRDefault="00C002FB" w:rsidP="009030C9">
      <w:pPr>
        <w:spacing w:after="0" w:line="288" w:lineRule="auto"/>
        <w:ind w:left="708"/>
        <w:jc w:val="both"/>
        <w:rPr>
          <w:rFonts w:ascii="Times New Roman" w:eastAsia="Calibri" w:hAnsi="Times New Roman" w:cs="Times New Roman"/>
          <w:sz w:val="24"/>
          <w:szCs w:val="24"/>
          <w:lang w:eastAsia="cs-CZ"/>
        </w:rPr>
      </w:pPr>
    </w:p>
    <w:p w14:paraId="14DD0BC5" w14:textId="77777777" w:rsidR="00D56772" w:rsidRPr="007E197F" w:rsidRDefault="00D56772" w:rsidP="009030C9">
      <w:pPr>
        <w:spacing w:after="240" w:line="288" w:lineRule="auto"/>
        <w:jc w:val="center"/>
        <w:rPr>
          <w:rFonts w:ascii="Times New Roman" w:eastAsia="Calibri" w:hAnsi="Times New Roman" w:cs="Times New Roman"/>
          <w:b/>
          <w:sz w:val="24"/>
          <w:szCs w:val="24"/>
          <w:lang w:eastAsia="cs-CZ"/>
        </w:rPr>
      </w:pPr>
    </w:p>
    <w:p w14:paraId="7F1935DE" w14:textId="77777777" w:rsidR="009030C9" w:rsidRPr="007E197F" w:rsidRDefault="009030C9" w:rsidP="009030C9">
      <w:pPr>
        <w:spacing w:after="240" w:line="288"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Předmět Prováděcí smlouvy</w:t>
      </w:r>
    </w:p>
    <w:p w14:paraId="0534736C" w14:textId="77777777" w:rsidR="009030C9" w:rsidRPr="007E197F" w:rsidRDefault="009030C9" w:rsidP="009030C9">
      <w:pPr>
        <w:numPr>
          <w:ilvl w:val="0"/>
          <w:numId w:val="6"/>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se touto Prováděcí smlouvou, v souladu s Rámcovou dohodou, zavazuje dodat Objednateli plnění specifikované v Příloze č. 1 této Prováděcí smlouvy.</w:t>
      </w:r>
    </w:p>
    <w:p w14:paraId="5AE2B5CE" w14:textId="3A4657C8" w:rsidR="009030C9" w:rsidRPr="007E197F" w:rsidRDefault="009030C9" w:rsidP="007536E9">
      <w:pPr>
        <w:numPr>
          <w:ilvl w:val="0"/>
          <w:numId w:val="6"/>
        </w:numPr>
        <w:shd w:val="clear" w:color="auto" w:fill="FFFFFF"/>
        <w:spacing w:after="120" w:line="240"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Objednatel podpisem této Prováděcí smlouvy prohlašuje, že má se společností IBM, jakožto poskytovatelem</w:t>
      </w:r>
      <w:r w:rsidR="007E3CD8" w:rsidRPr="007E197F">
        <w:rPr>
          <w:rFonts w:ascii="Times New Roman" w:eastAsia="Calibri" w:hAnsi="Times New Roman" w:cs="Times New Roman"/>
          <w:sz w:val="24"/>
          <w:szCs w:val="24"/>
          <w:lang w:eastAsia="cs-CZ"/>
        </w:rPr>
        <w:t xml:space="preserve"> licenčních oprávnění, uzavřenu </w:t>
      </w:r>
      <w:r w:rsidRPr="007E197F">
        <w:rPr>
          <w:rFonts w:ascii="Times New Roman" w:eastAsia="Calibri" w:hAnsi="Times New Roman" w:cs="Times New Roman"/>
          <w:sz w:val="24"/>
          <w:szCs w:val="24"/>
          <w:lang w:eastAsia="cs-CZ"/>
        </w:rPr>
        <w:t xml:space="preserve">Mezinárodní smlouvu </w:t>
      </w:r>
      <w:r w:rsidR="007E3CD8" w:rsidRPr="007E197F">
        <w:rPr>
          <w:rFonts w:ascii="Times New Roman" w:eastAsia="Calibri" w:hAnsi="Times New Roman" w:cs="Times New Roman"/>
          <w:sz w:val="24"/>
          <w:szCs w:val="24"/>
          <w:lang w:eastAsia="cs-CZ"/>
        </w:rPr>
        <w:t xml:space="preserve">IBM </w:t>
      </w:r>
      <w:proofErr w:type="spellStart"/>
      <w:r w:rsidR="007E3CD8" w:rsidRPr="007E197F">
        <w:rPr>
          <w:rFonts w:ascii="Times New Roman" w:eastAsia="Calibri" w:hAnsi="Times New Roman" w:cs="Times New Roman"/>
          <w:sz w:val="24"/>
          <w:szCs w:val="24"/>
          <w:lang w:eastAsia="cs-CZ"/>
        </w:rPr>
        <w:t>Passport</w:t>
      </w:r>
      <w:proofErr w:type="spellEnd"/>
      <w:r w:rsidR="007E3CD8" w:rsidRPr="007E197F">
        <w:rPr>
          <w:rFonts w:ascii="Times New Roman" w:eastAsia="Calibri" w:hAnsi="Times New Roman" w:cs="Times New Roman"/>
          <w:sz w:val="24"/>
          <w:szCs w:val="24"/>
          <w:lang w:eastAsia="cs-CZ"/>
        </w:rPr>
        <w:t xml:space="preserve"> </w:t>
      </w:r>
      <w:proofErr w:type="spellStart"/>
      <w:r w:rsidR="007E3CD8" w:rsidRPr="007E197F">
        <w:rPr>
          <w:rFonts w:ascii="Times New Roman" w:eastAsia="Calibri" w:hAnsi="Times New Roman" w:cs="Times New Roman"/>
          <w:sz w:val="24"/>
          <w:szCs w:val="24"/>
          <w:lang w:eastAsia="cs-CZ"/>
        </w:rPr>
        <w:t>Advantage</w:t>
      </w:r>
      <w:proofErr w:type="spellEnd"/>
      <w:r w:rsidR="007E3CD8" w:rsidRPr="007E197F">
        <w:rPr>
          <w:rFonts w:ascii="Times New Roman" w:eastAsia="Calibri" w:hAnsi="Times New Roman" w:cs="Times New Roman"/>
          <w:sz w:val="24"/>
          <w:szCs w:val="24"/>
          <w:lang w:eastAsia="cs-CZ"/>
        </w:rPr>
        <w:t xml:space="preserve"> („IPAA“).</w:t>
      </w:r>
    </w:p>
    <w:p w14:paraId="6E71C5BE" w14:textId="77777777" w:rsidR="007536E9" w:rsidRPr="007E197F" w:rsidRDefault="007536E9" w:rsidP="00360DCE">
      <w:pPr>
        <w:shd w:val="clear" w:color="auto" w:fill="FFFFFF"/>
        <w:spacing w:after="120" w:line="240" w:lineRule="auto"/>
        <w:ind w:left="360"/>
        <w:jc w:val="both"/>
        <w:rPr>
          <w:rFonts w:ascii="Times New Roman" w:eastAsia="Calibri" w:hAnsi="Times New Roman" w:cs="Times New Roman"/>
          <w:sz w:val="24"/>
          <w:szCs w:val="24"/>
          <w:lang w:eastAsia="cs-CZ"/>
        </w:rPr>
      </w:pPr>
    </w:p>
    <w:p w14:paraId="466580DE" w14:textId="77777777" w:rsidR="009030C9" w:rsidRPr="007E197F" w:rsidRDefault="009030C9" w:rsidP="009030C9">
      <w:pPr>
        <w:spacing w:after="240" w:line="288"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Cena za plnění</w:t>
      </w:r>
    </w:p>
    <w:p w14:paraId="3F0DA71B" w14:textId="77777777" w:rsidR="009030C9" w:rsidRPr="007E197F" w:rsidRDefault="009030C9" w:rsidP="00105BD1">
      <w:pPr>
        <w:pStyle w:val="CZodstavec"/>
        <w:numPr>
          <w:ilvl w:val="0"/>
          <w:numId w:val="14"/>
        </w:numPr>
        <w:rPr>
          <w:rFonts w:ascii="Times New Roman" w:hAnsi="Times New Roman"/>
          <w:sz w:val="24"/>
        </w:rPr>
      </w:pPr>
      <w:r w:rsidRPr="007E197F">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09D08437" w14:textId="1F3C051A" w:rsidR="009030C9" w:rsidRPr="007E197F" w:rsidRDefault="009030C9" w:rsidP="00105BD1">
      <w:pPr>
        <w:pStyle w:val="CZodstavec"/>
        <w:numPr>
          <w:ilvl w:val="0"/>
          <w:numId w:val="14"/>
        </w:numPr>
        <w:rPr>
          <w:rFonts w:ascii="Times New Roman" w:hAnsi="Times New Roman"/>
          <w:b/>
          <w:sz w:val="24"/>
        </w:rPr>
      </w:pPr>
      <w:r w:rsidRPr="007E197F">
        <w:rPr>
          <w:rFonts w:ascii="Times New Roman" w:hAnsi="Times New Roman"/>
          <w:sz w:val="24"/>
        </w:rPr>
        <w:t xml:space="preserve">Smluvní strany se dohodly, že cena za poskytnutí plnění Dodavatelem dle této Prováděcí smlouvy činí </w:t>
      </w:r>
      <w:r w:rsidR="007536E9" w:rsidRPr="007E197F">
        <w:rPr>
          <w:rFonts w:ascii="Times New Roman" w:hAnsi="Times New Roman"/>
          <w:sz w:val="24"/>
        </w:rPr>
        <w:t>5 771,52 Kč</w:t>
      </w:r>
      <w:r w:rsidRPr="007E197F">
        <w:rPr>
          <w:rFonts w:ascii="Times New Roman" w:hAnsi="Times New Roman"/>
          <w:sz w:val="24"/>
        </w:rPr>
        <w:t xml:space="preserve"> (slovy: </w:t>
      </w:r>
      <w:proofErr w:type="spellStart"/>
      <w:r w:rsidR="007536E9" w:rsidRPr="007E197F">
        <w:rPr>
          <w:rFonts w:ascii="Times New Roman" w:hAnsi="Times New Roman"/>
          <w:sz w:val="24"/>
        </w:rPr>
        <w:t>pěttisícsedmsetsedmdesátjedna</w:t>
      </w:r>
      <w:proofErr w:type="spellEnd"/>
      <w:r w:rsidRPr="007E197F">
        <w:rPr>
          <w:rFonts w:ascii="Times New Roman" w:hAnsi="Times New Roman"/>
          <w:sz w:val="24"/>
        </w:rPr>
        <w:t xml:space="preserve"> korun českých</w:t>
      </w:r>
      <w:r w:rsidR="007536E9" w:rsidRPr="007E197F">
        <w:rPr>
          <w:rFonts w:ascii="Times New Roman" w:hAnsi="Times New Roman"/>
          <w:sz w:val="24"/>
        </w:rPr>
        <w:t xml:space="preserve"> a</w:t>
      </w:r>
      <w:r w:rsidR="003849E1" w:rsidRPr="007E197F">
        <w:rPr>
          <w:rFonts w:ascii="Times New Roman" w:hAnsi="Times New Roman"/>
          <w:sz w:val="24"/>
        </w:rPr>
        <w:t> </w:t>
      </w:r>
      <w:proofErr w:type="spellStart"/>
      <w:r w:rsidR="007536E9" w:rsidRPr="007E197F">
        <w:rPr>
          <w:rFonts w:ascii="Times New Roman" w:hAnsi="Times New Roman"/>
          <w:sz w:val="24"/>
        </w:rPr>
        <w:t>padesátdva</w:t>
      </w:r>
      <w:proofErr w:type="spellEnd"/>
      <w:r w:rsidR="007536E9" w:rsidRPr="007E197F">
        <w:rPr>
          <w:rFonts w:ascii="Times New Roman" w:hAnsi="Times New Roman"/>
          <w:sz w:val="24"/>
        </w:rPr>
        <w:t xml:space="preserve"> haléřů</w:t>
      </w:r>
      <w:r w:rsidRPr="007E197F">
        <w:rPr>
          <w:rFonts w:ascii="Times New Roman" w:hAnsi="Times New Roman"/>
          <w:sz w:val="24"/>
        </w:rPr>
        <w:t xml:space="preserve">) bez DPH, tj. </w:t>
      </w:r>
      <w:r w:rsidR="007536E9" w:rsidRPr="007E197F">
        <w:rPr>
          <w:rFonts w:ascii="Times New Roman" w:hAnsi="Times New Roman"/>
          <w:b/>
          <w:sz w:val="24"/>
        </w:rPr>
        <w:t xml:space="preserve">6 983,54 </w:t>
      </w:r>
      <w:r w:rsidRPr="007E197F">
        <w:rPr>
          <w:rFonts w:ascii="Times New Roman" w:hAnsi="Times New Roman"/>
          <w:b/>
          <w:sz w:val="24"/>
        </w:rPr>
        <w:t xml:space="preserve">Kč (slovy: </w:t>
      </w:r>
      <w:proofErr w:type="spellStart"/>
      <w:r w:rsidR="007536E9" w:rsidRPr="007E197F">
        <w:rPr>
          <w:rFonts w:ascii="Times New Roman" w:hAnsi="Times New Roman"/>
          <w:b/>
          <w:sz w:val="24"/>
        </w:rPr>
        <w:t>šesttisícdevětsetosmdesáttři</w:t>
      </w:r>
      <w:proofErr w:type="spellEnd"/>
      <w:r w:rsidRPr="007E197F">
        <w:rPr>
          <w:rFonts w:ascii="Times New Roman" w:hAnsi="Times New Roman"/>
          <w:b/>
          <w:sz w:val="24"/>
        </w:rPr>
        <w:t xml:space="preserve"> korun českých</w:t>
      </w:r>
      <w:r w:rsidR="007536E9" w:rsidRPr="007E197F">
        <w:rPr>
          <w:rFonts w:ascii="Times New Roman" w:hAnsi="Times New Roman"/>
          <w:b/>
          <w:sz w:val="24"/>
        </w:rPr>
        <w:t xml:space="preserve"> a </w:t>
      </w:r>
      <w:proofErr w:type="spellStart"/>
      <w:r w:rsidR="007536E9" w:rsidRPr="007E197F">
        <w:rPr>
          <w:rFonts w:ascii="Times New Roman" w:hAnsi="Times New Roman"/>
          <w:b/>
          <w:sz w:val="24"/>
        </w:rPr>
        <w:t>padesátčtyři</w:t>
      </w:r>
      <w:proofErr w:type="spellEnd"/>
      <w:r w:rsidR="007536E9" w:rsidRPr="007E197F">
        <w:rPr>
          <w:rFonts w:ascii="Times New Roman" w:hAnsi="Times New Roman"/>
          <w:b/>
          <w:sz w:val="24"/>
        </w:rPr>
        <w:t xml:space="preserve"> haléřů</w:t>
      </w:r>
      <w:r w:rsidRPr="007E197F">
        <w:rPr>
          <w:rFonts w:ascii="Times New Roman" w:hAnsi="Times New Roman"/>
          <w:b/>
          <w:sz w:val="24"/>
        </w:rPr>
        <w:t>) včetně DPH.</w:t>
      </w:r>
    </w:p>
    <w:p w14:paraId="1F6CD772" w14:textId="77777777" w:rsidR="009030C9" w:rsidRPr="007E197F" w:rsidRDefault="009030C9" w:rsidP="00105BD1">
      <w:pPr>
        <w:pStyle w:val="CZodstavec"/>
        <w:numPr>
          <w:ilvl w:val="0"/>
          <w:numId w:val="14"/>
        </w:numPr>
        <w:rPr>
          <w:rFonts w:ascii="Times New Roman" w:hAnsi="Times New Roman"/>
          <w:sz w:val="24"/>
        </w:rPr>
      </w:pPr>
      <w:r w:rsidRPr="007E197F">
        <w:rPr>
          <w:rFonts w:ascii="Times New Roman" w:hAnsi="Times New Roman"/>
          <w:sz w:val="24"/>
        </w:rPr>
        <w:t>Podrobné vymezení celkové ceny za poskytnutí plnění dle předchozího odstavce tohoto článku Prováděcí smlouvy je uvedeno v Příloze č. 1 této Prováděcí smlouvy.</w:t>
      </w:r>
    </w:p>
    <w:p w14:paraId="2D92035C" w14:textId="77777777" w:rsidR="009030C9" w:rsidRPr="007E197F" w:rsidRDefault="009030C9" w:rsidP="009030C9">
      <w:pPr>
        <w:spacing w:before="360" w:after="120" w:line="240" w:lineRule="auto"/>
        <w:jc w:val="center"/>
        <w:rPr>
          <w:rFonts w:ascii="Times New Roman" w:eastAsia="Calibri" w:hAnsi="Times New Roman" w:cs="Times New Roman"/>
          <w:b/>
          <w:sz w:val="24"/>
          <w:szCs w:val="24"/>
          <w:lang w:eastAsia="cs-CZ"/>
        </w:rPr>
      </w:pPr>
    </w:p>
    <w:p w14:paraId="5597BD2F" w14:textId="77777777" w:rsidR="009030C9" w:rsidRPr="007E197F" w:rsidRDefault="009030C9" w:rsidP="009030C9">
      <w:pPr>
        <w:spacing w:after="240" w:line="288"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Doba a místo plnění</w:t>
      </w:r>
    </w:p>
    <w:p w14:paraId="394188F8" w14:textId="5101D591" w:rsidR="009030C9" w:rsidRPr="007E197F" w:rsidRDefault="009030C9" w:rsidP="004F7CE0">
      <w:pPr>
        <w:pStyle w:val="CZodstavec"/>
        <w:numPr>
          <w:ilvl w:val="0"/>
          <w:numId w:val="19"/>
        </w:numPr>
        <w:rPr>
          <w:rFonts w:ascii="Times New Roman" w:hAnsi="Times New Roman"/>
          <w:sz w:val="24"/>
        </w:rPr>
      </w:pPr>
      <w:r w:rsidRPr="007E197F">
        <w:rPr>
          <w:rFonts w:ascii="Times New Roman" w:hAnsi="Times New Roman"/>
          <w:sz w:val="24"/>
        </w:rPr>
        <w:t xml:space="preserve">Smluvní strany se dohodly, že Dodavatel je povinen </w:t>
      </w:r>
      <w:r w:rsidR="00E573A3" w:rsidRPr="007E197F">
        <w:rPr>
          <w:rFonts w:ascii="Times New Roman" w:hAnsi="Times New Roman"/>
          <w:sz w:val="24"/>
        </w:rPr>
        <w:t>poskytovat Objednateli plnění dle této Prováděcí smlo</w:t>
      </w:r>
      <w:r w:rsidR="00A625B3" w:rsidRPr="007E197F">
        <w:rPr>
          <w:rFonts w:ascii="Times New Roman" w:hAnsi="Times New Roman"/>
          <w:sz w:val="24"/>
        </w:rPr>
        <w:t xml:space="preserve">uvy </w:t>
      </w:r>
      <w:r w:rsidR="00A625B3" w:rsidRPr="007E197F">
        <w:rPr>
          <w:rFonts w:ascii="Times New Roman" w:hAnsi="Times New Roman"/>
          <w:b/>
          <w:sz w:val="24"/>
        </w:rPr>
        <w:t xml:space="preserve">v období od </w:t>
      </w:r>
      <w:proofErr w:type="gramStart"/>
      <w:r w:rsidR="00197C21" w:rsidRPr="007E197F">
        <w:rPr>
          <w:rFonts w:ascii="Times New Roman" w:hAnsi="Times New Roman"/>
          <w:b/>
          <w:sz w:val="24"/>
        </w:rPr>
        <w:t>1</w:t>
      </w:r>
      <w:r w:rsidR="00A625B3" w:rsidRPr="007E197F">
        <w:rPr>
          <w:rFonts w:ascii="Times New Roman" w:hAnsi="Times New Roman"/>
          <w:b/>
          <w:sz w:val="24"/>
        </w:rPr>
        <w:t>.</w:t>
      </w:r>
      <w:r w:rsidR="00C002FB" w:rsidRPr="007E197F">
        <w:rPr>
          <w:rFonts w:ascii="Times New Roman" w:hAnsi="Times New Roman"/>
          <w:b/>
          <w:sz w:val="24"/>
        </w:rPr>
        <w:t>1</w:t>
      </w:r>
      <w:r w:rsidR="001C4B22" w:rsidRPr="007E197F">
        <w:rPr>
          <w:rFonts w:ascii="Times New Roman" w:hAnsi="Times New Roman"/>
          <w:b/>
          <w:sz w:val="24"/>
        </w:rPr>
        <w:t>2</w:t>
      </w:r>
      <w:r w:rsidR="00A625B3" w:rsidRPr="007E197F">
        <w:rPr>
          <w:rFonts w:ascii="Times New Roman" w:hAnsi="Times New Roman"/>
          <w:b/>
          <w:sz w:val="24"/>
        </w:rPr>
        <w:t>.202</w:t>
      </w:r>
      <w:r w:rsidR="00EB2014" w:rsidRPr="007E197F">
        <w:rPr>
          <w:rFonts w:ascii="Times New Roman" w:hAnsi="Times New Roman"/>
          <w:b/>
          <w:sz w:val="24"/>
        </w:rPr>
        <w:t>3</w:t>
      </w:r>
      <w:proofErr w:type="gramEnd"/>
      <w:r w:rsidR="00E573A3" w:rsidRPr="007E197F">
        <w:rPr>
          <w:rFonts w:ascii="Times New Roman" w:hAnsi="Times New Roman"/>
          <w:b/>
          <w:sz w:val="24"/>
        </w:rPr>
        <w:t xml:space="preserve"> do 31.</w:t>
      </w:r>
      <w:r w:rsidR="00197C21" w:rsidRPr="007E197F">
        <w:rPr>
          <w:rFonts w:ascii="Times New Roman" w:hAnsi="Times New Roman"/>
          <w:b/>
          <w:sz w:val="24"/>
        </w:rPr>
        <w:t>8</w:t>
      </w:r>
      <w:r w:rsidR="00E573A3" w:rsidRPr="007E197F">
        <w:rPr>
          <w:rFonts w:ascii="Times New Roman" w:hAnsi="Times New Roman"/>
          <w:b/>
          <w:sz w:val="24"/>
        </w:rPr>
        <w:t>.202</w:t>
      </w:r>
      <w:r w:rsidR="00EB2014" w:rsidRPr="007E197F">
        <w:rPr>
          <w:rFonts w:ascii="Times New Roman" w:hAnsi="Times New Roman"/>
          <w:b/>
          <w:sz w:val="24"/>
        </w:rPr>
        <w:t>4</w:t>
      </w:r>
      <w:r w:rsidR="00E573A3" w:rsidRPr="007E197F">
        <w:rPr>
          <w:rFonts w:ascii="Times New Roman" w:hAnsi="Times New Roman"/>
          <w:sz w:val="24"/>
        </w:rPr>
        <w:t>.</w:t>
      </w:r>
    </w:p>
    <w:p w14:paraId="22306438" w14:textId="77777777" w:rsidR="009030C9" w:rsidRPr="007E197F" w:rsidRDefault="00E573A3" w:rsidP="009030C9">
      <w:pPr>
        <w:tabs>
          <w:tab w:val="num" w:pos="360"/>
        </w:tabs>
        <w:spacing w:after="120" w:line="288" w:lineRule="auto"/>
        <w:ind w:left="360" w:hanging="360"/>
        <w:jc w:val="both"/>
        <w:rPr>
          <w:rFonts w:ascii="Times New Roman" w:eastAsia="Calibri" w:hAnsi="Times New Roman" w:cs="Times New Roman"/>
          <w:b/>
          <w:sz w:val="24"/>
          <w:szCs w:val="24"/>
          <w:lang w:eastAsia="cs-CZ"/>
        </w:rPr>
      </w:pPr>
      <w:r w:rsidRPr="007E197F">
        <w:rPr>
          <w:rFonts w:ascii="Times New Roman" w:eastAsia="Calibri" w:hAnsi="Times New Roman" w:cs="Times New Roman"/>
          <w:sz w:val="24"/>
          <w:szCs w:val="24"/>
          <w:lang w:eastAsia="cs-CZ"/>
        </w:rPr>
        <w:t xml:space="preserve">2.  </w:t>
      </w:r>
      <w:r w:rsidR="009030C9" w:rsidRPr="007E197F">
        <w:rPr>
          <w:rFonts w:ascii="Times New Roman" w:eastAsia="Calibri" w:hAnsi="Times New Roman" w:cs="Times New Roman"/>
          <w:sz w:val="24"/>
          <w:szCs w:val="24"/>
          <w:lang w:eastAsia="cs-CZ"/>
        </w:rPr>
        <w:t>Místem dodání plnění Dodavatele dle této Prováděcí smlouvy je sídlo Objednatele uvedené na tituln</w:t>
      </w:r>
      <w:r w:rsidR="00A625B3" w:rsidRPr="007E197F">
        <w:rPr>
          <w:rFonts w:ascii="Times New Roman" w:eastAsia="Calibri" w:hAnsi="Times New Roman" w:cs="Times New Roman"/>
          <w:sz w:val="24"/>
          <w:szCs w:val="24"/>
          <w:lang w:eastAsia="cs-CZ"/>
        </w:rPr>
        <w:t>í straně této Prováděcí smlouvy</w:t>
      </w:r>
      <w:r w:rsidR="00F90EA7" w:rsidRPr="007E197F">
        <w:rPr>
          <w:rFonts w:ascii="Times New Roman" w:eastAsia="Calibri" w:hAnsi="Times New Roman" w:cs="Times New Roman"/>
          <w:sz w:val="24"/>
          <w:szCs w:val="24"/>
          <w:lang w:eastAsia="cs-CZ"/>
        </w:rPr>
        <w:t>.</w:t>
      </w:r>
    </w:p>
    <w:p w14:paraId="35816ED1" w14:textId="77777777" w:rsidR="009030C9" w:rsidRPr="007E197F" w:rsidRDefault="009030C9" w:rsidP="009030C9">
      <w:pPr>
        <w:spacing w:before="360" w:after="120" w:line="240" w:lineRule="auto"/>
        <w:jc w:val="center"/>
        <w:rPr>
          <w:rFonts w:ascii="Times New Roman" w:eastAsia="Calibri" w:hAnsi="Times New Roman" w:cs="Times New Roman"/>
          <w:sz w:val="24"/>
          <w:szCs w:val="24"/>
          <w:lang w:eastAsia="cs-CZ"/>
        </w:rPr>
      </w:pPr>
    </w:p>
    <w:p w14:paraId="418523CA" w14:textId="77777777" w:rsidR="009030C9" w:rsidRPr="007E197F"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Platební podmínky</w:t>
      </w:r>
    </w:p>
    <w:p w14:paraId="2BBACA62" w14:textId="77777777" w:rsidR="009030C9" w:rsidRPr="007E197F" w:rsidRDefault="009030C9" w:rsidP="004016FC">
      <w:pPr>
        <w:tabs>
          <w:tab w:val="left" w:pos="2835"/>
        </w:tabs>
        <w:spacing w:after="0" w:line="240" w:lineRule="auto"/>
        <w:rPr>
          <w:rFonts w:ascii="Times New Roman" w:eastAsia="Calibri" w:hAnsi="Times New Roman" w:cs="Times New Roman"/>
          <w:b/>
          <w:sz w:val="24"/>
          <w:szCs w:val="24"/>
          <w:lang w:eastAsia="cs-CZ"/>
        </w:rPr>
      </w:pPr>
    </w:p>
    <w:p w14:paraId="37F2EED0" w14:textId="77777777" w:rsidR="009030C9" w:rsidRPr="007E197F" w:rsidRDefault="009030C9" w:rsidP="007C39A6">
      <w:pPr>
        <w:pStyle w:val="CZodstavec"/>
        <w:numPr>
          <w:ilvl w:val="0"/>
          <w:numId w:val="12"/>
        </w:numPr>
        <w:rPr>
          <w:rFonts w:ascii="Times New Roman" w:hAnsi="Times New Roman"/>
          <w:sz w:val="24"/>
        </w:rPr>
      </w:pPr>
      <w:r w:rsidRPr="007E197F">
        <w:rPr>
          <w:rFonts w:ascii="Times New Roman" w:hAnsi="Times New Roman"/>
          <w:sz w:val="24"/>
        </w:rPr>
        <w:t xml:space="preserve">Smluvní strany se dohodly, že cena za plnění poskytnuté Dodavatelem na základě této Prováděcí smlouvy bude splatná na základě faktur – daňových </w:t>
      </w:r>
      <w:r w:rsidR="004016FC" w:rsidRPr="007E197F">
        <w:rPr>
          <w:rFonts w:ascii="Times New Roman" w:hAnsi="Times New Roman"/>
          <w:sz w:val="24"/>
        </w:rPr>
        <w:t>dokladů vystavených Dodavatelem.</w:t>
      </w:r>
    </w:p>
    <w:p w14:paraId="734C984C" w14:textId="172EF8B1" w:rsidR="00D56772" w:rsidRPr="007E197F" w:rsidRDefault="009030C9" w:rsidP="007536E9">
      <w:pPr>
        <w:pStyle w:val="Odstavecseseznamem"/>
        <w:numPr>
          <w:ilvl w:val="0"/>
          <w:numId w:val="1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Ostatní platební podmínky jsou stanoveny v Rámcové dohodě.</w:t>
      </w:r>
    </w:p>
    <w:p w14:paraId="5C7B7F30" w14:textId="1CEAFEF2" w:rsidR="00D56772" w:rsidRPr="007E197F" w:rsidRDefault="00D56772" w:rsidP="009030C9">
      <w:pPr>
        <w:spacing w:after="0" w:line="240" w:lineRule="auto"/>
        <w:jc w:val="center"/>
        <w:rPr>
          <w:rFonts w:ascii="Times New Roman" w:eastAsia="Calibri" w:hAnsi="Times New Roman" w:cs="Times New Roman"/>
          <w:b/>
          <w:sz w:val="24"/>
          <w:szCs w:val="24"/>
          <w:lang w:eastAsia="cs-CZ"/>
        </w:rPr>
      </w:pPr>
    </w:p>
    <w:p w14:paraId="7E433A64" w14:textId="072F0AE9" w:rsidR="003849E1" w:rsidRPr="007E197F" w:rsidRDefault="003849E1" w:rsidP="009030C9">
      <w:pPr>
        <w:spacing w:after="0" w:line="240" w:lineRule="auto"/>
        <w:jc w:val="center"/>
        <w:rPr>
          <w:rFonts w:ascii="Times New Roman" w:eastAsia="Calibri" w:hAnsi="Times New Roman" w:cs="Times New Roman"/>
          <w:b/>
          <w:sz w:val="24"/>
          <w:szCs w:val="24"/>
          <w:lang w:eastAsia="cs-CZ"/>
        </w:rPr>
      </w:pPr>
    </w:p>
    <w:p w14:paraId="32C25301" w14:textId="4D0FBCE2" w:rsidR="003849E1" w:rsidRPr="007E197F" w:rsidRDefault="003849E1" w:rsidP="009030C9">
      <w:pPr>
        <w:spacing w:after="0" w:line="240" w:lineRule="auto"/>
        <w:jc w:val="center"/>
        <w:rPr>
          <w:rFonts w:ascii="Times New Roman" w:eastAsia="Calibri" w:hAnsi="Times New Roman" w:cs="Times New Roman"/>
          <w:b/>
          <w:sz w:val="24"/>
          <w:szCs w:val="24"/>
          <w:lang w:eastAsia="cs-CZ"/>
        </w:rPr>
      </w:pPr>
    </w:p>
    <w:p w14:paraId="6FCE0B35" w14:textId="77777777" w:rsidR="003849E1" w:rsidRPr="007E197F" w:rsidRDefault="003849E1" w:rsidP="009030C9">
      <w:pPr>
        <w:spacing w:after="0" w:line="240" w:lineRule="auto"/>
        <w:jc w:val="center"/>
        <w:rPr>
          <w:rFonts w:ascii="Times New Roman" w:eastAsia="Calibri" w:hAnsi="Times New Roman" w:cs="Times New Roman"/>
          <w:b/>
          <w:sz w:val="24"/>
          <w:szCs w:val="24"/>
          <w:lang w:eastAsia="cs-CZ"/>
        </w:rPr>
      </w:pPr>
    </w:p>
    <w:p w14:paraId="08CB3DB7" w14:textId="77777777" w:rsidR="00C002FB" w:rsidRPr="007E197F" w:rsidRDefault="00C002FB" w:rsidP="009030C9">
      <w:pPr>
        <w:spacing w:after="0" w:line="240" w:lineRule="auto"/>
        <w:jc w:val="center"/>
        <w:rPr>
          <w:rFonts w:ascii="Times New Roman" w:eastAsia="Calibri" w:hAnsi="Times New Roman" w:cs="Times New Roman"/>
          <w:b/>
          <w:sz w:val="24"/>
          <w:szCs w:val="24"/>
          <w:lang w:eastAsia="cs-CZ"/>
        </w:rPr>
      </w:pPr>
    </w:p>
    <w:p w14:paraId="780B50D2" w14:textId="77777777" w:rsidR="009030C9" w:rsidRPr="007E197F"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lastRenderedPageBreak/>
        <w:t>Doba trvání a ukončení Prováděcí smlouvy</w:t>
      </w:r>
    </w:p>
    <w:p w14:paraId="65288318" w14:textId="77777777" w:rsidR="009030C9" w:rsidRPr="007E197F"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5E3A24D5" w14:textId="77777777" w:rsidR="00D56772" w:rsidRPr="007E197F" w:rsidRDefault="00D56772" w:rsidP="009030C9">
      <w:pPr>
        <w:tabs>
          <w:tab w:val="left" w:pos="2835"/>
        </w:tabs>
        <w:spacing w:after="0" w:line="240" w:lineRule="auto"/>
        <w:jc w:val="center"/>
        <w:rPr>
          <w:rFonts w:ascii="Times New Roman" w:eastAsia="Calibri" w:hAnsi="Times New Roman" w:cs="Times New Roman"/>
          <w:b/>
          <w:sz w:val="24"/>
          <w:szCs w:val="24"/>
          <w:lang w:eastAsia="cs-CZ"/>
        </w:rPr>
      </w:pPr>
    </w:p>
    <w:p w14:paraId="77A3D58B" w14:textId="77777777" w:rsidR="009030C9" w:rsidRPr="007E197F" w:rsidRDefault="009030C9" w:rsidP="00C432E5">
      <w:pPr>
        <w:numPr>
          <w:ilvl w:val="1"/>
          <w:numId w:val="17"/>
        </w:numPr>
        <w:tabs>
          <w:tab w:val="clear" w:pos="927"/>
        </w:tabs>
        <w:spacing w:after="120" w:line="288" w:lineRule="auto"/>
        <w:ind w:left="284" w:hanging="284"/>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6344315A" w14:textId="77777777" w:rsidR="009030C9" w:rsidRPr="007E197F" w:rsidRDefault="009030C9" w:rsidP="00C432E5">
      <w:pPr>
        <w:numPr>
          <w:ilvl w:val="1"/>
          <w:numId w:val="17"/>
        </w:numPr>
        <w:tabs>
          <w:tab w:val="clear" w:pos="927"/>
        </w:tabs>
        <w:spacing w:after="120" w:line="288" w:lineRule="auto"/>
        <w:ind w:left="284" w:hanging="284"/>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Tato Prováděcí smlouva může být ukončena výhradně následujícími způsoby:</w:t>
      </w:r>
    </w:p>
    <w:p w14:paraId="4A262D46"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uplynutím doby její účinnosti;</w:t>
      </w:r>
    </w:p>
    <w:p w14:paraId="35A3BFA1"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písemnou dohodou Smluvních stran;</w:t>
      </w:r>
    </w:p>
    <w:p w14:paraId="65FB5E39"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odstoupením Objednatele od této Prováděcí smlouvy dle odst. 3 tohoto článku Prováděcí smlouvy;</w:t>
      </w:r>
    </w:p>
    <w:p w14:paraId="775AAFA2"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odstoupením Dodavatele od této Prováděcí smlouvy dle odst. 4 tohoto článku Prováděcí smlouvy.</w:t>
      </w:r>
    </w:p>
    <w:p w14:paraId="6D10CE83" w14:textId="77777777" w:rsidR="009030C9" w:rsidRPr="007E197F" w:rsidRDefault="009030C9" w:rsidP="004F7CE0">
      <w:pPr>
        <w:pStyle w:val="CZodstavec"/>
        <w:numPr>
          <w:ilvl w:val="0"/>
          <w:numId w:val="18"/>
        </w:numPr>
        <w:rPr>
          <w:rFonts w:ascii="Times New Roman" w:hAnsi="Times New Roman"/>
          <w:sz w:val="24"/>
        </w:rPr>
      </w:pPr>
      <w:r w:rsidRPr="007E197F">
        <w:rPr>
          <w:rFonts w:ascii="Times New Roman" w:hAnsi="Times New Roman"/>
          <w:sz w:val="24"/>
        </w:rPr>
        <w:t>Objednatel může od této Prováděcí smlouvy okamžitě odstoupit, pokud:</w:t>
      </w:r>
    </w:p>
    <w:p w14:paraId="38CF70C0"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je v prodlení s poskytnutím jakéhokoliv plnění dle této Prováděcí smlouvy po dobu delší než patnáct (15) dnů; nebo</w:t>
      </w:r>
    </w:p>
    <w:p w14:paraId="092544A7"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je déle než patnáct (15) dnů v prodlení s odstraněním vad plnění dle této Prováděcí smlouvy;</w:t>
      </w:r>
    </w:p>
    <w:p w14:paraId="75C77868"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kvalita či jakost plnění dodaného dle této Prováděcí smlouvy opakovaně, tj. nejméně 3 krát, vykáže nižší než smluvenou kvalitu či jakost; </w:t>
      </w:r>
    </w:p>
    <w:p w14:paraId="00632166"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poruší svou povinnost dle této Prováděcí smlouvy a nezjedná nápravu ani v dodatečné lhůtě stanovenou mu Objednatelem, která nesmí být kratší deseti (10) dnů;</w:t>
      </w:r>
    </w:p>
    <w:p w14:paraId="76050404"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397815FA"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přestane být držitelem certifikace společnosti IBM v rozsahu uvedeném ustanovení článku VI odst. 1 písm. c) Rámcové dohody;</w:t>
      </w:r>
    </w:p>
    <w:p w14:paraId="4EEFD7BC"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není schopen poskytovat jakékoli plnění dle této Prováděcí smlouvy, a to ode dne, kdy Dodavatel písemně prohlásí, že není schopen jakékoliv plnění poskytovat;</w:t>
      </w:r>
    </w:p>
    <w:p w14:paraId="62341ED0" w14:textId="4B1D5B6B"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Objednatel zjistí, že Dodavatel nabízel, dával, přijímal nebo zprostředkovával jakékoliv hodnoty s cílem ovlivnit chování nebo jednání kohokoliv, ať již státního úředníka nebo někoho jiného, přímo nebo nepřímo, v zadávacím řízení této Prováděcí </w:t>
      </w:r>
      <w:r w:rsidRPr="007E197F">
        <w:rPr>
          <w:rFonts w:ascii="Times New Roman" w:eastAsia="Calibri" w:hAnsi="Times New Roman" w:cs="Times New Roman"/>
          <w:sz w:val="24"/>
          <w:szCs w:val="24"/>
          <w:lang w:eastAsia="cs-CZ"/>
        </w:rPr>
        <w:lastRenderedPageBreak/>
        <w:t>smlouvy, nebo při provádění této Prováděcí smlouvy, nebo zkresloval skutečnosti za</w:t>
      </w:r>
      <w:r w:rsidR="003849E1" w:rsidRPr="007E197F">
        <w:rPr>
          <w:rFonts w:ascii="Times New Roman" w:eastAsia="Calibri" w:hAnsi="Times New Roman" w:cs="Times New Roman"/>
          <w:sz w:val="24"/>
          <w:szCs w:val="24"/>
          <w:lang w:eastAsia="cs-CZ"/>
        </w:rPr>
        <w:t> </w:t>
      </w:r>
      <w:r w:rsidRPr="007E197F">
        <w:rPr>
          <w:rFonts w:ascii="Times New Roman" w:eastAsia="Calibri" w:hAnsi="Times New Roman" w:cs="Times New Roman"/>
          <w:sz w:val="24"/>
          <w:szCs w:val="24"/>
          <w:lang w:eastAsia="cs-CZ"/>
        </w:rPr>
        <w:t>účelem ovlivnění zadávacího řízení této Prováděcí smlouvy, nebo provádění této Prováděcí smlouvy ke škodě Objednatele, včetně užití podvodných praktik k</w:t>
      </w:r>
      <w:r w:rsidR="003849E1" w:rsidRPr="007E197F">
        <w:rPr>
          <w:rFonts w:ascii="Times New Roman" w:eastAsia="Calibri" w:hAnsi="Times New Roman" w:cs="Times New Roman"/>
          <w:sz w:val="24"/>
          <w:szCs w:val="24"/>
          <w:lang w:eastAsia="cs-CZ"/>
        </w:rPr>
        <w:t> </w:t>
      </w:r>
      <w:r w:rsidRPr="007E197F">
        <w:rPr>
          <w:rFonts w:ascii="Times New Roman" w:eastAsia="Calibri" w:hAnsi="Times New Roman" w:cs="Times New Roman"/>
          <w:sz w:val="24"/>
          <w:szCs w:val="24"/>
          <w:lang w:eastAsia="cs-CZ"/>
        </w:rPr>
        <w:t>potlačení a snížení výhod volné a otevřené soutěže.</w:t>
      </w:r>
    </w:p>
    <w:p w14:paraId="048EF166" w14:textId="77777777" w:rsidR="009030C9" w:rsidRPr="007E197F"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Dodavatel může od této Prováděcí smlouvy okamžitě odstoupit v případě:</w:t>
      </w:r>
    </w:p>
    <w:p w14:paraId="7ACF95BE"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prodlení Objednatele s úhradou ceny plnění dle této Prováděcí smlouvy nebo její části po dobu delší než třicet (30) dnů;</w:t>
      </w:r>
    </w:p>
    <w:p w14:paraId="08B08300" w14:textId="77777777" w:rsidR="009030C9" w:rsidRPr="007E197F"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14:paraId="769E5CE8" w14:textId="77777777" w:rsidR="009030C9" w:rsidRPr="007E197F"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45F1C2E" w14:textId="77777777" w:rsidR="009030C9" w:rsidRPr="007E197F"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Jakýkoliv úkon, vedoucí k ukončení této Prováděcí smlouvy, musí být učiněn v písemné formě a je účinný okamžikem jeho doručení Dodavateli. Zákonné důvody pro ukončení této Prováděcí smlouvy nejsou shora uvedeným dotčeny.</w:t>
      </w:r>
    </w:p>
    <w:p w14:paraId="175711DE" w14:textId="6478CF39" w:rsidR="009030C9" w:rsidRPr="007E197F" w:rsidRDefault="009030C9" w:rsidP="007536E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Výpověď a odstoupení od této Prováděcí smlouvy ze strany Objednatele nesmí být spojeno s uložením jakékoliv sankce k tíži Objednatele nebo Centrálního zadavatele.</w:t>
      </w:r>
    </w:p>
    <w:p w14:paraId="02552714" w14:textId="3228B657" w:rsidR="009030C9" w:rsidRPr="007E197F" w:rsidRDefault="009030C9" w:rsidP="009030C9">
      <w:pPr>
        <w:spacing w:after="0" w:line="240" w:lineRule="auto"/>
        <w:jc w:val="center"/>
        <w:rPr>
          <w:rFonts w:ascii="Times New Roman" w:eastAsia="Calibri" w:hAnsi="Times New Roman" w:cs="Times New Roman"/>
          <w:b/>
          <w:sz w:val="24"/>
          <w:szCs w:val="24"/>
          <w:lang w:eastAsia="cs-CZ"/>
        </w:rPr>
      </w:pPr>
    </w:p>
    <w:p w14:paraId="5EE7FC59" w14:textId="77777777" w:rsidR="003849E1" w:rsidRPr="007E197F" w:rsidRDefault="003849E1" w:rsidP="009030C9">
      <w:pPr>
        <w:spacing w:after="0" w:line="240" w:lineRule="auto"/>
        <w:jc w:val="center"/>
        <w:rPr>
          <w:rFonts w:ascii="Times New Roman" w:eastAsia="Calibri" w:hAnsi="Times New Roman" w:cs="Times New Roman"/>
          <w:b/>
          <w:sz w:val="24"/>
          <w:szCs w:val="24"/>
          <w:lang w:eastAsia="cs-CZ"/>
        </w:rPr>
      </w:pPr>
    </w:p>
    <w:p w14:paraId="17C8CAF0" w14:textId="77777777" w:rsidR="009030C9" w:rsidRPr="007E197F" w:rsidRDefault="009030C9" w:rsidP="009030C9">
      <w:pPr>
        <w:spacing w:after="0" w:line="240" w:lineRule="auto"/>
        <w:jc w:val="center"/>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Ostatní ujednání</w:t>
      </w:r>
    </w:p>
    <w:p w14:paraId="0D1E1429" w14:textId="77777777" w:rsidR="009030C9" w:rsidRPr="007E197F" w:rsidRDefault="009030C9" w:rsidP="009030C9">
      <w:pPr>
        <w:spacing w:after="120" w:line="288" w:lineRule="auto"/>
        <w:ind w:left="360"/>
        <w:jc w:val="both"/>
        <w:rPr>
          <w:rFonts w:ascii="Times New Roman" w:eastAsia="Calibri" w:hAnsi="Times New Roman" w:cs="Times New Roman"/>
          <w:sz w:val="24"/>
          <w:szCs w:val="24"/>
          <w:lang w:eastAsia="cs-CZ"/>
        </w:rPr>
      </w:pPr>
    </w:p>
    <w:p w14:paraId="55F83180" w14:textId="77777777" w:rsidR="009030C9" w:rsidRPr="007E197F" w:rsidRDefault="009030C9" w:rsidP="009030C9">
      <w:pPr>
        <w:numPr>
          <w:ilvl w:val="0"/>
          <w:numId w:val="10"/>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Veškerá ujednání této Prováděcí smlouvy navazují na Rámcovou dohodu a Rámcovou dohodou se řídí, tj. práva, povinnosti či skutečnosti neupravené v této Prováděcí smlouvě se řídí ustanoveními Rámcové dohody. </w:t>
      </w:r>
    </w:p>
    <w:p w14:paraId="2D8FD5B7" w14:textId="08D6C6E5" w:rsidR="009030C9" w:rsidRPr="007E197F"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V případě, že se ujednání obsažené v této Prováděcí smlouvě bude odchylovat od</w:t>
      </w:r>
      <w:r w:rsidR="003849E1" w:rsidRPr="007E197F">
        <w:rPr>
          <w:rFonts w:ascii="Times New Roman" w:eastAsia="Calibri" w:hAnsi="Times New Roman" w:cs="Times New Roman"/>
          <w:sz w:val="24"/>
          <w:szCs w:val="24"/>
          <w:lang w:eastAsia="cs-CZ"/>
        </w:rPr>
        <w:t> </w:t>
      </w:r>
      <w:r w:rsidRPr="007E197F">
        <w:rPr>
          <w:rFonts w:ascii="Times New Roman" w:eastAsia="Calibri" w:hAnsi="Times New Roman" w:cs="Times New Roman"/>
          <w:sz w:val="24"/>
          <w:szCs w:val="24"/>
          <w:lang w:eastAsia="cs-CZ"/>
        </w:rPr>
        <w:t>ustanovení obsaženého v Rámcové dohodě, má ujednání obsažené v Rámcové dohodě přednost před ustanovením obsaženým v této Prováděcí smlouvě. V otázkách touto Prováděcí smlouvou neupravených se použijí ustanovení Rámcové dohody.</w:t>
      </w:r>
    </w:p>
    <w:p w14:paraId="02069BA3" w14:textId="77777777" w:rsidR="009030C9" w:rsidRPr="007E197F"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528D5AA3" w14:textId="77777777" w:rsidR="009030C9" w:rsidRPr="007E197F"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lastRenderedPageBreak/>
        <w:t>Nedílnou součástí této Prováděcí smlouvy je následující příloha:</w:t>
      </w:r>
    </w:p>
    <w:p w14:paraId="13DAEF52" w14:textId="77777777" w:rsidR="009030C9" w:rsidRPr="007E197F" w:rsidRDefault="009030C9" w:rsidP="009030C9">
      <w:pPr>
        <w:spacing w:after="120" w:line="288" w:lineRule="auto"/>
        <w:ind w:left="360"/>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Příloha č. 1 – Podrobné vymezení plnění Dodavatele a vymezení ceny za plnění;</w:t>
      </w:r>
    </w:p>
    <w:p w14:paraId="511BC793" w14:textId="77777777" w:rsidR="007E3CD8" w:rsidRPr="007E197F" w:rsidRDefault="007E3CD8"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p>
    <w:p w14:paraId="31C42161" w14:textId="77777777" w:rsidR="009030C9" w:rsidRPr="007E197F" w:rsidRDefault="009030C9"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Tato Prováděcí smlouva je uzavírána smluvními stranami elektronicky.</w:t>
      </w:r>
    </w:p>
    <w:p w14:paraId="4C414AF2" w14:textId="521E9EBE" w:rsidR="009030C9" w:rsidRPr="007E197F" w:rsidRDefault="009030C9"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Na důkaz toho, že Smluvní strany s obsahem této Provád</w:t>
      </w:r>
      <w:r w:rsidR="003849E1" w:rsidRPr="007E197F">
        <w:rPr>
          <w:rFonts w:ascii="Times New Roman" w:eastAsia="Calibri" w:hAnsi="Times New Roman" w:cs="Times New Roman"/>
          <w:sz w:val="24"/>
          <w:szCs w:val="24"/>
          <w:lang w:eastAsia="cs-CZ"/>
        </w:rPr>
        <w:t xml:space="preserve">ěcí smlouvy souhlasí, rozumí jí </w:t>
      </w:r>
      <w:r w:rsidRPr="007E197F">
        <w:rPr>
          <w:rFonts w:ascii="Times New Roman" w:eastAsia="Calibri" w:hAnsi="Times New Roman" w:cs="Times New Roman"/>
          <w:sz w:val="24"/>
          <w:szCs w:val="24"/>
          <w:lang w:eastAsia="cs-CZ"/>
        </w:rPr>
        <w:t>a zavazují se k jejímu plnění, připojují své podpisy a prohlašují, že tato Prováděcí smlouva byla uzavřena podle jejich svobodné a vážné vůle prosté tísně.</w:t>
      </w:r>
    </w:p>
    <w:p w14:paraId="7FE51567"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p>
    <w:p w14:paraId="12731B6A" w14:textId="77777777" w:rsidR="00AE6263" w:rsidRPr="007E197F" w:rsidRDefault="00AE6263" w:rsidP="009030C9">
      <w:pPr>
        <w:spacing w:after="0" w:line="288" w:lineRule="auto"/>
        <w:jc w:val="both"/>
        <w:rPr>
          <w:rFonts w:ascii="Times New Roman" w:eastAsia="Calibri" w:hAnsi="Times New Roman" w:cs="Times New Roman"/>
          <w:b/>
          <w:sz w:val="24"/>
          <w:szCs w:val="24"/>
          <w:lang w:eastAsia="cs-CZ"/>
        </w:rPr>
      </w:pPr>
    </w:p>
    <w:p w14:paraId="64EF62E2" w14:textId="77777777" w:rsidR="009030C9" w:rsidRPr="007E197F" w:rsidRDefault="009030C9" w:rsidP="009030C9">
      <w:pPr>
        <w:spacing w:after="0" w:line="288" w:lineRule="auto"/>
        <w:jc w:val="both"/>
        <w:rPr>
          <w:rFonts w:ascii="Times New Roman" w:eastAsia="Calibri" w:hAnsi="Times New Roman" w:cs="Times New Roman"/>
          <w:b/>
          <w:sz w:val="24"/>
          <w:szCs w:val="24"/>
          <w:lang w:eastAsia="cs-CZ"/>
        </w:rPr>
      </w:pPr>
      <w:r w:rsidRPr="007E197F">
        <w:rPr>
          <w:rFonts w:ascii="Times New Roman" w:eastAsia="Calibri" w:hAnsi="Times New Roman" w:cs="Times New Roman"/>
          <w:b/>
          <w:sz w:val="24"/>
          <w:szCs w:val="24"/>
          <w:lang w:eastAsia="cs-CZ"/>
        </w:rPr>
        <w:t>Objednatel</w:t>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r>
      <w:r w:rsidRPr="007E197F">
        <w:rPr>
          <w:rFonts w:ascii="Times New Roman" w:eastAsia="Calibri" w:hAnsi="Times New Roman" w:cs="Times New Roman"/>
          <w:b/>
          <w:sz w:val="24"/>
          <w:szCs w:val="24"/>
          <w:lang w:eastAsia="cs-CZ"/>
        </w:rPr>
        <w:tab/>
        <w:t>Dodavatel</w:t>
      </w:r>
    </w:p>
    <w:p w14:paraId="4EB16CD7" w14:textId="10BD8A40" w:rsidR="009030C9" w:rsidRPr="007E197F" w:rsidRDefault="009030C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V</w:t>
      </w:r>
      <w:r w:rsidR="004016FC" w:rsidRPr="007E197F">
        <w:rPr>
          <w:rFonts w:ascii="Times New Roman" w:eastAsia="Calibri" w:hAnsi="Times New Roman" w:cs="Times New Roman"/>
          <w:sz w:val="24"/>
          <w:szCs w:val="24"/>
          <w:lang w:eastAsia="cs-CZ"/>
        </w:rPr>
        <w:t> </w:t>
      </w:r>
      <w:r w:rsidR="004F7CE0" w:rsidRPr="007E197F">
        <w:rPr>
          <w:rFonts w:ascii="Times New Roman" w:eastAsia="Calibri" w:hAnsi="Times New Roman" w:cs="Times New Roman"/>
          <w:sz w:val="24"/>
          <w:szCs w:val="24"/>
          <w:lang w:eastAsia="cs-CZ"/>
        </w:rPr>
        <w:t>Chrudimi</w:t>
      </w:r>
      <w:r w:rsidRPr="007E197F">
        <w:rPr>
          <w:rFonts w:ascii="Times New Roman" w:eastAsia="Calibri" w:hAnsi="Times New Roman" w:cs="Times New Roman"/>
          <w:sz w:val="24"/>
          <w:szCs w:val="24"/>
          <w:lang w:eastAsia="cs-CZ"/>
        </w:rPr>
        <w:t xml:space="preserve"> dne </w:t>
      </w:r>
      <w:r w:rsidR="00360DCE" w:rsidRPr="007E197F">
        <w:rPr>
          <w:rFonts w:ascii="Times New Roman" w:eastAsia="Calibri" w:hAnsi="Times New Roman" w:cs="Times New Roman"/>
          <w:sz w:val="24"/>
          <w:szCs w:val="24"/>
          <w:lang w:eastAsia="cs-CZ"/>
        </w:rPr>
        <w:t xml:space="preserve">- dle </w:t>
      </w:r>
      <w:proofErr w:type="spellStart"/>
      <w:proofErr w:type="gramStart"/>
      <w:r w:rsidR="00360DCE" w:rsidRPr="007E197F">
        <w:rPr>
          <w:rFonts w:ascii="Times New Roman" w:eastAsia="Calibri" w:hAnsi="Times New Roman" w:cs="Times New Roman"/>
          <w:sz w:val="24"/>
          <w:szCs w:val="24"/>
          <w:lang w:eastAsia="cs-CZ"/>
        </w:rPr>
        <w:t>el</w:t>
      </w:r>
      <w:proofErr w:type="gramEnd"/>
      <w:r w:rsidR="00360DCE" w:rsidRPr="007E197F">
        <w:rPr>
          <w:rFonts w:ascii="Times New Roman" w:eastAsia="Calibri" w:hAnsi="Times New Roman" w:cs="Times New Roman"/>
          <w:sz w:val="24"/>
          <w:szCs w:val="24"/>
          <w:lang w:eastAsia="cs-CZ"/>
        </w:rPr>
        <w:t>.</w:t>
      </w:r>
      <w:proofErr w:type="gramStart"/>
      <w:r w:rsidR="00360DCE" w:rsidRPr="007E197F">
        <w:rPr>
          <w:rFonts w:ascii="Times New Roman" w:eastAsia="Calibri" w:hAnsi="Times New Roman" w:cs="Times New Roman"/>
          <w:sz w:val="24"/>
          <w:szCs w:val="24"/>
          <w:lang w:eastAsia="cs-CZ"/>
        </w:rPr>
        <w:t>podpisu</w:t>
      </w:r>
      <w:proofErr w:type="spellEnd"/>
      <w:proofErr w:type="gramEnd"/>
      <w:r w:rsidR="00360DCE" w:rsidRPr="007E197F">
        <w:rPr>
          <w:rFonts w:ascii="Times New Roman" w:eastAsia="Calibri" w:hAnsi="Times New Roman" w:cs="Times New Roman"/>
          <w:sz w:val="24"/>
          <w:szCs w:val="24"/>
          <w:lang w:eastAsia="cs-CZ"/>
        </w:rPr>
        <w:tab/>
      </w:r>
      <w:r w:rsidR="00360DCE" w:rsidRPr="007E197F">
        <w:rPr>
          <w:rFonts w:ascii="Times New Roman" w:eastAsia="Calibri" w:hAnsi="Times New Roman" w:cs="Times New Roman"/>
          <w:sz w:val="24"/>
          <w:szCs w:val="24"/>
          <w:lang w:eastAsia="cs-CZ"/>
        </w:rPr>
        <w:tab/>
      </w:r>
      <w:r w:rsidR="00360DCE" w:rsidRPr="007E197F">
        <w:rPr>
          <w:rFonts w:ascii="Times New Roman" w:eastAsia="Calibri" w:hAnsi="Times New Roman" w:cs="Times New Roman"/>
          <w:sz w:val="24"/>
          <w:szCs w:val="24"/>
          <w:lang w:eastAsia="cs-CZ"/>
        </w:rPr>
        <w:tab/>
      </w:r>
      <w:r w:rsidR="004C5F87" w:rsidRPr="007E197F">
        <w:rPr>
          <w:rFonts w:ascii="Times New Roman" w:eastAsia="Calibri" w:hAnsi="Times New Roman" w:cs="Times New Roman"/>
          <w:sz w:val="24"/>
          <w:szCs w:val="24"/>
          <w:lang w:eastAsia="cs-CZ"/>
        </w:rPr>
        <w:t xml:space="preserve"> </w:t>
      </w:r>
      <w:r w:rsidRPr="007E197F">
        <w:rPr>
          <w:rFonts w:ascii="Times New Roman" w:eastAsia="Calibri" w:hAnsi="Times New Roman" w:cs="Times New Roman"/>
          <w:sz w:val="24"/>
          <w:szCs w:val="24"/>
          <w:lang w:eastAsia="cs-CZ"/>
        </w:rPr>
        <w:t>V</w:t>
      </w:r>
      <w:r w:rsidR="007536E9" w:rsidRPr="007E197F">
        <w:rPr>
          <w:rFonts w:ascii="Times New Roman" w:eastAsia="Calibri" w:hAnsi="Times New Roman" w:cs="Times New Roman"/>
          <w:sz w:val="24"/>
          <w:szCs w:val="24"/>
          <w:lang w:eastAsia="cs-CZ"/>
        </w:rPr>
        <w:t xml:space="preserve">e Smiřicích </w:t>
      </w:r>
      <w:r w:rsidRPr="007E197F">
        <w:rPr>
          <w:rFonts w:ascii="Times New Roman" w:eastAsia="Calibri" w:hAnsi="Times New Roman" w:cs="Times New Roman"/>
          <w:sz w:val="24"/>
          <w:szCs w:val="24"/>
          <w:lang w:eastAsia="cs-CZ"/>
        </w:rPr>
        <w:t>dne</w:t>
      </w:r>
      <w:r w:rsidR="00360DCE" w:rsidRPr="007E197F">
        <w:rPr>
          <w:rFonts w:ascii="Times New Roman" w:eastAsia="Calibri" w:hAnsi="Times New Roman" w:cs="Times New Roman"/>
          <w:sz w:val="24"/>
          <w:szCs w:val="24"/>
          <w:lang w:eastAsia="cs-CZ"/>
        </w:rPr>
        <w:t xml:space="preserve"> - dle </w:t>
      </w:r>
      <w:proofErr w:type="spellStart"/>
      <w:r w:rsidR="00360DCE" w:rsidRPr="007E197F">
        <w:rPr>
          <w:rFonts w:ascii="Times New Roman" w:eastAsia="Calibri" w:hAnsi="Times New Roman" w:cs="Times New Roman"/>
          <w:sz w:val="24"/>
          <w:szCs w:val="24"/>
          <w:lang w:eastAsia="cs-CZ"/>
        </w:rPr>
        <w:t>el.podpisu</w:t>
      </w:r>
      <w:proofErr w:type="spellEnd"/>
      <w:r w:rsidRPr="007E197F">
        <w:rPr>
          <w:rFonts w:ascii="Times New Roman" w:eastAsia="Calibri" w:hAnsi="Times New Roman" w:cs="Times New Roman"/>
          <w:sz w:val="24"/>
          <w:szCs w:val="24"/>
          <w:lang w:eastAsia="cs-CZ"/>
        </w:rPr>
        <w:tab/>
      </w:r>
    </w:p>
    <w:p w14:paraId="07A94DCC"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051A4ED9" w14:textId="77777777" w:rsidR="004F7CE0" w:rsidRPr="007E197F" w:rsidRDefault="004F7CE0" w:rsidP="009030C9">
      <w:pPr>
        <w:spacing w:after="0" w:line="288" w:lineRule="auto"/>
        <w:jc w:val="both"/>
        <w:rPr>
          <w:rFonts w:ascii="Times New Roman" w:eastAsia="Calibri" w:hAnsi="Times New Roman" w:cs="Times New Roman"/>
          <w:sz w:val="24"/>
          <w:szCs w:val="24"/>
          <w:lang w:eastAsia="cs-CZ"/>
        </w:rPr>
      </w:pPr>
    </w:p>
    <w:p w14:paraId="5D4F9619" w14:textId="77777777" w:rsidR="004F7CE0" w:rsidRPr="007E197F" w:rsidRDefault="004F7CE0" w:rsidP="009030C9">
      <w:pPr>
        <w:spacing w:after="0" w:line="288" w:lineRule="auto"/>
        <w:jc w:val="both"/>
        <w:rPr>
          <w:rFonts w:ascii="Times New Roman" w:eastAsia="Calibri" w:hAnsi="Times New Roman" w:cs="Times New Roman"/>
          <w:sz w:val="24"/>
          <w:szCs w:val="24"/>
          <w:lang w:eastAsia="cs-CZ"/>
        </w:rPr>
      </w:pPr>
    </w:p>
    <w:p w14:paraId="513E30EC" w14:textId="77777777" w:rsidR="00AE6263" w:rsidRPr="007E197F" w:rsidRDefault="00AE6263" w:rsidP="009030C9">
      <w:pPr>
        <w:spacing w:after="0" w:line="288" w:lineRule="auto"/>
        <w:jc w:val="both"/>
        <w:rPr>
          <w:rFonts w:ascii="Times New Roman" w:eastAsia="Calibri" w:hAnsi="Times New Roman" w:cs="Times New Roman"/>
          <w:sz w:val="24"/>
          <w:szCs w:val="24"/>
          <w:lang w:eastAsia="cs-CZ"/>
        </w:rPr>
      </w:pPr>
    </w:p>
    <w:p w14:paraId="59E7A087" w14:textId="77777777" w:rsidR="004F7CE0" w:rsidRPr="007E197F" w:rsidRDefault="004F7CE0" w:rsidP="009030C9">
      <w:pPr>
        <w:spacing w:after="0" w:line="288" w:lineRule="auto"/>
        <w:jc w:val="both"/>
        <w:rPr>
          <w:rFonts w:ascii="Times New Roman" w:eastAsia="Calibri" w:hAnsi="Times New Roman" w:cs="Times New Roman"/>
          <w:sz w:val="24"/>
          <w:szCs w:val="24"/>
          <w:lang w:eastAsia="cs-CZ"/>
        </w:rPr>
      </w:pPr>
    </w:p>
    <w:p w14:paraId="2606503C"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w:t>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w:t>
      </w:r>
    </w:p>
    <w:p w14:paraId="5B40C491" w14:textId="6CB2DCE1" w:rsidR="009030C9" w:rsidRPr="007E197F" w:rsidRDefault="0065322E"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 xml:space="preserve">JUDr. </w:t>
      </w:r>
      <w:r w:rsidR="004F7CE0" w:rsidRPr="007E197F">
        <w:rPr>
          <w:rFonts w:ascii="Times New Roman" w:eastAsia="Calibri" w:hAnsi="Times New Roman" w:cs="Times New Roman"/>
          <w:sz w:val="24"/>
          <w:szCs w:val="24"/>
          <w:lang w:eastAsia="cs-CZ"/>
        </w:rPr>
        <w:t>Milan Špryňar</w:t>
      </w:r>
      <w:r w:rsidR="009030C9" w:rsidRPr="007E197F">
        <w:rPr>
          <w:rFonts w:ascii="Times New Roman" w:eastAsia="Calibri" w:hAnsi="Times New Roman" w:cs="Times New Roman"/>
          <w:sz w:val="24"/>
          <w:szCs w:val="24"/>
          <w:lang w:eastAsia="cs-CZ"/>
        </w:rPr>
        <w:tab/>
      </w:r>
      <w:r w:rsidR="009030C9" w:rsidRPr="007E197F">
        <w:rPr>
          <w:rFonts w:ascii="Times New Roman" w:eastAsia="Calibri" w:hAnsi="Times New Roman" w:cs="Times New Roman"/>
          <w:sz w:val="24"/>
          <w:szCs w:val="24"/>
          <w:lang w:eastAsia="cs-CZ"/>
        </w:rPr>
        <w:tab/>
      </w:r>
      <w:r w:rsidR="009030C9"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 xml:space="preserve">   </w:t>
      </w:r>
      <w:r w:rsidR="004F7CE0" w:rsidRPr="007E197F">
        <w:rPr>
          <w:rFonts w:ascii="Times New Roman" w:eastAsia="Calibri" w:hAnsi="Times New Roman" w:cs="Times New Roman"/>
          <w:sz w:val="24"/>
          <w:szCs w:val="24"/>
          <w:lang w:eastAsia="cs-CZ"/>
        </w:rPr>
        <w:t xml:space="preserve">                     </w:t>
      </w:r>
      <w:r w:rsidR="007536E9" w:rsidRPr="007E197F">
        <w:rPr>
          <w:rFonts w:ascii="Times New Roman" w:eastAsia="Calibri" w:hAnsi="Times New Roman" w:cs="Times New Roman"/>
          <w:sz w:val="24"/>
          <w:szCs w:val="24"/>
          <w:lang w:eastAsia="cs-CZ"/>
        </w:rPr>
        <w:t>Ing. Josef Středa</w:t>
      </w:r>
    </w:p>
    <w:p w14:paraId="5EC1E669" w14:textId="20F953F1" w:rsidR="009030C9" w:rsidRPr="007E197F" w:rsidRDefault="0065322E"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předseda soudu</w:t>
      </w:r>
      <w:r w:rsidR="009030C9" w:rsidRPr="007E197F">
        <w:rPr>
          <w:rFonts w:ascii="Times New Roman" w:eastAsia="Calibri" w:hAnsi="Times New Roman" w:cs="Times New Roman"/>
          <w:sz w:val="24"/>
          <w:szCs w:val="24"/>
          <w:lang w:eastAsia="cs-CZ"/>
        </w:rPr>
        <w:tab/>
      </w:r>
      <w:r w:rsidR="009030C9" w:rsidRPr="007E197F">
        <w:rPr>
          <w:rFonts w:ascii="Times New Roman" w:eastAsia="Calibri" w:hAnsi="Times New Roman" w:cs="Times New Roman"/>
          <w:sz w:val="24"/>
          <w:szCs w:val="24"/>
          <w:lang w:eastAsia="cs-CZ"/>
        </w:rPr>
        <w:tab/>
      </w:r>
      <w:r w:rsidR="009030C9" w:rsidRPr="007E197F">
        <w:rPr>
          <w:rFonts w:ascii="Times New Roman" w:eastAsia="Calibri" w:hAnsi="Times New Roman" w:cs="Times New Roman"/>
          <w:sz w:val="24"/>
          <w:szCs w:val="24"/>
          <w:lang w:eastAsia="cs-CZ"/>
        </w:rPr>
        <w:tab/>
      </w:r>
      <w:r w:rsidR="009030C9" w:rsidRPr="007E197F">
        <w:rPr>
          <w:rFonts w:ascii="Times New Roman" w:eastAsia="Calibri" w:hAnsi="Times New Roman" w:cs="Times New Roman"/>
          <w:sz w:val="24"/>
          <w:szCs w:val="24"/>
          <w:lang w:eastAsia="cs-CZ"/>
        </w:rPr>
        <w:tab/>
      </w:r>
      <w:r w:rsidR="004F7CE0" w:rsidRPr="007E197F">
        <w:rPr>
          <w:rFonts w:ascii="Times New Roman" w:eastAsia="Calibri" w:hAnsi="Times New Roman" w:cs="Times New Roman"/>
          <w:sz w:val="24"/>
          <w:szCs w:val="24"/>
          <w:lang w:eastAsia="cs-CZ"/>
        </w:rPr>
        <w:t xml:space="preserve">     </w:t>
      </w:r>
      <w:r w:rsidR="004F7CE0" w:rsidRPr="007E197F">
        <w:rPr>
          <w:rFonts w:ascii="Times New Roman" w:eastAsia="Calibri" w:hAnsi="Times New Roman" w:cs="Times New Roman"/>
          <w:sz w:val="24"/>
          <w:szCs w:val="24"/>
          <w:lang w:eastAsia="cs-CZ"/>
        </w:rPr>
        <w:tab/>
      </w:r>
      <w:r w:rsidR="007536E9" w:rsidRPr="007E197F">
        <w:rPr>
          <w:rFonts w:ascii="Times New Roman" w:eastAsia="Calibri" w:hAnsi="Times New Roman" w:cs="Times New Roman"/>
          <w:sz w:val="24"/>
          <w:szCs w:val="24"/>
          <w:lang w:eastAsia="cs-CZ"/>
        </w:rPr>
        <w:t>ředitel RC,</w:t>
      </w:r>
    </w:p>
    <w:p w14:paraId="1FB06102" w14:textId="1C8F7989" w:rsidR="007536E9" w:rsidRPr="007E197F" w:rsidRDefault="007536E9" w:rsidP="009030C9">
      <w:pPr>
        <w:spacing w:after="0" w:line="288" w:lineRule="auto"/>
        <w:jc w:val="both"/>
        <w:rPr>
          <w:rFonts w:ascii="Times New Roman" w:eastAsia="Calibri" w:hAnsi="Times New Roman" w:cs="Times New Roman"/>
          <w:sz w:val="24"/>
          <w:szCs w:val="24"/>
          <w:lang w:eastAsia="cs-CZ"/>
        </w:rPr>
      </w:pP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r>
      <w:r w:rsidRPr="007E197F">
        <w:rPr>
          <w:rFonts w:ascii="Times New Roman" w:eastAsia="Calibri" w:hAnsi="Times New Roman" w:cs="Times New Roman"/>
          <w:sz w:val="24"/>
          <w:szCs w:val="24"/>
          <w:lang w:eastAsia="cs-CZ"/>
        </w:rPr>
        <w:tab/>
        <w:t>na základě plné moci</w:t>
      </w:r>
    </w:p>
    <w:p w14:paraId="4FB12E06" w14:textId="77777777" w:rsidR="009030C9" w:rsidRPr="007E197F" w:rsidRDefault="009030C9" w:rsidP="009030C9">
      <w:pPr>
        <w:spacing w:after="0" w:line="288" w:lineRule="auto"/>
        <w:jc w:val="both"/>
        <w:rPr>
          <w:rFonts w:ascii="Times New Roman" w:eastAsia="Calibri" w:hAnsi="Times New Roman" w:cs="Times New Roman"/>
          <w:sz w:val="24"/>
          <w:szCs w:val="24"/>
          <w:lang w:eastAsia="cs-CZ"/>
        </w:rPr>
      </w:pPr>
    </w:p>
    <w:p w14:paraId="5B3F7AE3" w14:textId="77777777" w:rsidR="009030C9" w:rsidRPr="007E197F" w:rsidRDefault="009030C9" w:rsidP="009030C9">
      <w:pPr>
        <w:spacing w:after="0" w:line="240" w:lineRule="auto"/>
        <w:rPr>
          <w:rFonts w:ascii="Times New Roman" w:eastAsia="Calibri" w:hAnsi="Times New Roman" w:cs="Times New Roman"/>
          <w:b/>
          <w:sz w:val="20"/>
          <w:szCs w:val="24"/>
          <w:lang w:eastAsia="cs-CZ"/>
        </w:rPr>
      </w:pPr>
      <w:r w:rsidRPr="007E197F">
        <w:rPr>
          <w:rFonts w:ascii="Times New Roman" w:eastAsia="Calibri" w:hAnsi="Times New Roman" w:cs="Times New Roman"/>
          <w:b/>
          <w:sz w:val="20"/>
          <w:szCs w:val="24"/>
          <w:lang w:eastAsia="cs-CZ"/>
        </w:rPr>
        <w:br w:type="page"/>
      </w:r>
    </w:p>
    <w:p w14:paraId="2D5A4715" w14:textId="77777777" w:rsidR="009030C9" w:rsidRPr="007E197F" w:rsidRDefault="009030C9" w:rsidP="009030C9">
      <w:pPr>
        <w:spacing w:after="0" w:line="288" w:lineRule="auto"/>
        <w:jc w:val="center"/>
        <w:rPr>
          <w:rFonts w:ascii="Calibri" w:eastAsia="Calibri" w:hAnsi="Calibri" w:cs="Calibri"/>
          <w:b/>
          <w:sz w:val="20"/>
          <w:szCs w:val="24"/>
          <w:lang w:eastAsia="cs-CZ"/>
        </w:rPr>
      </w:pPr>
      <w:r w:rsidRPr="007E197F">
        <w:rPr>
          <w:rFonts w:ascii="Calibri" w:eastAsia="Calibri" w:hAnsi="Calibri" w:cs="Calibri"/>
          <w:b/>
          <w:sz w:val="20"/>
          <w:szCs w:val="24"/>
          <w:lang w:eastAsia="cs-CZ"/>
        </w:rPr>
        <w:lastRenderedPageBreak/>
        <w:t>Příloha č. 1 Prováděcí smlouvy</w:t>
      </w:r>
    </w:p>
    <w:p w14:paraId="7B65CAB0" w14:textId="77777777" w:rsidR="009030C9" w:rsidRPr="007E197F" w:rsidRDefault="009030C9" w:rsidP="009030C9">
      <w:pPr>
        <w:spacing w:after="0" w:line="288" w:lineRule="auto"/>
        <w:jc w:val="center"/>
        <w:rPr>
          <w:rFonts w:ascii="Calibri" w:eastAsia="Calibri" w:hAnsi="Calibri" w:cs="Calibri"/>
          <w:b/>
          <w:sz w:val="20"/>
          <w:szCs w:val="24"/>
          <w:lang w:eastAsia="cs-CZ"/>
        </w:rPr>
      </w:pPr>
      <w:r w:rsidRPr="007E197F">
        <w:rPr>
          <w:rFonts w:ascii="Calibri" w:eastAsia="Calibri" w:hAnsi="Calibri" w:cs="Calibri"/>
          <w:b/>
          <w:sz w:val="20"/>
          <w:szCs w:val="24"/>
          <w:lang w:eastAsia="cs-CZ"/>
        </w:rPr>
        <w:t>Podrobné vymezení plnění Dodavatele a vymezení ceny za plnění</w:t>
      </w:r>
    </w:p>
    <w:p w14:paraId="0B1DCEE2" w14:textId="77777777" w:rsidR="009030C9" w:rsidRPr="007E197F" w:rsidRDefault="009030C9" w:rsidP="009030C9">
      <w:pPr>
        <w:spacing w:after="0" w:line="288" w:lineRule="auto"/>
        <w:jc w:val="both"/>
        <w:rPr>
          <w:rFonts w:ascii="Calibri" w:eastAsia="Calibri" w:hAnsi="Calibri" w:cs="Calibri"/>
          <w:i/>
          <w:sz w:val="20"/>
          <w:szCs w:val="24"/>
          <w:lang w:eastAsia="cs-CZ"/>
        </w:rPr>
      </w:pPr>
    </w:p>
    <w:p w14:paraId="11965AD8" w14:textId="77777777" w:rsidR="009030C9" w:rsidRPr="007E197F" w:rsidRDefault="009030C9" w:rsidP="009030C9">
      <w:pPr>
        <w:spacing w:after="0" w:line="288" w:lineRule="auto"/>
        <w:jc w:val="center"/>
        <w:rPr>
          <w:rFonts w:ascii="Calibri" w:eastAsia="Calibri" w:hAnsi="Calibri" w:cs="Calibri"/>
          <w:sz w:val="20"/>
          <w:szCs w:val="24"/>
          <w:lang w:eastAsia="cs-CZ"/>
        </w:rPr>
      </w:pPr>
    </w:p>
    <w:tbl>
      <w:tblPr>
        <w:tblStyle w:val="Mkatabulky"/>
        <w:tblW w:w="10230" w:type="dxa"/>
        <w:tblLayout w:type="fixed"/>
        <w:tblLook w:val="04A0" w:firstRow="1" w:lastRow="0" w:firstColumn="1" w:lastColumn="0" w:noHBand="0" w:noVBand="1"/>
      </w:tblPr>
      <w:tblGrid>
        <w:gridCol w:w="1055"/>
        <w:gridCol w:w="3707"/>
        <w:gridCol w:w="600"/>
        <w:gridCol w:w="1243"/>
        <w:gridCol w:w="1243"/>
        <w:gridCol w:w="1139"/>
        <w:gridCol w:w="1243"/>
      </w:tblGrid>
      <w:tr w:rsidR="006055AB" w:rsidRPr="007E197F" w14:paraId="5A9CE64A" w14:textId="77777777" w:rsidTr="006B604F">
        <w:trPr>
          <w:trHeight w:val="1238"/>
        </w:trPr>
        <w:tc>
          <w:tcPr>
            <w:tcW w:w="1055" w:type="dxa"/>
            <w:shd w:val="clear" w:color="auto" w:fill="D5DCE4" w:themeFill="text2" w:themeFillTint="33"/>
            <w:vAlign w:val="center"/>
          </w:tcPr>
          <w:p w14:paraId="5027C06C" w14:textId="77777777" w:rsidR="006055AB" w:rsidRPr="007E197F" w:rsidRDefault="006055AB" w:rsidP="006B604F">
            <w:pPr>
              <w:jc w:val="center"/>
              <w:rPr>
                <w:rFonts w:cs="Calibri"/>
                <w:b/>
              </w:rPr>
            </w:pPr>
            <w:r w:rsidRPr="007E197F">
              <w:rPr>
                <w:rFonts w:cs="Calibri"/>
                <w:b/>
              </w:rPr>
              <w:t>Kód produktu</w:t>
            </w:r>
          </w:p>
          <w:p w14:paraId="200DD2AB" w14:textId="77777777" w:rsidR="006055AB" w:rsidRPr="007E197F" w:rsidRDefault="006055AB" w:rsidP="006B604F">
            <w:pPr>
              <w:jc w:val="center"/>
              <w:rPr>
                <w:rFonts w:cs="Calibri"/>
                <w:b/>
              </w:rPr>
            </w:pPr>
            <w:r w:rsidRPr="007E197F">
              <w:rPr>
                <w:rFonts w:cs="Calibri"/>
                <w:b/>
              </w:rPr>
              <w:t xml:space="preserve">(Part </w:t>
            </w:r>
            <w:proofErr w:type="spellStart"/>
            <w:r w:rsidRPr="007E197F">
              <w:rPr>
                <w:rFonts w:cs="Calibri"/>
                <w:b/>
              </w:rPr>
              <w:t>Number</w:t>
            </w:r>
            <w:proofErr w:type="spellEnd"/>
            <w:r w:rsidRPr="007E197F">
              <w:rPr>
                <w:rFonts w:cs="Calibri"/>
                <w:b/>
              </w:rPr>
              <w:t>)</w:t>
            </w:r>
          </w:p>
        </w:tc>
        <w:tc>
          <w:tcPr>
            <w:tcW w:w="3707" w:type="dxa"/>
            <w:shd w:val="clear" w:color="auto" w:fill="D5DCE4" w:themeFill="text2" w:themeFillTint="33"/>
            <w:vAlign w:val="center"/>
          </w:tcPr>
          <w:p w14:paraId="4D579F05" w14:textId="77777777" w:rsidR="006055AB" w:rsidRPr="007E197F" w:rsidRDefault="006055AB" w:rsidP="006B604F">
            <w:pPr>
              <w:jc w:val="center"/>
              <w:rPr>
                <w:rFonts w:cs="Calibri"/>
                <w:b/>
              </w:rPr>
            </w:pPr>
            <w:r w:rsidRPr="007E197F">
              <w:rPr>
                <w:rFonts w:cs="Calibri"/>
                <w:b/>
              </w:rPr>
              <w:t>Název produktu</w:t>
            </w:r>
          </w:p>
        </w:tc>
        <w:tc>
          <w:tcPr>
            <w:tcW w:w="600" w:type="dxa"/>
            <w:shd w:val="clear" w:color="auto" w:fill="D5DCE4" w:themeFill="text2" w:themeFillTint="33"/>
            <w:vAlign w:val="center"/>
          </w:tcPr>
          <w:p w14:paraId="357C65CC" w14:textId="77777777" w:rsidR="006055AB" w:rsidRPr="007E197F" w:rsidRDefault="006055AB" w:rsidP="006B604F">
            <w:pPr>
              <w:jc w:val="center"/>
              <w:rPr>
                <w:rFonts w:cs="Calibri"/>
                <w:b/>
              </w:rPr>
            </w:pPr>
            <w:r w:rsidRPr="007E197F">
              <w:rPr>
                <w:rFonts w:cs="Calibri"/>
                <w:b/>
              </w:rPr>
              <w:t>Počet</w:t>
            </w:r>
          </w:p>
        </w:tc>
        <w:tc>
          <w:tcPr>
            <w:tcW w:w="1243" w:type="dxa"/>
            <w:shd w:val="clear" w:color="auto" w:fill="D5DCE4" w:themeFill="text2" w:themeFillTint="33"/>
            <w:vAlign w:val="center"/>
          </w:tcPr>
          <w:p w14:paraId="005A1AEE" w14:textId="77777777" w:rsidR="006055AB" w:rsidRPr="007E197F" w:rsidRDefault="006055AB" w:rsidP="006B604F">
            <w:pPr>
              <w:jc w:val="center"/>
              <w:rPr>
                <w:rFonts w:cs="Calibri"/>
                <w:b/>
              </w:rPr>
            </w:pPr>
            <w:r w:rsidRPr="007E197F">
              <w:rPr>
                <w:rFonts w:cs="Calibri"/>
                <w:b/>
              </w:rPr>
              <w:t>Cena za kus v Kč bez DPH</w:t>
            </w:r>
          </w:p>
        </w:tc>
        <w:tc>
          <w:tcPr>
            <w:tcW w:w="1243" w:type="dxa"/>
            <w:shd w:val="clear" w:color="auto" w:fill="D5DCE4" w:themeFill="text2" w:themeFillTint="33"/>
            <w:vAlign w:val="center"/>
          </w:tcPr>
          <w:p w14:paraId="1BC7CB72" w14:textId="77777777" w:rsidR="006055AB" w:rsidRPr="007E197F" w:rsidRDefault="006055AB" w:rsidP="006B604F">
            <w:pPr>
              <w:jc w:val="center"/>
              <w:rPr>
                <w:rFonts w:cs="Calibri"/>
                <w:b/>
              </w:rPr>
            </w:pPr>
            <w:r w:rsidRPr="007E197F">
              <w:rPr>
                <w:rFonts w:cs="Calibri"/>
                <w:b/>
              </w:rPr>
              <w:t>Cena celkem v Kč bez DPH</w:t>
            </w:r>
          </w:p>
        </w:tc>
        <w:tc>
          <w:tcPr>
            <w:tcW w:w="1139" w:type="dxa"/>
            <w:shd w:val="clear" w:color="auto" w:fill="D5DCE4" w:themeFill="text2" w:themeFillTint="33"/>
            <w:vAlign w:val="center"/>
          </w:tcPr>
          <w:p w14:paraId="5AD4839E" w14:textId="77777777" w:rsidR="006055AB" w:rsidRPr="007E197F" w:rsidRDefault="006055AB" w:rsidP="006B604F">
            <w:pPr>
              <w:jc w:val="center"/>
              <w:rPr>
                <w:rFonts w:cs="Calibri"/>
                <w:b/>
              </w:rPr>
            </w:pPr>
            <w:r w:rsidRPr="007E197F">
              <w:rPr>
                <w:rFonts w:cs="Calibri"/>
                <w:b/>
              </w:rPr>
              <w:t>Sazba DPH</w:t>
            </w:r>
          </w:p>
        </w:tc>
        <w:tc>
          <w:tcPr>
            <w:tcW w:w="1243" w:type="dxa"/>
            <w:shd w:val="clear" w:color="auto" w:fill="D5DCE4" w:themeFill="text2" w:themeFillTint="33"/>
            <w:vAlign w:val="center"/>
          </w:tcPr>
          <w:p w14:paraId="25CA3D42" w14:textId="77777777" w:rsidR="006055AB" w:rsidRPr="007E197F" w:rsidRDefault="006055AB" w:rsidP="006B604F">
            <w:pPr>
              <w:jc w:val="center"/>
              <w:rPr>
                <w:rFonts w:cs="Calibri"/>
                <w:b/>
              </w:rPr>
            </w:pPr>
            <w:r w:rsidRPr="007E197F">
              <w:rPr>
                <w:rFonts w:cs="Calibri"/>
                <w:b/>
              </w:rPr>
              <w:t>Cena celkem v Kč včetně DPH</w:t>
            </w:r>
          </w:p>
        </w:tc>
      </w:tr>
      <w:tr w:rsidR="006055AB" w:rsidRPr="007E197F" w14:paraId="727CB0A8" w14:textId="77777777" w:rsidTr="006B604F">
        <w:trPr>
          <w:trHeight w:val="1213"/>
        </w:trPr>
        <w:tc>
          <w:tcPr>
            <w:tcW w:w="1055" w:type="dxa"/>
          </w:tcPr>
          <w:p w14:paraId="503B9281" w14:textId="77777777" w:rsidR="006055AB" w:rsidRPr="007E197F" w:rsidRDefault="00AE6263" w:rsidP="006B604F">
            <w:pPr>
              <w:autoSpaceDE w:val="0"/>
              <w:autoSpaceDN w:val="0"/>
              <w:adjustRightInd w:val="0"/>
              <w:jc w:val="center"/>
              <w:rPr>
                <w:rFonts w:asciiTheme="minorHAnsi" w:eastAsiaTheme="minorHAnsi" w:hAnsiTheme="minorHAnsi" w:cstheme="minorHAnsi"/>
                <w:b/>
                <w:bCs/>
                <w:color w:val="000000"/>
                <w:lang w:eastAsia="en-US"/>
              </w:rPr>
            </w:pPr>
            <w:r w:rsidRPr="007E197F">
              <w:rPr>
                <w:rFonts w:asciiTheme="minorHAnsi" w:hAnsiTheme="minorHAnsi" w:cstheme="minorHAnsi"/>
                <w:b/>
              </w:rPr>
              <w:t>E0LW2LL</w:t>
            </w:r>
          </w:p>
        </w:tc>
        <w:tc>
          <w:tcPr>
            <w:tcW w:w="3707" w:type="dxa"/>
          </w:tcPr>
          <w:p w14:paraId="18702EBD" w14:textId="77777777" w:rsidR="00AE6263" w:rsidRPr="007E197F" w:rsidRDefault="00AE6263" w:rsidP="00AE6263">
            <w:pPr>
              <w:autoSpaceDE w:val="0"/>
              <w:autoSpaceDN w:val="0"/>
              <w:adjustRightInd w:val="0"/>
              <w:rPr>
                <w:rFonts w:asciiTheme="minorHAnsi" w:hAnsiTheme="minorHAnsi" w:cstheme="minorHAnsi"/>
                <w:sz w:val="24"/>
                <w:szCs w:val="24"/>
              </w:rPr>
            </w:pPr>
            <w:r w:rsidRPr="007E197F">
              <w:rPr>
                <w:rFonts w:asciiTheme="minorHAnsi" w:hAnsiTheme="minorHAnsi" w:cstheme="minorHAnsi"/>
                <w:sz w:val="24"/>
                <w:szCs w:val="24"/>
              </w:rPr>
              <w:t xml:space="preserve">IBM </w:t>
            </w:r>
            <w:proofErr w:type="spellStart"/>
            <w:r w:rsidRPr="007E197F">
              <w:rPr>
                <w:rFonts w:asciiTheme="minorHAnsi" w:hAnsiTheme="minorHAnsi" w:cstheme="minorHAnsi"/>
                <w:sz w:val="24"/>
                <w:szCs w:val="24"/>
              </w:rPr>
              <w:t>Spectrum</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Protect</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for</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Virtual</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Environments</w:t>
            </w:r>
            <w:proofErr w:type="spellEnd"/>
            <w:r w:rsidRPr="007E197F">
              <w:rPr>
                <w:rFonts w:asciiTheme="minorHAnsi" w:hAnsiTheme="minorHAnsi" w:cstheme="minorHAnsi"/>
                <w:sz w:val="24"/>
                <w:szCs w:val="24"/>
              </w:rPr>
              <w:t xml:space="preserve"> 10</w:t>
            </w:r>
          </w:p>
          <w:p w14:paraId="22BDD444" w14:textId="77777777" w:rsidR="00AE6263" w:rsidRPr="007E197F" w:rsidRDefault="00AE6263" w:rsidP="00AE6263">
            <w:pPr>
              <w:autoSpaceDE w:val="0"/>
              <w:autoSpaceDN w:val="0"/>
              <w:adjustRightInd w:val="0"/>
              <w:rPr>
                <w:rFonts w:asciiTheme="minorHAnsi" w:hAnsiTheme="minorHAnsi" w:cstheme="minorHAnsi"/>
                <w:sz w:val="24"/>
                <w:szCs w:val="24"/>
              </w:rPr>
            </w:pPr>
            <w:proofErr w:type="spellStart"/>
            <w:r w:rsidRPr="007E197F">
              <w:rPr>
                <w:rFonts w:asciiTheme="minorHAnsi" w:hAnsiTheme="minorHAnsi" w:cstheme="minorHAnsi"/>
                <w:sz w:val="24"/>
                <w:szCs w:val="24"/>
              </w:rPr>
              <w:t>Processor</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Value</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Units</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PVUs</w:t>
            </w:r>
            <w:proofErr w:type="spellEnd"/>
            <w:r w:rsidRPr="007E197F">
              <w:rPr>
                <w:rFonts w:asciiTheme="minorHAnsi" w:hAnsiTheme="minorHAnsi" w:cstheme="minorHAnsi"/>
                <w:sz w:val="24"/>
                <w:szCs w:val="24"/>
              </w:rPr>
              <w:t xml:space="preserve">) </w:t>
            </w:r>
            <w:proofErr w:type="spellStart"/>
            <w:r w:rsidRPr="007E197F">
              <w:rPr>
                <w:rFonts w:asciiTheme="minorHAnsi" w:hAnsiTheme="minorHAnsi" w:cstheme="minorHAnsi"/>
                <w:sz w:val="24"/>
                <w:szCs w:val="24"/>
              </w:rPr>
              <w:t>Annual</w:t>
            </w:r>
            <w:proofErr w:type="spellEnd"/>
            <w:r w:rsidRPr="007E197F">
              <w:rPr>
                <w:rFonts w:asciiTheme="minorHAnsi" w:hAnsiTheme="minorHAnsi" w:cstheme="minorHAnsi"/>
                <w:sz w:val="24"/>
                <w:szCs w:val="24"/>
              </w:rPr>
              <w:t xml:space="preserve"> SW</w:t>
            </w:r>
          </w:p>
          <w:p w14:paraId="6784F2BE" w14:textId="77777777" w:rsidR="00AE6263" w:rsidRPr="007E197F" w:rsidRDefault="00AE6263" w:rsidP="00AE6263">
            <w:pPr>
              <w:autoSpaceDE w:val="0"/>
              <w:autoSpaceDN w:val="0"/>
              <w:adjustRightInd w:val="0"/>
              <w:rPr>
                <w:rFonts w:asciiTheme="minorHAnsi" w:hAnsiTheme="minorHAnsi" w:cstheme="minorHAnsi"/>
                <w:sz w:val="24"/>
                <w:szCs w:val="24"/>
              </w:rPr>
            </w:pPr>
            <w:proofErr w:type="spellStart"/>
            <w:r w:rsidRPr="007E197F">
              <w:rPr>
                <w:rFonts w:asciiTheme="minorHAnsi" w:hAnsiTheme="minorHAnsi" w:cstheme="minorHAnsi"/>
                <w:sz w:val="24"/>
                <w:szCs w:val="24"/>
              </w:rPr>
              <w:t>Subscription</w:t>
            </w:r>
            <w:proofErr w:type="spellEnd"/>
            <w:r w:rsidRPr="007E197F">
              <w:rPr>
                <w:rFonts w:asciiTheme="minorHAnsi" w:hAnsiTheme="minorHAnsi" w:cstheme="minorHAnsi"/>
                <w:sz w:val="24"/>
                <w:szCs w:val="24"/>
              </w:rPr>
              <w:t xml:space="preserve"> &amp; Support </w:t>
            </w:r>
            <w:proofErr w:type="spellStart"/>
            <w:r w:rsidRPr="007E197F">
              <w:rPr>
                <w:rFonts w:asciiTheme="minorHAnsi" w:hAnsiTheme="minorHAnsi" w:cstheme="minorHAnsi"/>
                <w:sz w:val="24"/>
                <w:szCs w:val="24"/>
              </w:rPr>
              <w:t>Renewal</w:t>
            </w:r>
            <w:proofErr w:type="spellEnd"/>
          </w:p>
          <w:p w14:paraId="72614C25" w14:textId="1EB22714" w:rsidR="006055AB" w:rsidRPr="007E197F" w:rsidRDefault="00AE6263" w:rsidP="00360DCE">
            <w:pPr>
              <w:autoSpaceDE w:val="0"/>
              <w:autoSpaceDN w:val="0"/>
              <w:adjustRightInd w:val="0"/>
              <w:rPr>
                <w:rFonts w:ascii="Arial" w:eastAsiaTheme="minorHAnsi" w:hAnsi="Arial" w:cs="Arial"/>
                <w:color w:val="333333"/>
                <w:lang w:eastAsia="en-US"/>
              </w:rPr>
            </w:pPr>
            <w:r w:rsidRPr="007E197F">
              <w:rPr>
                <w:rFonts w:ascii="Arial" w:eastAsiaTheme="minorHAnsi" w:hAnsi="Arial" w:cs="Arial"/>
                <w:color w:val="333333"/>
                <w:lang w:eastAsia="en-US"/>
              </w:rPr>
              <w:t xml:space="preserve">- období od </w:t>
            </w:r>
            <w:proofErr w:type="gramStart"/>
            <w:r w:rsidRPr="007E197F">
              <w:rPr>
                <w:rFonts w:ascii="Arial" w:eastAsiaTheme="minorHAnsi" w:hAnsi="Arial" w:cs="Arial"/>
                <w:color w:val="333333"/>
                <w:lang w:eastAsia="en-US"/>
              </w:rPr>
              <w:t>1.1</w:t>
            </w:r>
            <w:r w:rsidR="00360DCE" w:rsidRPr="007E197F">
              <w:rPr>
                <w:rFonts w:ascii="Arial" w:eastAsiaTheme="minorHAnsi" w:hAnsi="Arial" w:cs="Arial"/>
                <w:color w:val="333333"/>
                <w:lang w:eastAsia="en-US"/>
              </w:rPr>
              <w:t>2</w:t>
            </w:r>
            <w:r w:rsidRPr="007E197F">
              <w:rPr>
                <w:rFonts w:ascii="Arial" w:eastAsiaTheme="minorHAnsi" w:hAnsi="Arial" w:cs="Arial"/>
                <w:color w:val="333333"/>
                <w:lang w:eastAsia="en-US"/>
              </w:rPr>
              <w:t>.2023</w:t>
            </w:r>
            <w:proofErr w:type="gramEnd"/>
            <w:r w:rsidRPr="007E197F">
              <w:rPr>
                <w:rFonts w:ascii="Arial" w:eastAsiaTheme="minorHAnsi" w:hAnsi="Arial" w:cs="Arial"/>
                <w:color w:val="333333"/>
                <w:lang w:eastAsia="en-US"/>
              </w:rPr>
              <w:t xml:space="preserve"> do 31.8.2024</w:t>
            </w:r>
          </w:p>
        </w:tc>
        <w:tc>
          <w:tcPr>
            <w:tcW w:w="600" w:type="dxa"/>
            <w:vAlign w:val="center"/>
          </w:tcPr>
          <w:p w14:paraId="19B32194" w14:textId="77777777" w:rsidR="006055AB" w:rsidRPr="007E197F" w:rsidRDefault="00270096" w:rsidP="006B604F">
            <w:pPr>
              <w:jc w:val="right"/>
              <w:rPr>
                <w:rFonts w:eastAsia="Times New Roman" w:cs="Calibri"/>
                <w:color w:val="000000"/>
              </w:rPr>
            </w:pPr>
            <w:r w:rsidRPr="007E197F">
              <w:rPr>
                <w:rFonts w:eastAsia="Times New Roman" w:cs="Calibri"/>
                <w:color w:val="000000"/>
              </w:rPr>
              <w:t>48</w:t>
            </w:r>
          </w:p>
          <w:p w14:paraId="081BE13E" w14:textId="77777777" w:rsidR="004C5F87" w:rsidRPr="007E197F" w:rsidRDefault="004C5F87" w:rsidP="006B604F">
            <w:pPr>
              <w:jc w:val="right"/>
              <w:rPr>
                <w:rFonts w:eastAsia="Times New Roman" w:cs="Calibri"/>
                <w:color w:val="000000"/>
              </w:rPr>
            </w:pPr>
          </w:p>
        </w:tc>
        <w:tc>
          <w:tcPr>
            <w:tcW w:w="1243" w:type="dxa"/>
            <w:vAlign w:val="center"/>
          </w:tcPr>
          <w:p w14:paraId="309CBD06" w14:textId="1FBDA389" w:rsidR="006055AB" w:rsidRPr="007E197F" w:rsidRDefault="007536E9" w:rsidP="006B604F">
            <w:pPr>
              <w:jc w:val="right"/>
              <w:rPr>
                <w:rFonts w:asciiTheme="minorHAnsi" w:hAnsiTheme="minorHAnsi" w:cstheme="minorHAnsi"/>
              </w:rPr>
            </w:pPr>
            <w:r w:rsidRPr="007E197F">
              <w:rPr>
                <w:rFonts w:asciiTheme="minorHAnsi" w:hAnsiTheme="minorHAnsi" w:cstheme="minorHAnsi"/>
              </w:rPr>
              <w:t>13,36</w:t>
            </w:r>
          </w:p>
        </w:tc>
        <w:tc>
          <w:tcPr>
            <w:tcW w:w="1243" w:type="dxa"/>
            <w:vAlign w:val="center"/>
          </w:tcPr>
          <w:p w14:paraId="080C5D2F" w14:textId="44478864" w:rsidR="006055AB" w:rsidRPr="007E197F" w:rsidRDefault="007536E9" w:rsidP="006B604F">
            <w:pPr>
              <w:jc w:val="right"/>
              <w:rPr>
                <w:rFonts w:asciiTheme="minorHAnsi" w:hAnsiTheme="minorHAnsi" w:cstheme="minorHAnsi"/>
              </w:rPr>
            </w:pPr>
            <w:r w:rsidRPr="007E197F">
              <w:rPr>
                <w:rFonts w:asciiTheme="minorHAnsi" w:hAnsiTheme="minorHAnsi" w:cstheme="minorHAnsi"/>
              </w:rPr>
              <w:t>5 771,52</w:t>
            </w:r>
          </w:p>
        </w:tc>
        <w:tc>
          <w:tcPr>
            <w:tcW w:w="1139" w:type="dxa"/>
            <w:vAlign w:val="center"/>
          </w:tcPr>
          <w:p w14:paraId="5D5F8AEC" w14:textId="6ACDFF1F" w:rsidR="006055AB" w:rsidRPr="007E197F" w:rsidRDefault="007536E9" w:rsidP="006B604F">
            <w:pPr>
              <w:jc w:val="center"/>
              <w:rPr>
                <w:rFonts w:asciiTheme="minorHAnsi" w:hAnsiTheme="minorHAnsi" w:cstheme="minorHAnsi"/>
              </w:rPr>
            </w:pPr>
            <w:r w:rsidRPr="007E197F">
              <w:rPr>
                <w:rFonts w:asciiTheme="minorHAnsi" w:hAnsiTheme="minorHAnsi" w:cstheme="minorHAnsi"/>
              </w:rPr>
              <w:t>21%</w:t>
            </w:r>
          </w:p>
        </w:tc>
        <w:tc>
          <w:tcPr>
            <w:tcW w:w="1243" w:type="dxa"/>
            <w:vAlign w:val="center"/>
          </w:tcPr>
          <w:p w14:paraId="35615813" w14:textId="23146388" w:rsidR="006055AB" w:rsidRPr="007E197F" w:rsidRDefault="007536E9" w:rsidP="006B604F">
            <w:pPr>
              <w:jc w:val="right"/>
              <w:rPr>
                <w:rFonts w:asciiTheme="minorHAnsi" w:hAnsiTheme="minorHAnsi" w:cstheme="minorHAnsi"/>
              </w:rPr>
            </w:pPr>
            <w:r w:rsidRPr="007E197F">
              <w:rPr>
                <w:rFonts w:asciiTheme="minorHAnsi" w:hAnsiTheme="minorHAnsi" w:cstheme="minorHAnsi"/>
              </w:rPr>
              <w:t>6 983,54</w:t>
            </w:r>
          </w:p>
        </w:tc>
      </w:tr>
      <w:tr w:rsidR="006055AB" w:rsidRPr="007E197F" w14:paraId="7C502019" w14:textId="77777777" w:rsidTr="006B604F">
        <w:trPr>
          <w:trHeight w:val="1238"/>
        </w:trPr>
        <w:tc>
          <w:tcPr>
            <w:tcW w:w="1055" w:type="dxa"/>
            <w:vAlign w:val="center"/>
          </w:tcPr>
          <w:p w14:paraId="3492227B" w14:textId="77777777" w:rsidR="006055AB" w:rsidRPr="007E197F" w:rsidRDefault="006055AB" w:rsidP="006055AB">
            <w:pPr>
              <w:rPr>
                <w:rFonts w:asciiTheme="minorHAnsi" w:hAnsiTheme="minorHAnsi" w:cstheme="minorHAnsi"/>
              </w:rPr>
            </w:pPr>
            <w:r w:rsidRPr="007E197F">
              <w:rPr>
                <w:rFonts w:asciiTheme="minorHAnsi" w:hAnsiTheme="minorHAnsi" w:cstheme="minorHAnsi"/>
              </w:rPr>
              <w:t>Celkem</w:t>
            </w:r>
          </w:p>
        </w:tc>
        <w:tc>
          <w:tcPr>
            <w:tcW w:w="3707" w:type="dxa"/>
            <w:vAlign w:val="center"/>
          </w:tcPr>
          <w:p w14:paraId="65418F7D" w14:textId="77777777" w:rsidR="006055AB" w:rsidRPr="007E197F" w:rsidRDefault="006055AB" w:rsidP="006055AB">
            <w:pPr>
              <w:rPr>
                <w:rFonts w:asciiTheme="minorHAnsi" w:hAnsiTheme="minorHAnsi" w:cstheme="minorHAnsi"/>
              </w:rPr>
            </w:pPr>
          </w:p>
        </w:tc>
        <w:tc>
          <w:tcPr>
            <w:tcW w:w="600" w:type="dxa"/>
            <w:vAlign w:val="center"/>
          </w:tcPr>
          <w:p w14:paraId="1F2AA134" w14:textId="77777777" w:rsidR="006055AB" w:rsidRPr="007E197F" w:rsidRDefault="006055AB" w:rsidP="006055AB">
            <w:pPr>
              <w:jc w:val="center"/>
              <w:rPr>
                <w:rFonts w:asciiTheme="minorHAnsi" w:hAnsiTheme="minorHAnsi" w:cstheme="minorHAnsi"/>
              </w:rPr>
            </w:pPr>
            <w:r w:rsidRPr="007E197F">
              <w:rPr>
                <w:rFonts w:asciiTheme="minorHAnsi" w:hAnsiTheme="minorHAnsi" w:cstheme="minorHAnsi"/>
              </w:rPr>
              <w:t>x</w:t>
            </w:r>
          </w:p>
        </w:tc>
        <w:tc>
          <w:tcPr>
            <w:tcW w:w="1243" w:type="dxa"/>
            <w:vAlign w:val="center"/>
          </w:tcPr>
          <w:p w14:paraId="417705DB" w14:textId="77777777" w:rsidR="006055AB" w:rsidRPr="007E197F" w:rsidRDefault="006055AB" w:rsidP="006055AB">
            <w:pPr>
              <w:jc w:val="right"/>
              <w:rPr>
                <w:rFonts w:asciiTheme="minorHAnsi" w:hAnsiTheme="minorHAnsi" w:cstheme="minorHAnsi"/>
                <w:highlight w:val="yellow"/>
              </w:rPr>
            </w:pPr>
            <w:r w:rsidRPr="007E197F">
              <w:rPr>
                <w:rFonts w:asciiTheme="minorHAnsi" w:hAnsiTheme="minorHAnsi" w:cstheme="minorHAnsi"/>
              </w:rPr>
              <w:t>x</w:t>
            </w:r>
          </w:p>
        </w:tc>
        <w:tc>
          <w:tcPr>
            <w:tcW w:w="1243" w:type="dxa"/>
            <w:vAlign w:val="center"/>
          </w:tcPr>
          <w:p w14:paraId="0E2884B8" w14:textId="7CF3ED77" w:rsidR="006055AB" w:rsidRPr="007E197F" w:rsidRDefault="007536E9" w:rsidP="006055AB">
            <w:pPr>
              <w:jc w:val="right"/>
              <w:rPr>
                <w:rFonts w:asciiTheme="minorHAnsi" w:hAnsiTheme="minorHAnsi" w:cstheme="minorHAnsi"/>
                <w:highlight w:val="yellow"/>
              </w:rPr>
            </w:pPr>
            <w:r w:rsidRPr="007E197F">
              <w:rPr>
                <w:rFonts w:asciiTheme="minorHAnsi" w:hAnsiTheme="minorHAnsi" w:cstheme="minorHAnsi"/>
              </w:rPr>
              <w:t>5 771,52 Kč</w:t>
            </w:r>
          </w:p>
        </w:tc>
        <w:tc>
          <w:tcPr>
            <w:tcW w:w="1139" w:type="dxa"/>
            <w:vAlign w:val="center"/>
          </w:tcPr>
          <w:p w14:paraId="4378385F" w14:textId="77777777" w:rsidR="006055AB" w:rsidRPr="007E197F" w:rsidRDefault="006055AB" w:rsidP="006055AB">
            <w:pPr>
              <w:jc w:val="right"/>
              <w:rPr>
                <w:rFonts w:asciiTheme="minorHAnsi" w:hAnsiTheme="minorHAnsi" w:cstheme="minorHAnsi"/>
                <w:highlight w:val="yellow"/>
              </w:rPr>
            </w:pPr>
            <w:r w:rsidRPr="007E197F">
              <w:rPr>
                <w:rFonts w:asciiTheme="minorHAnsi" w:hAnsiTheme="minorHAnsi" w:cstheme="minorHAnsi"/>
              </w:rPr>
              <w:t>x</w:t>
            </w:r>
          </w:p>
        </w:tc>
        <w:tc>
          <w:tcPr>
            <w:tcW w:w="1243" w:type="dxa"/>
            <w:vAlign w:val="center"/>
          </w:tcPr>
          <w:p w14:paraId="761770D2" w14:textId="4BF908DC" w:rsidR="006055AB" w:rsidRPr="007E197F" w:rsidRDefault="007536E9" w:rsidP="006055AB">
            <w:pPr>
              <w:jc w:val="right"/>
              <w:rPr>
                <w:rFonts w:asciiTheme="minorHAnsi" w:hAnsiTheme="minorHAnsi" w:cstheme="minorHAnsi"/>
                <w:highlight w:val="yellow"/>
              </w:rPr>
            </w:pPr>
            <w:r w:rsidRPr="007E197F">
              <w:rPr>
                <w:rFonts w:asciiTheme="minorHAnsi" w:hAnsiTheme="minorHAnsi" w:cstheme="minorHAnsi"/>
              </w:rPr>
              <w:t>6 983,54 Kč</w:t>
            </w:r>
          </w:p>
        </w:tc>
      </w:tr>
    </w:tbl>
    <w:p w14:paraId="28EC4A02" w14:textId="77777777" w:rsidR="006055AB" w:rsidRPr="007E197F" w:rsidRDefault="006055AB" w:rsidP="006055AB">
      <w:pPr>
        <w:rPr>
          <w:b/>
        </w:rPr>
      </w:pPr>
    </w:p>
    <w:p w14:paraId="0BDFEA00" w14:textId="77777777" w:rsidR="006055AB" w:rsidRPr="007E197F" w:rsidRDefault="006055AB" w:rsidP="006055AB">
      <w:pPr>
        <w:rPr>
          <w:b/>
        </w:rPr>
      </w:pPr>
    </w:p>
    <w:p w14:paraId="2820A91D" w14:textId="77777777" w:rsidR="00EE5327" w:rsidRPr="007E197F" w:rsidRDefault="00EE5327" w:rsidP="00C53484">
      <w:pPr>
        <w:spacing w:after="0" w:line="240" w:lineRule="auto"/>
        <w:rPr>
          <w:rFonts w:ascii="Calibri" w:eastAsia="Calibri" w:hAnsi="Calibri" w:cs="Calibri"/>
          <w:sz w:val="20"/>
          <w:szCs w:val="24"/>
          <w:lang w:eastAsia="cs-CZ"/>
        </w:rPr>
      </w:pPr>
    </w:p>
    <w:sectPr w:rsidR="00EE5327" w:rsidRPr="007E19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85556" w14:textId="77777777" w:rsidR="003B38C9" w:rsidRDefault="003B38C9" w:rsidP="00C002FB">
      <w:pPr>
        <w:spacing w:after="0" w:line="240" w:lineRule="auto"/>
      </w:pPr>
      <w:r>
        <w:separator/>
      </w:r>
    </w:p>
  </w:endnote>
  <w:endnote w:type="continuationSeparator" w:id="0">
    <w:p w14:paraId="6AE9BA87" w14:textId="77777777" w:rsidR="003B38C9" w:rsidRDefault="003B38C9" w:rsidP="00C0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9115"/>
      <w:docPartObj>
        <w:docPartGallery w:val="Page Numbers (Bottom of Page)"/>
        <w:docPartUnique/>
      </w:docPartObj>
    </w:sdtPr>
    <w:sdtEndPr/>
    <w:sdtContent>
      <w:p w14:paraId="26EA96CE" w14:textId="18183E7A" w:rsidR="00C002FB" w:rsidRDefault="00C002FB">
        <w:pPr>
          <w:pStyle w:val="Zpat"/>
          <w:jc w:val="center"/>
        </w:pPr>
        <w:r>
          <w:fldChar w:fldCharType="begin"/>
        </w:r>
        <w:r>
          <w:instrText>PAGE   \* MERGEFORMAT</w:instrText>
        </w:r>
        <w:r>
          <w:fldChar w:fldCharType="separate"/>
        </w:r>
        <w:r w:rsidR="007E197F">
          <w:rPr>
            <w:noProof/>
          </w:rPr>
          <w:t>7</w:t>
        </w:r>
        <w:r>
          <w:fldChar w:fldCharType="end"/>
        </w:r>
      </w:p>
    </w:sdtContent>
  </w:sdt>
  <w:p w14:paraId="10A829F1" w14:textId="77777777" w:rsidR="00C002FB" w:rsidRDefault="00C002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BF946" w14:textId="77777777" w:rsidR="003B38C9" w:rsidRDefault="003B38C9" w:rsidP="00C002FB">
      <w:pPr>
        <w:spacing w:after="0" w:line="240" w:lineRule="auto"/>
      </w:pPr>
      <w:r>
        <w:separator/>
      </w:r>
    </w:p>
  </w:footnote>
  <w:footnote w:type="continuationSeparator" w:id="0">
    <w:p w14:paraId="32564BFB" w14:textId="77777777" w:rsidR="003B38C9" w:rsidRDefault="003B38C9" w:rsidP="00C00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1BFA"/>
    <w:multiLevelType w:val="multilevel"/>
    <w:tmpl w:val="F482E9D8"/>
    <w:lvl w:ilvl="0">
      <w:start w:val="1"/>
      <w:numFmt w:val="upperRoman"/>
      <w:pStyle w:val="CZslolnku"/>
      <w:suff w:val="nothing"/>
      <w:lvlText w:val="%1."/>
      <w:lvlJc w:val="center"/>
      <w:pPr>
        <w:ind w:left="4609"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1B82905C"/>
    <w:lvl w:ilvl="0" w:tplc="295C0084">
      <w:start w:val="1"/>
      <w:numFmt w:val="decimal"/>
      <w:pStyle w:val="CZodstavec"/>
      <w:lvlText w:val="%1."/>
      <w:lvlJc w:val="left"/>
      <w:pPr>
        <w:tabs>
          <w:tab w:val="num" w:pos="360"/>
        </w:tabs>
        <w:ind w:left="360" w:hanging="360"/>
      </w:pPr>
      <w:rPr>
        <w:rFonts w:ascii="Times New Roman" w:eastAsia="Calibri" w:hAnsi="Times New Roman" w:cs="Times New Roman"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A87E25"/>
    <w:multiLevelType w:val="hybridMultilevel"/>
    <w:tmpl w:val="65FE6174"/>
    <w:lvl w:ilvl="0" w:tplc="76B69FB8">
      <w:start w:val="1"/>
      <w:numFmt w:val="decimal"/>
      <w:lvlText w:val="%1."/>
      <w:lvlJc w:val="left"/>
      <w:pPr>
        <w:tabs>
          <w:tab w:val="num" w:pos="360"/>
        </w:tabs>
        <w:ind w:left="360" w:hanging="360"/>
      </w:pPr>
      <w:rPr>
        <w:rFonts w:ascii="Times New Roman" w:eastAsia="Calibri" w:hAnsi="Times New Roman" w:cs="Times New Roman"/>
        <w:b w:val="0"/>
      </w:rPr>
    </w:lvl>
    <w:lvl w:ilvl="1" w:tplc="51B60552">
      <w:start w:val="1"/>
      <w:numFmt w:val="decimal"/>
      <w:lvlText w:val="%2."/>
      <w:lvlJc w:val="left"/>
      <w:pPr>
        <w:tabs>
          <w:tab w:val="num" w:pos="927"/>
        </w:tabs>
        <w:ind w:left="927" w:hanging="360"/>
      </w:pPr>
      <w:rPr>
        <w:rFonts w:hint="default"/>
        <w:b w:val="0"/>
        <w:i w:val="0"/>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6FF846DA"/>
    <w:multiLevelType w:val="hybridMultilevel"/>
    <w:tmpl w:val="5156DDE8"/>
    <w:lvl w:ilvl="0" w:tplc="A412EE58">
      <w:start w:val="1"/>
      <w:numFmt w:val="decimal"/>
      <w:lvlText w:val="%1."/>
      <w:lvlJc w:val="left"/>
      <w:pPr>
        <w:tabs>
          <w:tab w:val="num" w:pos="360"/>
        </w:tabs>
        <w:ind w:left="360" w:hanging="360"/>
      </w:pPr>
      <w:rPr>
        <w:rFonts w:ascii="Times New Roman" w:eastAsia="Calibri" w:hAnsi="Times New Roman" w:cs="Times New Roman"/>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num w:numId="1">
    <w:abstractNumId w:val="0"/>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4"/>
  </w:num>
  <w:num w:numId="13">
    <w:abstractNumId w:val="1"/>
  </w:num>
  <w:num w:numId="14">
    <w:abstractNumId w:val="1"/>
    <w:lvlOverride w:ilvl="0">
      <w:startOverride w:val="1"/>
    </w:lvlOverride>
  </w:num>
  <w:num w:numId="15">
    <w:abstractNumId w:val="1"/>
  </w:num>
  <w:num w:numId="16">
    <w:abstractNumId w:val="1"/>
    <w:lvlOverride w:ilvl="0">
      <w:startOverride w:val="1"/>
    </w:lvlOverride>
  </w:num>
  <w:num w:numId="17">
    <w:abstractNumId w:val="3"/>
  </w:num>
  <w:num w:numId="18">
    <w:abstractNumId w:val="1"/>
    <w:lvlOverride w:ilvl="0">
      <w:startOverride w:val="3"/>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Provadeci_smlouva_OSCR_IB 2023/08/30 13:12:03"/>
    <w:docVar w:name="DOKUMENT_ADRESAR_FS" w:val="C:\TMP\DB"/>
    <w:docVar w:name="DOKUMENT_AUTOMATICKE_UKLADANI" w:val="ANO"/>
    <w:docVar w:name="DOKUMENT_PERIODA_UKLADANI" w:val="5"/>
    <w:docVar w:name="DOKUMENT_ULOZIT_JAKO_DOCX" w:val="NE"/>
  </w:docVars>
  <w:rsids>
    <w:rsidRoot w:val="009030C9"/>
    <w:rsid w:val="00006C3D"/>
    <w:rsid w:val="0002379A"/>
    <w:rsid w:val="00105BD1"/>
    <w:rsid w:val="0012142C"/>
    <w:rsid w:val="001664CB"/>
    <w:rsid w:val="00197C21"/>
    <w:rsid w:val="001C4B22"/>
    <w:rsid w:val="001E319B"/>
    <w:rsid w:val="00243942"/>
    <w:rsid w:val="00270096"/>
    <w:rsid w:val="002841B4"/>
    <w:rsid w:val="00360DCE"/>
    <w:rsid w:val="003849E1"/>
    <w:rsid w:val="003B38C9"/>
    <w:rsid w:val="003B501E"/>
    <w:rsid w:val="004016FC"/>
    <w:rsid w:val="004C5F87"/>
    <w:rsid w:val="004F7CE0"/>
    <w:rsid w:val="0050468C"/>
    <w:rsid w:val="005E1307"/>
    <w:rsid w:val="006055AB"/>
    <w:rsid w:val="0065322E"/>
    <w:rsid w:val="0067771E"/>
    <w:rsid w:val="00691F2C"/>
    <w:rsid w:val="006A1784"/>
    <w:rsid w:val="007536E9"/>
    <w:rsid w:val="007909F3"/>
    <w:rsid w:val="007B0A68"/>
    <w:rsid w:val="007C39A6"/>
    <w:rsid w:val="007E197F"/>
    <w:rsid w:val="007E3CD8"/>
    <w:rsid w:val="007F6142"/>
    <w:rsid w:val="00891D46"/>
    <w:rsid w:val="009030C9"/>
    <w:rsid w:val="009A6782"/>
    <w:rsid w:val="009B073D"/>
    <w:rsid w:val="00A22232"/>
    <w:rsid w:val="00A625B3"/>
    <w:rsid w:val="00AE6263"/>
    <w:rsid w:val="00B26734"/>
    <w:rsid w:val="00B671EE"/>
    <w:rsid w:val="00C002FB"/>
    <w:rsid w:val="00C40D8B"/>
    <w:rsid w:val="00C432E5"/>
    <w:rsid w:val="00C53484"/>
    <w:rsid w:val="00D56772"/>
    <w:rsid w:val="00DD3871"/>
    <w:rsid w:val="00E15810"/>
    <w:rsid w:val="00E4044E"/>
    <w:rsid w:val="00E573A3"/>
    <w:rsid w:val="00EA4B4F"/>
    <w:rsid w:val="00EB2014"/>
    <w:rsid w:val="00EB3986"/>
    <w:rsid w:val="00EE5327"/>
    <w:rsid w:val="00F25BCF"/>
    <w:rsid w:val="00F406E6"/>
    <w:rsid w:val="00F90EA7"/>
    <w:rsid w:val="00FB7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98834"/>
  <w15:chartTrackingRefBased/>
  <w15:docId w15:val="{0507C1EE-4B59-4B72-950D-1797351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9030C9"/>
    <w:pPr>
      <w:numPr>
        <w:numId w:val="1"/>
      </w:numPr>
      <w:spacing w:before="360" w:after="120" w:line="240" w:lineRule="auto"/>
      <w:ind w:left="4751"/>
      <w:jc w:val="center"/>
    </w:pPr>
    <w:rPr>
      <w:rFonts w:ascii="Century Gothic" w:eastAsia="Calibri" w:hAnsi="Century Gothic" w:cs="Times New Roman"/>
      <w:b/>
      <w:sz w:val="20"/>
      <w:szCs w:val="24"/>
      <w:lang w:eastAsia="cs-CZ"/>
    </w:rPr>
  </w:style>
  <w:style w:type="paragraph" w:customStyle="1" w:styleId="CZodstavec">
    <w:name w:val="CZ odstavec"/>
    <w:rsid w:val="009030C9"/>
    <w:pPr>
      <w:numPr>
        <w:numId w:val="8"/>
      </w:numPr>
      <w:spacing w:after="120" w:line="288" w:lineRule="auto"/>
      <w:jc w:val="both"/>
    </w:pPr>
    <w:rPr>
      <w:rFonts w:ascii="Century Gothic" w:eastAsia="Calibri" w:hAnsi="Century Gothic" w:cs="Times New Roman"/>
      <w:sz w:val="20"/>
      <w:szCs w:val="24"/>
      <w:lang w:eastAsia="cs-CZ"/>
    </w:rPr>
  </w:style>
  <w:style w:type="paragraph" w:styleId="Odstavecseseznamem">
    <w:name w:val="List Paragraph"/>
    <w:basedOn w:val="Normln"/>
    <w:uiPriority w:val="34"/>
    <w:qFormat/>
    <w:rsid w:val="007C39A6"/>
    <w:pPr>
      <w:ind w:left="720"/>
      <w:contextualSpacing/>
    </w:pPr>
  </w:style>
  <w:style w:type="table" w:styleId="Mkatabulky">
    <w:name w:val="Table Grid"/>
    <w:basedOn w:val="Normlntabulka"/>
    <w:uiPriority w:val="59"/>
    <w:rsid w:val="006055A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F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1F2C"/>
    <w:rPr>
      <w:rFonts w:ascii="Segoe UI" w:hAnsi="Segoe UI" w:cs="Segoe UI"/>
      <w:sz w:val="18"/>
      <w:szCs w:val="18"/>
    </w:rPr>
  </w:style>
  <w:style w:type="paragraph" w:styleId="Zhlav">
    <w:name w:val="header"/>
    <w:basedOn w:val="Normln"/>
    <w:link w:val="ZhlavChar"/>
    <w:uiPriority w:val="99"/>
    <w:unhideWhenUsed/>
    <w:rsid w:val="00C00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02FB"/>
  </w:style>
  <w:style w:type="paragraph" w:styleId="Zpat">
    <w:name w:val="footer"/>
    <w:basedOn w:val="Normln"/>
    <w:link w:val="ZpatChar"/>
    <w:uiPriority w:val="99"/>
    <w:unhideWhenUsed/>
    <w:rsid w:val="00C00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C0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38734">
      <w:bodyDiv w:val="1"/>
      <w:marLeft w:val="0"/>
      <w:marRight w:val="0"/>
      <w:marTop w:val="0"/>
      <w:marBottom w:val="0"/>
      <w:divBdr>
        <w:top w:val="none" w:sz="0" w:space="0" w:color="auto"/>
        <w:left w:val="none" w:sz="0" w:space="0" w:color="auto"/>
        <w:bottom w:val="none" w:sz="0" w:space="0" w:color="auto"/>
        <w:right w:val="none" w:sz="0" w:space="0" w:color="auto"/>
      </w:divBdr>
    </w:div>
    <w:div w:id="793868174">
      <w:bodyDiv w:val="1"/>
      <w:marLeft w:val="0"/>
      <w:marRight w:val="0"/>
      <w:marTop w:val="0"/>
      <w:marBottom w:val="0"/>
      <w:divBdr>
        <w:top w:val="none" w:sz="0" w:space="0" w:color="auto"/>
        <w:left w:val="none" w:sz="0" w:space="0" w:color="auto"/>
        <w:bottom w:val="none" w:sz="0" w:space="0" w:color="auto"/>
        <w:right w:val="none" w:sz="0" w:space="0" w:color="auto"/>
      </w:divBdr>
    </w:div>
    <w:div w:id="902108378">
      <w:bodyDiv w:val="1"/>
      <w:marLeft w:val="0"/>
      <w:marRight w:val="0"/>
      <w:marTop w:val="0"/>
      <w:marBottom w:val="0"/>
      <w:divBdr>
        <w:top w:val="none" w:sz="0" w:space="0" w:color="auto"/>
        <w:left w:val="none" w:sz="0" w:space="0" w:color="auto"/>
        <w:bottom w:val="none" w:sz="0" w:space="0" w:color="auto"/>
        <w:right w:val="none" w:sz="0" w:space="0" w:color="auto"/>
      </w:divBdr>
    </w:div>
    <w:div w:id="1200119273">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Template>
  <TotalTime>5</TotalTime>
  <Pages>1</Pages>
  <Words>1550</Words>
  <Characters>9147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MENCL Kryštof, Ing.</dc:creator>
  <cp:keywords/>
  <dc:description/>
  <cp:lastModifiedBy>Solnickova Ilona</cp:lastModifiedBy>
  <cp:revision>7</cp:revision>
  <cp:lastPrinted>2024-02-14T09:11:00Z</cp:lastPrinted>
  <dcterms:created xsi:type="dcterms:W3CDTF">2024-02-08T13:24:00Z</dcterms:created>
  <dcterms:modified xsi:type="dcterms:W3CDTF">2024-02-14T09:11:00Z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2024-02-01T11:16:35Z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4883789b-2db3-4965-a2c6-3262ab785ff1</vt:lpwstr>
  </property>
  <property fmtid="{D5CDD505-2E9C-101B-9397-08002B2CF9AE}" pid="8" name="MSIP_Label_82a99ebc-0f39-4fac-abab-b8d6469272ed_ContentBits">
    <vt:lpwstr>0</vt:lpwstr>
  </property>
</Properties>
</file>