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5220300413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Charita</w:t>
      </w:r>
      <w:r>
        <w:rPr>
          <w:spacing w:val="-7"/>
        </w:rPr>
        <w:t> </w:t>
      </w:r>
      <w:r>
        <w:rPr>
          <w:spacing w:val="-2"/>
        </w:rPr>
        <w:t>Semily</w:t>
      </w:r>
    </w:p>
    <w:p>
      <w:pPr>
        <w:pStyle w:val="BodyText"/>
        <w:spacing w:line="265" w:lineRule="exact"/>
        <w:ind w:left="382"/>
      </w:pPr>
      <w:r>
        <w:rPr/>
        <w:t>evidovaná</w:t>
      </w:r>
      <w:r>
        <w:rPr>
          <w:spacing w:val="-7"/>
        </w:rPr>
        <w:t> </w:t>
      </w:r>
      <w:r>
        <w:rPr/>
        <w:t>církevní</w:t>
      </w:r>
      <w:r>
        <w:rPr>
          <w:spacing w:val="-8"/>
        </w:rPr>
        <w:t> </w:t>
      </w:r>
      <w:r>
        <w:rPr/>
        <w:t>právnická</w:t>
      </w:r>
      <w:r>
        <w:rPr>
          <w:spacing w:val="-9"/>
        </w:rPr>
        <w:t> </w:t>
      </w:r>
      <w:r>
        <w:rPr>
          <w:spacing w:val="-4"/>
        </w:rPr>
        <w:t>osoba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Komenského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125,</w:t>
      </w:r>
      <w:r>
        <w:rPr>
          <w:spacing w:val="-7"/>
        </w:rPr>
        <w:t> </w:t>
      </w:r>
      <w:r>
        <w:rPr/>
        <w:t>513</w:t>
      </w:r>
      <w:r>
        <w:rPr>
          <w:spacing w:val="-2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Semily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17710430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Martinem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2002374195/2010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5220300413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right="1059"/>
      </w:pPr>
      <w:r>
        <w:rPr/>
        <w:t>„EAV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služba</w:t>
      </w:r>
      <w:r>
        <w:rPr>
          <w:spacing w:val="-3"/>
        </w:rPr>
        <w:t> </w:t>
      </w:r>
      <w:r>
        <w:rPr>
          <w:spacing w:val="-2"/>
        </w:rPr>
        <w:t>LUCIE“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223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293,38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4"/>
        </w:rPr>
        <w:t> </w:t>
      </w:r>
      <w:r>
        <w:rPr/>
        <w:t>dvacet</w:t>
      </w:r>
      <w:r>
        <w:rPr>
          <w:spacing w:val="-4"/>
        </w:rPr>
        <w:t> </w:t>
      </w:r>
      <w:r>
        <w:rPr/>
        <w:t>tři</w:t>
      </w:r>
      <w:r>
        <w:rPr>
          <w:spacing w:val="-4"/>
        </w:rPr>
        <w:t> </w:t>
      </w:r>
      <w:r>
        <w:rPr/>
        <w:t>tisíc</w:t>
      </w:r>
      <w:r>
        <w:rPr>
          <w:spacing w:val="-5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4"/>
        </w:rPr>
        <w:t> </w:t>
      </w:r>
      <w:r>
        <w:rPr/>
        <w:t>devadesát</w:t>
      </w:r>
      <w:r>
        <w:rPr>
          <w:spacing w:val="-5"/>
        </w:rPr>
        <w:t> </w:t>
      </w:r>
      <w:r>
        <w:rPr/>
        <w:t>tři</w:t>
      </w:r>
      <w:r>
        <w:rPr>
          <w:spacing w:val="-5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třicet</w:t>
      </w:r>
      <w:r>
        <w:rPr>
          <w:spacing w:val="-4"/>
        </w:rPr>
        <w:t> </w:t>
      </w:r>
      <w:r>
        <w:rPr/>
        <w:t>osm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863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933" w:right="193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624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936" w:right="1931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293,38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Fondem</w:t>
      </w:r>
      <w:r>
        <w:rPr>
          <w:spacing w:val="25"/>
        </w:rPr>
        <w:t> </w:t>
      </w:r>
      <w:r>
        <w:rPr/>
        <w:t>akceptovaného</w:t>
      </w:r>
      <w:r>
        <w:rPr>
          <w:spacing w:val="25"/>
        </w:rPr>
        <w:t> </w:t>
      </w:r>
      <w:r>
        <w:rPr/>
        <w:t>finančně</w:t>
      </w:r>
      <w:r>
        <w:rPr>
          <w:spacing w:val="24"/>
        </w:rPr>
        <w:t> </w:t>
      </w:r>
      <w:r>
        <w:rPr/>
        <w:t>platebního</w:t>
      </w:r>
      <w:r>
        <w:rPr>
          <w:spacing w:val="25"/>
        </w:rPr>
        <w:t> </w:t>
      </w:r>
      <w:r>
        <w:rPr/>
        <w:t>kalendáře</w:t>
      </w:r>
      <w:r>
        <w:rPr>
          <w:spacing w:val="24"/>
        </w:rPr>
        <w:t> </w:t>
      </w:r>
      <w:r>
        <w:rPr/>
        <w:t>v</w:t>
      </w:r>
      <w:r>
        <w:rPr>
          <w:spacing w:val="1"/>
        </w:rPr>
        <w:t> </w:t>
      </w:r>
      <w:r>
        <w:rPr/>
        <w:t>AIS</w:t>
      </w:r>
      <w:r>
        <w:rPr>
          <w:spacing w:val="24"/>
        </w:rPr>
        <w:t> </w:t>
      </w:r>
      <w:r>
        <w:rPr/>
        <w:t>SFŽP</w:t>
      </w:r>
      <w:r>
        <w:rPr>
          <w:spacing w:val="27"/>
        </w:rPr>
        <w:t> </w:t>
      </w:r>
      <w:r>
        <w:rPr/>
        <w:t>ČR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platbu</w:t>
      </w:r>
    </w:p>
    <w:p>
      <w:pPr>
        <w:pStyle w:val="BodyText"/>
        <w:jc w:val="both"/>
      </w:pPr>
      <w:r>
        <w:rPr/>
        <w:t>doručených</w:t>
      </w:r>
      <w:r>
        <w:rPr>
          <w:spacing w:val="-8"/>
        </w:rPr>
        <w:t> </w:t>
      </w:r>
      <w:r>
        <w:rPr/>
        <w:t>Fondu</w:t>
      </w:r>
      <w:r>
        <w:rPr>
          <w:spacing w:val="-8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7"/>
        </w:rPr>
        <w:t> </w:t>
      </w:r>
      <w:r>
        <w:rPr/>
        <w:t>AIS</w:t>
      </w:r>
      <w:r>
        <w:rPr>
          <w:spacing w:val="-9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předložené</w:t>
      </w:r>
      <w:r>
        <w:rPr>
          <w:spacing w:val="-13"/>
          <w:sz w:val="20"/>
        </w:rPr>
        <w:t> </w:t>
      </w:r>
      <w:r>
        <w:rPr>
          <w:sz w:val="20"/>
        </w:rPr>
        <w:t>faktury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3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3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both"/>
        <w:rPr>
          <w:sz w:val="20"/>
        </w:rPr>
      </w:pP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EAV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služba</w:t>
      </w:r>
      <w:r>
        <w:rPr>
          <w:spacing w:val="-6"/>
          <w:sz w:val="20"/>
        </w:rPr>
        <w:t> </w:t>
      </w:r>
      <w:r>
        <w:rPr>
          <w:sz w:val="20"/>
        </w:rPr>
        <w:t>LUCIE</w:t>
      </w:r>
      <w:r>
        <w:rPr>
          <w:spacing w:val="-7"/>
          <w:sz w:val="20"/>
        </w:rPr>
        <w:t> </w:t>
      </w:r>
      <w:r>
        <w:rPr>
          <w:sz w:val="20"/>
        </w:rPr>
        <w:t>byla</w:t>
      </w:r>
      <w:r>
        <w:rPr>
          <w:spacing w:val="-7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Výzvou,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jejími</w:t>
      </w:r>
      <w:r>
        <w:rPr>
          <w:spacing w:val="-7"/>
          <w:sz w:val="20"/>
        </w:rPr>
        <w:t> </w:t>
      </w:r>
      <w:r>
        <w:rPr>
          <w:sz w:val="20"/>
        </w:rPr>
        <w:t>přílohami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ind w:left="1090"/>
        <w:jc w:val="both"/>
      </w:pP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0" w:hanging="142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21.</w:t>
      </w:r>
      <w:r>
        <w:rPr>
          <w:spacing w:val="-4"/>
          <w:sz w:val="20"/>
        </w:rPr>
        <w:t> </w:t>
      </w:r>
      <w:r>
        <w:rPr>
          <w:sz w:val="20"/>
        </w:rPr>
        <w:t>6.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left="948" w:right="113"/>
        <w:jc w:val="both"/>
      </w:pPr>
      <w:r>
        <w:rPr>
          <w:w w:val="95"/>
        </w:rPr>
        <w:t>Příjemce podpory bere na vědomí, že pokud toto prohlášení není pravdivé, bude přijetí podpory podle </w:t>
      </w:r>
      <w:r>
        <w:rPr/>
        <w:t>této Smlouvy považováno za neoprávněné použití finančních prostředků poskytnutých ze státního fondu</w:t>
      </w:r>
      <w:r>
        <w:rPr>
          <w:spacing w:val="-12"/>
        </w:rPr>
        <w:t> </w:t>
      </w:r>
      <w:r>
        <w:rPr/>
        <w:t>ve</w:t>
      </w:r>
      <w:r>
        <w:rPr>
          <w:spacing w:val="-13"/>
        </w:rPr>
        <w:t> </w:t>
      </w:r>
      <w:r>
        <w:rPr/>
        <w:t>smyslu</w:t>
      </w:r>
      <w:r>
        <w:rPr>
          <w:spacing w:val="-13"/>
        </w:rPr>
        <w:t> </w:t>
      </w:r>
      <w:r>
        <w:rPr/>
        <w:t>zákona</w:t>
      </w:r>
      <w:r>
        <w:rPr>
          <w:spacing w:val="-13"/>
        </w:rPr>
        <w:t> </w:t>
      </w:r>
      <w:r>
        <w:rPr/>
        <w:t>č.</w:t>
      </w:r>
      <w:r>
        <w:rPr>
          <w:spacing w:val="-13"/>
        </w:rPr>
        <w:t> </w:t>
      </w:r>
      <w:r>
        <w:rPr/>
        <w:t>218/2000</w:t>
      </w:r>
      <w:r>
        <w:rPr>
          <w:spacing w:val="-12"/>
        </w:rPr>
        <w:t> </w:t>
      </w:r>
      <w:r>
        <w:rPr/>
        <w:t>Sb.,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rozpočtových</w:t>
      </w:r>
      <w:r>
        <w:rPr>
          <w:spacing w:val="-13"/>
        </w:rPr>
        <w:t> </w:t>
      </w:r>
      <w:r>
        <w:rPr/>
        <w:t>pravidlech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změně</w:t>
      </w:r>
      <w:r>
        <w:rPr>
          <w:spacing w:val="-14"/>
        </w:rPr>
        <w:t> </w:t>
      </w:r>
      <w:r>
        <w:rPr/>
        <w:t>některých</w:t>
      </w:r>
      <w:r>
        <w:rPr>
          <w:spacing w:val="-13"/>
        </w:rPr>
        <w:t> </w:t>
      </w:r>
      <w:r>
        <w:rPr/>
        <w:t>souvisejících zákonů (rozpočtová pravidla), v platném znění, a že mohou být uplatněny sankce podle tohoto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09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veškeré</w:t>
      </w:r>
      <w:r>
        <w:rPr>
          <w:spacing w:val="17"/>
          <w:sz w:val="20"/>
        </w:rPr>
        <w:t> </w:t>
      </w:r>
      <w:r>
        <w:rPr>
          <w:sz w:val="20"/>
        </w:rPr>
        <w:t>výdaje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vést</w:t>
      </w:r>
      <w:r>
        <w:rPr>
          <w:spacing w:val="17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0"/>
          <w:sz w:val="20"/>
        </w:rPr>
        <w:t> </w:t>
      </w:r>
      <w:r>
        <w:rPr>
          <w:sz w:val="20"/>
        </w:rPr>
        <w:t>563/1991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účetnictví,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platném</w:t>
      </w:r>
      <w:r>
        <w:rPr>
          <w:spacing w:val="18"/>
          <w:sz w:val="20"/>
        </w:rPr>
        <w:t> </w:t>
      </w:r>
      <w:r>
        <w:rPr>
          <w:sz w:val="20"/>
        </w:rPr>
        <w:t>znění) či</w:t>
      </w:r>
      <w:r>
        <w:rPr>
          <w:spacing w:val="-8"/>
          <w:sz w:val="20"/>
        </w:rPr>
        <w:t> </w:t>
      </w:r>
      <w:r>
        <w:rPr>
          <w:sz w:val="20"/>
        </w:rPr>
        <w:t>daňové</w:t>
      </w:r>
      <w:r>
        <w:rPr>
          <w:spacing w:val="-8"/>
          <w:sz w:val="20"/>
        </w:rPr>
        <w:t> </w:t>
      </w:r>
      <w:r>
        <w:rPr>
          <w:sz w:val="20"/>
        </w:rPr>
        <w:t>evidenci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586/1992</w:t>
      </w:r>
      <w:r>
        <w:rPr>
          <w:spacing w:val="-8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daních</w:t>
      </w:r>
      <w:r>
        <w:rPr>
          <w:spacing w:val="-8"/>
          <w:sz w:val="20"/>
        </w:rPr>
        <w:t> </w:t>
      </w:r>
      <w:r>
        <w:rPr>
          <w:sz w:val="20"/>
        </w:rPr>
        <w:t>z příjmů,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8"/>
          <w:sz w:val="20"/>
        </w:rPr>
        <w:t> </w:t>
      </w:r>
      <w:r>
        <w:rPr>
          <w:sz w:val="20"/>
        </w:rPr>
        <w:t>znění)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pokynů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 písm. b) 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4" w:hanging="142"/>
        <w:jc w:val="both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části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2"/>
          <w:sz w:val="20"/>
        </w:rPr>
        <w:t> </w:t>
      </w:r>
      <w:r>
        <w:rPr>
          <w:sz w:val="20"/>
        </w:rPr>
        <w:t>veřejnou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107 odst. 1 Smlouvy o fungování Evropské unie, podporu z prostředků Unie, které centrálně spravují orgány,</w:t>
      </w:r>
      <w:r>
        <w:rPr>
          <w:spacing w:val="-14"/>
          <w:sz w:val="20"/>
        </w:rPr>
        <w:t> </w:t>
      </w:r>
      <w:r>
        <w:rPr>
          <w:sz w:val="20"/>
        </w:rPr>
        <w:t>agentury,</w:t>
      </w:r>
      <w:r>
        <w:rPr>
          <w:spacing w:val="-14"/>
          <w:sz w:val="20"/>
        </w:rPr>
        <w:t> </w:t>
      </w:r>
      <w:r>
        <w:rPr>
          <w:sz w:val="20"/>
        </w:rPr>
        <w:t>společné</w:t>
      </w:r>
      <w:r>
        <w:rPr>
          <w:spacing w:val="-14"/>
          <w:sz w:val="20"/>
        </w:rPr>
        <w:t> </w:t>
      </w:r>
      <w:r>
        <w:rPr>
          <w:sz w:val="20"/>
        </w:rPr>
        <w:t>podniky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3"/>
          <w:sz w:val="20"/>
        </w:rPr>
        <w:t> </w:t>
      </w:r>
      <w:r>
        <w:rPr>
          <w:sz w:val="20"/>
        </w:rPr>
        <w:t>EU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která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přímo</w:t>
      </w:r>
      <w:r>
        <w:rPr>
          <w:spacing w:val="-14"/>
          <w:sz w:val="20"/>
        </w:rPr>
        <w:t> </w:t>
      </w:r>
      <w:r>
        <w:rPr>
          <w:sz w:val="20"/>
        </w:rPr>
        <w:t>ani</w:t>
      </w:r>
      <w:r>
        <w:rPr>
          <w:spacing w:val="-13"/>
          <w:sz w:val="20"/>
        </w:rPr>
        <w:t> </w:t>
      </w:r>
      <w:r>
        <w:rPr>
          <w:sz w:val="20"/>
        </w:rPr>
        <w:t>nepřímo</w:t>
      </w:r>
      <w:r>
        <w:rPr>
          <w:spacing w:val="-14"/>
          <w:sz w:val="20"/>
        </w:rPr>
        <w:t> </w:t>
      </w:r>
      <w:r>
        <w:rPr>
          <w:sz w:val="20"/>
        </w:rPr>
        <w:t>pod</w:t>
      </w:r>
      <w:r>
        <w:rPr>
          <w:spacing w:val="-14"/>
          <w:sz w:val="20"/>
        </w:rPr>
        <w:t> </w:t>
      </w:r>
      <w:r>
        <w:rPr>
          <w:sz w:val="20"/>
        </w:rPr>
        <w:t>kontrolou členských</w:t>
      </w:r>
      <w:r>
        <w:rPr>
          <w:spacing w:val="-8"/>
          <w:sz w:val="20"/>
        </w:rPr>
        <w:t> </w:t>
      </w:r>
      <w:r>
        <w:rPr>
          <w:sz w:val="20"/>
        </w:rPr>
        <w:t>států,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státního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režimu</w:t>
      </w:r>
      <w:r>
        <w:rPr>
          <w:spacing w:val="-8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73" w:after="0"/>
        <w:ind w:left="1090" w:right="112" w:hanging="142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</w:t>
      </w:r>
      <w:r>
        <w:rPr>
          <w:spacing w:val="-2"/>
          <w:sz w:val="20"/>
        </w:rPr>
        <w:t> </w:t>
      </w:r>
      <w:r>
        <w:rPr>
          <w:sz w:val="20"/>
        </w:rPr>
        <w:t>dodavatele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poskytovatele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subdodavatele,</w:t>
      </w:r>
      <w:r>
        <w:rPr>
          <w:spacing w:val="-2"/>
          <w:sz w:val="20"/>
        </w:rPr>
        <w:t> </w:t>
      </w:r>
      <w:r>
        <w:rPr>
          <w:sz w:val="20"/>
        </w:rPr>
        <w:t>je-li konečným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finančních 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142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0" w:hanging="142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11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142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14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14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14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14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14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14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2024-02-13T13:28:03Z</dcterms:created>
  <dcterms:modified xsi:type="dcterms:W3CDTF">2024-02-13T13:28:03Z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2024-02-13T00:00:00Z</vt:filetime>
  </property>
</Properties>
</file>