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A2AA015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D00736">
        <w:rPr>
          <w:rFonts w:ascii="Arial" w:hAnsi="Arial" w:cs="Arial"/>
          <w:b/>
          <w:sz w:val="24"/>
          <w:szCs w:val="22"/>
        </w:rPr>
        <w:t>V2024-79/OŠKS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43685D4C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582C76">
        <w:rPr>
          <w:rFonts w:ascii="Arial" w:hAnsi="Arial" w:cs="Arial"/>
          <w:i w:val="0"/>
          <w:iCs w:val="0"/>
          <w:sz w:val="22"/>
          <w:szCs w:val="22"/>
        </w:rPr>
        <w:t>11.12.2023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436F8">
        <w:rPr>
          <w:rFonts w:ascii="Arial" w:hAnsi="Arial" w:cs="Arial"/>
          <w:i w:val="0"/>
          <w:iCs w:val="0"/>
          <w:sz w:val="22"/>
          <w:szCs w:val="22"/>
        </w:rPr>
        <w:t>290/7Z/2023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6CF29E" w14:textId="16C915F4" w:rsidR="00555072" w:rsidRPr="00F64B0C" w:rsidRDefault="00555072" w:rsidP="005550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4B0C">
        <w:rPr>
          <w:rFonts w:ascii="Arial" w:hAnsi="Arial" w:cs="Arial"/>
          <w:b/>
          <w:bCs/>
          <w:sz w:val="22"/>
          <w:szCs w:val="22"/>
        </w:rPr>
        <w:t>Základní škola Galaxie s.r.o.</w:t>
      </w:r>
    </w:p>
    <w:p w14:paraId="5EBAC74E" w14:textId="26DA1864" w:rsidR="00582C76" w:rsidRDefault="00555072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K Nemocnici 211/1, </w:t>
      </w:r>
      <w:proofErr w:type="gramStart"/>
      <w:r w:rsidRPr="00F64B0C">
        <w:rPr>
          <w:rFonts w:ascii="Arial" w:hAnsi="Arial" w:cs="Arial"/>
          <w:sz w:val="22"/>
          <w:szCs w:val="22"/>
        </w:rPr>
        <w:t>741 01  Nový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Jičín</w:t>
      </w:r>
    </w:p>
    <w:p w14:paraId="569AD465" w14:textId="0B5422A1" w:rsidR="00582C76" w:rsidRPr="002A65C1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294549</w:t>
      </w:r>
      <w:r w:rsidRPr="00F64B0C">
        <w:rPr>
          <w:rFonts w:ascii="Arial" w:hAnsi="Arial" w:cs="Arial"/>
          <w:sz w:val="22"/>
          <w:szCs w:val="22"/>
        </w:rPr>
        <w:t>56</w:t>
      </w:r>
    </w:p>
    <w:p w14:paraId="5B2F9B31" w14:textId="7531BB50" w:rsidR="00582C76" w:rsidRPr="002A65C1" w:rsidRDefault="00BF4F05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582C76" w:rsidRPr="00582C76">
        <w:rPr>
          <w:rFonts w:ascii="Arial" w:hAnsi="Arial" w:cs="Arial"/>
          <w:bCs/>
          <w:sz w:val="22"/>
          <w:szCs w:val="22"/>
        </w:rPr>
        <w:t>astoupená</w:t>
      </w:r>
      <w:r w:rsidR="00582C76">
        <w:rPr>
          <w:rFonts w:ascii="Arial" w:hAnsi="Arial" w:cs="Arial"/>
          <w:bCs/>
          <w:sz w:val="22"/>
          <w:szCs w:val="22"/>
        </w:rPr>
        <w:t xml:space="preserve"> </w:t>
      </w:r>
      <w:r w:rsidR="00D00736">
        <w:rPr>
          <w:rFonts w:ascii="Arial" w:hAnsi="Arial" w:cs="Arial"/>
          <w:bCs/>
          <w:noProof/>
          <w:sz w:val="22"/>
          <w:szCs w:val="22"/>
        </w:rPr>
        <w:t>XXX</w:t>
      </w:r>
      <w:r w:rsidR="00582C76" w:rsidRPr="002A65C1">
        <w:rPr>
          <w:rFonts w:ascii="Arial" w:hAnsi="Arial" w:cs="Arial"/>
          <w:bCs/>
          <w:noProof/>
          <w:sz w:val="22"/>
          <w:szCs w:val="22"/>
        </w:rPr>
        <w:t>, jednatelkou</w:t>
      </w:r>
    </w:p>
    <w:p w14:paraId="383FD89D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0465D8E1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F64B0C">
        <w:rPr>
          <w:rFonts w:ascii="Arial" w:hAnsi="Arial" w:cs="Arial"/>
          <w:sz w:val="22"/>
          <w:szCs w:val="22"/>
        </w:rPr>
        <w:t>sp.zn</w:t>
      </w:r>
      <w:proofErr w:type="spellEnd"/>
      <w:r w:rsidRPr="00F64B0C">
        <w:rPr>
          <w:rFonts w:ascii="Arial" w:hAnsi="Arial" w:cs="Arial"/>
          <w:sz w:val="22"/>
          <w:szCs w:val="22"/>
        </w:rPr>
        <w:t>.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C 54686</w:t>
      </w:r>
    </w:p>
    <w:p w14:paraId="1A625C9D" w14:textId="4A87AF81" w:rsidR="00582C76" w:rsidRDefault="00582C76" w:rsidP="00582C76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>bankovní spojení: ČSOB, a.s.</w:t>
      </w:r>
    </w:p>
    <w:p w14:paraId="2A0934C0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číslo účtu: 254778816/0300</w:t>
      </w:r>
    </w:p>
    <w:p w14:paraId="0865BDE2" w14:textId="3DBC7D93" w:rsidR="00902C87" w:rsidRDefault="00902C87" w:rsidP="005550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0359B037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418805F9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9A3127">
        <w:rPr>
          <w:rFonts w:ascii="Arial" w:hAnsi="Arial" w:cs="Arial"/>
          <w:b/>
          <w:sz w:val="22"/>
          <w:szCs w:val="22"/>
        </w:rPr>
        <w:t>421.600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B574EE">
        <w:rPr>
          <w:rFonts w:ascii="Arial" w:hAnsi="Arial" w:cs="Arial"/>
          <w:sz w:val="22"/>
          <w:szCs w:val="22"/>
        </w:rPr>
        <w:t xml:space="preserve"> čtyři sta dvacet</w:t>
      </w:r>
      <w:r w:rsidR="009A3127">
        <w:rPr>
          <w:rFonts w:ascii="Arial" w:hAnsi="Arial" w:cs="Arial"/>
          <w:sz w:val="22"/>
          <w:szCs w:val="22"/>
        </w:rPr>
        <w:t xml:space="preserve"> jedna tisíc šest set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8B05D8" w:rsidRPr="008B05D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 dovoz stravy pro žáky ZŠ</w:t>
      </w:r>
      <w:r w:rsidR="008B05D8" w:rsidRPr="008B05D8">
        <w:rPr>
          <w:rFonts w:ascii="Arial" w:hAnsi="Arial" w:cs="Arial"/>
          <w:b/>
          <w:sz w:val="22"/>
          <w:szCs w:val="22"/>
        </w:rPr>
        <w:t xml:space="preserve"> </w:t>
      </w:r>
      <w:r w:rsidR="009A3127">
        <w:rPr>
          <w:rFonts w:ascii="Arial" w:hAnsi="Arial" w:cs="Arial"/>
          <w:b/>
          <w:sz w:val="22"/>
          <w:szCs w:val="22"/>
        </w:rPr>
        <w:t>Galaxie s.r.</w:t>
      </w:r>
      <w:proofErr w:type="gramStart"/>
      <w:r w:rsidR="009A3127">
        <w:rPr>
          <w:rFonts w:ascii="Arial" w:hAnsi="Arial" w:cs="Arial"/>
          <w:b/>
          <w:sz w:val="22"/>
          <w:szCs w:val="22"/>
        </w:rPr>
        <w:t>o.</w:t>
      </w:r>
      <w:r w:rsidR="004D1DBC">
        <w:rPr>
          <w:rFonts w:ascii="Arial" w:hAnsi="Arial" w:cs="Arial"/>
          <w:sz w:val="22"/>
          <w:szCs w:val="22"/>
        </w:rPr>
        <w:t>(dále</w:t>
      </w:r>
      <w:proofErr w:type="gramEnd"/>
      <w:r w:rsidR="004D1DBC">
        <w:rPr>
          <w:rFonts w:ascii="Arial" w:hAnsi="Arial" w:cs="Arial"/>
          <w:sz w:val="22"/>
          <w:szCs w:val="22"/>
        </w:rPr>
        <w:t xml:space="preserve">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142B5F1B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BF4F05">
        <w:rPr>
          <w:rFonts w:ascii="Arial" w:hAnsi="Arial" w:cs="Arial"/>
          <w:sz w:val="22"/>
          <w:szCs w:val="22"/>
        </w:rPr>
        <w:t>29454956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47C60D5B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F27867" w:rsidRPr="00F27867">
        <w:rPr>
          <w:rFonts w:ascii="Arial" w:hAnsi="Arial" w:cs="Arial"/>
          <w:b/>
          <w:sz w:val="22"/>
          <w:szCs w:val="22"/>
        </w:rPr>
        <w:t>01.01.2024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27867" w:rsidRPr="00F27867">
        <w:rPr>
          <w:rFonts w:ascii="Arial" w:hAnsi="Arial" w:cs="Arial"/>
          <w:b/>
          <w:sz w:val="22"/>
          <w:szCs w:val="22"/>
        </w:rPr>
        <w:t>31.12.2024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F27867" w:rsidRPr="00F27867">
        <w:rPr>
          <w:rFonts w:ascii="Arial" w:hAnsi="Arial" w:cs="Arial"/>
          <w:b/>
          <w:sz w:val="22"/>
          <w:szCs w:val="22"/>
        </w:rPr>
        <w:t>01.01.2024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F27867" w:rsidRPr="00F27867">
        <w:rPr>
          <w:rFonts w:ascii="Arial" w:hAnsi="Arial" w:cs="Arial"/>
          <w:b/>
          <w:sz w:val="22"/>
          <w:szCs w:val="22"/>
        </w:rPr>
        <w:t>25.01.2025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…………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oskytovatele. Při použití znaku </w:t>
      </w:r>
      <w:r>
        <w:rPr>
          <w:rFonts w:ascii="Arial" w:hAnsi="Arial" w:cs="Arial"/>
          <w:sz w:val="22"/>
          <w:szCs w:val="22"/>
        </w:rPr>
        <w:lastRenderedPageBreak/>
        <w:t>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2691D2C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27867" w:rsidRPr="00F27867">
        <w:rPr>
          <w:rFonts w:ascii="Arial" w:hAnsi="Arial" w:cs="Arial"/>
          <w:b/>
          <w:sz w:val="22"/>
          <w:szCs w:val="22"/>
        </w:rPr>
        <w:t>15.02.2025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lastRenderedPageBreak/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P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lastRenderedPageBreak/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48A8A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7164BB5" w14:textId="77777777" w:rsidR="00F27867" w:rsidRDefault="00F27867" w:rsidP="00F27867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1A82AA7B" w14:textId="77777777" w:rsidR="00902C87" w:rsidRPr="00F2786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F27867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345F7D0C"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D00736">
        <w:rPr>
          <w:rFonts w:ascii="Arial" w:hAnsi="Arial" w:cs="Arial"/>
          <w:sz w:val="22"/>
          <w:szCs w:val="22"/>
        </w:rPr>
        <w:t>05.02.2024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D00736">
        <w:rPr>
          <w:rFonts w:ascii="Arial" w:hAnsi="Arial" w:cs="Arial"/>
          <w:sz w:val="22"/>
          <w:szCs w:val="22"/>
        </w:rPr>
        <w:t>08.02.2024</w:t>
      </w:r>
      <w:bookmarkStart w:id="0" w:name="_GoBack"/>
      <w:bookmarkEnd w:id="0"/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30496B97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0CA508C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6F8B285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5C80DC01" w14:textId="77777777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D8101E2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387BD203" w14:textId="4BEE7150" w:rsidR="00B574EE" w:rsidRDefault="00D00736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XXX</w:t>
      </w:r>
      <w:r w:rsidR="00B574EE">
        <w:rPr>
          <w:rFonts w:ascii="Arial" w:hAnsi="Arial" w:cs="Arial"/>
          <w:sz w:val="22"/>
          <w:szCs w:val="22"/>
        </w:rPr>
        <w:tab/>
      </w:r>
      <w:r w:rsidR="00B574EE">
        <w:rPr>
          <w:rFonts w:ascii="Arial" w:hAnsi="Arial" w:cs="Arial"/>
          <w:sz w:val="22"/>
          <w:szCs w:val="22"/>
        </w:rPr>
        <w:tab/>
        <w:t>Mgr. Stanislav Kopecký</w:t>
      </w:r>
    </w:p>
    <w:p w14:paraId="01348074" w14:textId="5287E62C" w:rsidR="00B574EE" w:rsidRDefault="00B574EE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jednatelka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starosta </w:t>
      </w:r>
    </w:p>
    <w:p w14:paraId="083E4D78" w14:textId="4B3479A3" w:rsidR="00B574EE" w:rsidRDefault="00B574EE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město Nový Jičín</w:t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9BA9" w14:textId="77777777" w:rsidR="005A43BF" w:rsidRDefault="005A43BF" w:rsidP="00902C87">
      <w:r>
        <w:separator/>
      </w:r>
    </w:p>
  </w:endnote>
  <w:endnote w:type="continuationSeparator" w:id="0">
    <w:p w14:paraId="1F07A89B" w14:textId="77777777" w:rsidR="005A43BF" w:rsidRDefault="005A43B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5A43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D00736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5A43B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D00736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5A43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F3F4F" w14:textId="77777777" w:rsidR="005A43BF" w:rsidRDefault="005A43BF" w:rsidP="00902C87">
      <w:r>
        <w:separator/>
      </w:r>
    </w:p>
  </w:footnote>
  <w:footnote w:type="continuationSeparator" w:id="0">
    <w:p w14:paraId="6E013388" w14:textId="77777777" w:rsidR="005A43BF" w:rsidRDefault="005A43B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5A43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436F8"/>
    <w:rsid w:val="0005062D"/>
    <w:rsid w:val="000611EC"/>
    <w:rsid w:val="00092C5C"/>
    <w:rsid w:val="000943BA"/>
    <w:rsid w:val="000A63D1"/>
    <w:rsid w:val="000B2C43"/>
    <w:rsid w:val="00106A23"/>
    <w:rsid w:val="0012005F"/>
    <w:rsid w:val="001838AB"/>
    <w:rsid w:val="001C72B1"/>
    <w:rsid w:val="001F20D7"/>
    <w:rsid w:val="002155AC"/>
    <w:rsid w:val="0023433D"/>
    <w:rsid w:val="00252F39"/>
    <w:rsid w:val="00254072"/>
    <w:rsid w:val="00254680"/>
    <w:rsid w:val="00276937"/>
    <w:rsid w:val="002B0D9B"/>
    <w:rsid w:val="002F784B"/>
    <w:rsid w:val="003478F5"/>
    <w:rsid w:val="00355863"/>
    <w:rsid w:val="00380D52"/>
    <w:rsid w:val="00385785"/>
    <w:rsid w:val="00391AB5"/>
    <w:rsid w:val="003B2583"/>
    <w:rsid w:val="003D0345"/>
    <w:rsid w:val="003D2F2A"/>
    <w:rsid w:val="003D6CB4"/>
    <w:rsid w:val="003F0D44"/>
    <w:rsid w:val="003F18C6"/>
    <w:rsid w:val="003F6934"/>
    <w:rsid w:val="00404CFB"/>
    <w:rsid w:val="00462F00"/>
    <w:rsid w:val="004736AF"/>
    <w:rsid w:val="00474A20"/>
    <w:rsid w:val="00482D6C"/>
    <w:rsid w:val="00485AE6"/>
    <w:rsid w:val="00496411"/>
    <w:rsid w:val="004D1DBC"/>
    <w:rsid w:val="00552B3A"/>
    <w:rsid w:val="00555072"/>
    <w:rsid w:val="0056208B"/>
    <w:rsid w:val="00582C76"/>
    <w:rsid w:val="005950E5"/>
    <w:rsid w:val="005A2E12"/>
    <w:rsid w:val="005A43BF"/>
    <w:rsid w:val="005C182D"/>
    <w:rsid w:val="005C5CC0"/>
    <w:rsid w:val="005D7AAB"/>
    <w:rsid w:val="006207E9"/>
    <w:rsid w:val="00635404"/>
    <w:rsid w:val="00642C08"/>
    <w:rsid w:val="006672CF"/>
    <w:rsid w:val="006C4EB5"/>
    <w:rsid w:val="006D30AF"/>
    <w:rsid w:val="006E364D"/>
    <w:rsid w:val="00767806"/>
    <w:rsid w:val="00786C3D"/>
    <w:rsid w:val="00797A51"/>
    <w:rsid w:val="007A099B"/>
    <w:rsid w:val="007A425C"/>
    <w:rsid w:val="007E3122"/>
    <w:rsid w:val="00801817"/>
    <w:rsid w:val="008274D6"/>
    <w:rsid w:val="0084428E"/>
    <w:rsid w:val="00856995"/>
    <w:rsid w:val="00871FB1"/>
    <w:rsid w:val="008A7288"/>
    <w:rsid w:val="008B05D8"/>
    <w:rsid w:val="008F6C5C"/>
    <w:rsid w:val="00902C87"/>
    <w:rsid w:val="009804BF"/>
    <w:rsid w:val="009A2496"/>
    <w:rsid w:val="009A3127"/>
    <w:rsid w:val="009C1C6D"/>
    <w:rsid w:val="009E6E65"/>
    <w:rsid w:val="00A104BE"/>
    <w:rsid w:val="00A16D8C"/>
    <w:rsid w:val="00A47B13"/>
    <w:rsid w:val="00A81C3B"/>
    <w:rsid w:val="00A93993"/>
    <w:rsid w:val="00AA2FC8"/>
    <w:rsid w:val="00AE40A7"/>
    <w:rsid w:val="00B06CF1"/>
    <w:rsid w:val="00B574EE"/>
    <w:rsid w:val="00B6261B"/>
    <w:rsid w:val="00B870AD"/>
    <w:rsid w:val="00BD0430"/>
    <w:rsid w:val="00BD2636"/>
    <w:rsid w:val="00BF4F05"/>
    <w:rsid w:val="00C10F30"/>
    <w:rsid w:val="00C15616"/>
    <w:rsid w:val="00C54E90"/>
    <w:rsid w:val="00C6381E"/>
    <w:rsid w:val="00C64845"/>
    <w:rsid w:val="00C74933"/>
    <w:rsid w:val="00C82D95"/>
    <w:rsid w:val="00C96014"/>
    <w:rsid w:val="00C965FA"/>
    <w:rsid w:val="00CF4500"/>
    <w:rsid w:val="00CF5C29"/>
    <w:rsid w:val="00CF6CFB"/>
    <w:rsid w:val="00D00736"/>
    <w:rsid w:val="00D00FD8"/>
    <w:rsid w:val="00D0741A"/>
    <w:rsid w:val="00D47955"/>
    <w:rsid w:val="00DC3530"/>
    <w:rsid w:val="00DC756A"/>
    <w:rsid w:val="00DF5C8E"/>
    <w:rsid w:val="00E03F33"/>
    <w:rsid w:val="00EC407D"/>
    <w:rsid w:val="00F25114"/>
    <w:rsid w:val="00F273A3"/>
    <w:rsid w:val="00F27867"/>
    <w:rsid w:val="00F329C5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28C4-4517-44CC-9CE7-713E3183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2398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6</cp:revision>
  <cp:lastPrinted>2023-10-03T12:33:00Z</cp:lastPrinted>
  <dcterms:created xsi:type="dcterms:W3CDTF">2024-02-05T06:24:00Z</dcterms:created>
  <dcterms:modified xsi:type="dcterms:W3CDTF">2024-02-13T13:24:00Z</dcterms:modified>
</cp:coreProperties>
</file>