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423" w:right="320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1210700047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37" w:lineRule="auto" w:before="4"/>
        <w:ind w:left="382" w:right="4811"/>
        <w:jc w:val="left"/>
      </w:pPr>
      <w:r>
        <w:rPr/>
        <w:t>číslo účtu:</w:t>
        <w:tab/>
      </w:r>
      <w:r>
        <w:rPr>
          <w:spacing w:val="-2"/>
        </w:rPr>
        <w:t>40002-9025001/0710 </w:t>
      </w:r>
      <w:r>
        <w:rPr/>
        <w:t>(dále jen „Fond")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382"/>
        <w:jc w:val="left"/>
      </w:pPr>
      <w:r>
        <w:rPr>
          <w:w w:val="99"/>
        </w:rPr>
        <w:t>a</w:t>
      </w:r>
    </w:p>
    <w:p>
      <w:pPr>
        <w:pStyle w:val="BodyText"/>
        <w:ind w:left="0"/>
        <w:jc w:val="left"/>
      </w:pPr>
    </w:p>
    <w:p>
      <w:pPr>
        <w:pStyle w:val="Heading2"/>
        <w:jc w:val="left"/>
      </w:pPr>
      <w:r>
        <w:rPr/>
        <w:t>obec</w:t>
      </w:r>
      <w:r>
        <w:rPr>
          <w:spacing w:val="-7"/>
        </w:rPr>
        <w:t> </w:t>
      </w:r>
      <w:r>
        <w:rPr>
          <w:spacing w:val="-2"/>
        </w:rPr>
        <w:t>Kuklík</w:t>
      </w:r>
    </w:p>
    <w:p>
      <w:pPr>
        <w:pStyle w:val="BodyText"/>
        <w:tabs>
          <w:tab w:pos="3262" w:val="left" w:leader="none"/>
        </w:tabs>
        <w:spacing w:line="237" w:lineRule="auto" w:before="3"/>
        <w:ind w:left="382" w:right="2352"/>
        <w:jc w:val="left"/>
      </w:pPr>
      <w:r>
        <w:rPr/>
        <w:t>kontaktní adresa:</w:t>
        <w:tab/>
        <w:t>Obecní</w:t>
      </w:r>
      <w:r>
        <w:rPr>
          <w:spacing w:val="-5"/>
        </w:rPr>
        <w:t> </w:t>
      </w:r>
      <w:r>
        <w:rPr/>
        <w:t>úřad</w:t>
      </w:r>
      <w:r>
        <w:rPr>
          <w:spacing w:val="-5"/>
        </w:rPr>
        <w:t> </w:t>
      </w:r>
      <w:r>
        <w:rPr/>
        <w:t>Kuklík,</w:t>
      </w:r>
      <w:r>
        <w:rPr>
          <w:spacing w:val="-5"/>
        </w:rPr>
        <w:t> </w:t>
      </w:r>
      <w:r>
        <w:rPr/>
        <w:t>Kuklík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p.</w:t>
      </w:r>
      <w:r>
        <w:rPr>
          <w:spacing w:val="-5"/>
        </w:rPr>
        <w:t> </w:t>
      </w:r>
      <w:r>
        <w:rPr/>
        <w:t>25,</w:t>
      </w:r>
      <w:r>
        <w:rPr>
          <w:spacing w:val="-5"/>
        </w:rPr>
        <w:t> </w:t>
      </w:r>
      <w:r>
        <w:rPr/>
        <w:t>592</w:t>
      </w:r>
      <w:r>
        <w:rPr>
          <w:spacing w:val="-3"/>
        </w:rPr>
        <w:t> </w:t>
      </w:r>
      <w:r>
        <w:rPr/>
        <w:t>03</w:t>
      </w:r>
      <w:r>
        <w:rPr>
          <w:spacing w:val="-4"/>
        </w:rPr>
        <w:t> </w:t>
      </w:r>
      <w:r>
        <w:rPr/>
        <w:t>Sněžné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00599514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4"/>
        </w:rPr>
        <w:t> </w:t>
      </w:r>
      <w:r>
        <w:rPr/>
        <w:t>Ladislavem</w:t>
      </w:r>
      <w:r>
        <w:rPr>
          <w:spacing w:val="-5"/>
        </w:rPr>
        <w:t> </w:t>
      </w:r>
      <w:r>
        <w:rPr/>
        <w:t>R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k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5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right="5246"/>
        <w:jc w:val="left"/>
      </w:pPr>
      <w:r>
        <w:rPr/>
        <w:t>číslo účtu:</w:t>
        <w:tab/>
      </w:r>
      <w:r>
        <w:rPr>
          <w:spacing w:val="-2"/>
        </w:rPr>
        <w:t>94-416751/0710 </w:t>
      </w:r>
      <w:r>
        <w:rPr/>
        <w:t>(dále jen „příjemce 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5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left="3412" w:right="320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70"/>
      </w:pPr>
      <w:r>
        <w:rPr/>
        <w:t>„Smlouva“) se uzavírá na základě Rozhodnutí ministra životního prostředí č. 1210700047 o poskytnutí finančních prostředků ze Státního fondu životního prostředí ČR ze dne 14.</w:t>
      </w:r>
      <w:r>
        <w:rPr>
          <w:spacing w:val="-2"/>
        </w:rPr>
        <w:t> </w:t>
      </w:r>
      <w:r>
        <w:rPr/>
        <w:t>11.</w:t>
      </w:r>
      <w:r>
        <w:rPr>
          <w:spacing w:val="-1"/>
        </w:rPr>
        <w:t> </w:t>
      </w:r>
      <w:r>
        <w:rPr/>
        <w:t>2023 a Směrnice Ministerstva životního prostředí č. 4/2015 o poskytování finančních prostředků ze Státního fondu životního</w:t>
      </w:r>
      <w:r>
        <w:rPr>
          <w:spacing w:val="22"/>
        </w:rPr>
        <w:t> </w:t>
      </w:r>
      <w:r>
        <w:rPr/>
        <w:t>prostředí</w:t>
      </w:r>
      <w:r>
        <w:rPr>
          <w:spacing w:val="25"/>
        </w:rPr>
        <w:t> </w:t>
      </w:r>
      <w:r>
        <w:rPr/>
        <w:t>České</w:t>
      </w:r>
      <w:r>
        <w:rPr>
          <w:spacing w:val="20"/>
        </w:rPr>
        <w:t> </w:t>
      </w:r>
      <w:r>
        <w:rPr/>
        <w:t>republiky</w:t>
      </w:r>
      <w:r>
        <w:rPr>
          <w:spacing w:val="22"/>
        </w:rPr>
        <w:t> </w:t>
      </w:r>
      <w:r>
        <w:rPr/>
        <w:t>prostřednictvím</w:t>
      </w:r>
      <w:r>
        <w:rPr>
          <w:spacing w:val="21"/>
        </w:rPr>
        <w:t> </w:t>
      </w:r>
      <w:r>
        <w:rPr/>
        <w:t>Národního</w:t>
      </w:r>
      <w:r>
        <w:rPr>
          <w:spacing w:val="23"/>
        </w:rPr>
        <w:t> </w:t>
      </w:r>
      <w:r>
        <w:rPr/>
        <w:t>programu</w:t>
      </w:r>
      <w:r>
        <w:rPr>
          <w:spacing w:val="21"/>
        </w:rPr>
        <w:t> </w:t>
      </w:r>
      <w:r>
        <w:rPr/>
        <w:t>Životní</w:t>
      </w:r>
      <w:r>
        <w:rPr>
          <w:spacing w:val="24"/>
        </w:rPr>
        <w:t> </w:t>
      </w:r>
      <w:r>
        <w:rPr/>
        <w:t>prostředí</w:t>
      </w:r>
      <w:r>
        <w:rPr>
          <w:spacing w:val="22"/>
        </w:rPr>
        <w:t> </w:t>
      </w:r>
      <w:r>
        <w:rPr/>
        <w:t>(dále</w:t>
      </w:r>
      <w:r>
        <w:rPr>
          <w:spacing w:val="21"/>
        </w:rPr>
        <w:t> </w:t>
      </w:r>
      <w:r>
        <w:rPr>
          <w:spacing w:val="-5"/>
        </w:rPr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7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7/2021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náležitosti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4" w:header="0" w:top="1060" w:bottom="1580" w:left="1320" w:right="96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785"/>
        <w:jc w:val="left"/>
      </w:pPr>
      <w:r>
        <w:rPr/>
        <w:t>„Odkanalizování</w:t>
      </w:r>
      <w:r>
        <w:rPr>
          <w:spacing w:val="-10"/>
        </w:rPr>
        <w:t> </w:t>
      </w:r>
      <w:r>
        <w:rPr/>
        <w:t>obce</w:t>
      </w:r>
      <w:r>
        <w:rPr>
          <w:spacing w:val="-9"/>
        </w:rPr>
        <w:t> </w:t>
      </w:r>
      <w:r>
        <w:rPr/>
        <w:t>Kuklík</w:t>
      </w:r>
      <w:r>
        <w:rPr>
          <w:spacing w:val="-10"/>
        </w:rPr>
        <w:t> </w:t>
      </w:r>
      <w:r>
        <w:rPr/>
        <w:t>systémem</w:t>
      </w:r>
      <w:r>
        <w:rPr>
          <w:spacing w:val="-8"/>
        </w:rPr>
        <w:t> </w:t>
      </w:r>
      <w:r>
        <w:rPr>
          <w:spacing w:val="-2"/>
        </w:rPr>
        <w:t>MDČOV“</w:t>
      </w:r>
    </w:p>
    <w:p>
      <w:pPr>
        <w:pStyle w:val="BodyText"/>
        <w:spacing w:before="121"/>
        <w:jc w:val="left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spacing w:before="1"/>
        <w:ind w:left="3413" w:right="320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3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0" w:after="0"/>
        <w:ind w:left="665" w:right="172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 dotace ve výši </w:t>
      </w:r>
      <w:r>
        <w:rPr>
          <w:b/>
          <w:sz w:val="20"/>
        </w:rPr>
        <w:t>6 750 000,00 Kč </w:t>
      </w:r>
      <w:r>
        <w:rPr>
          <w:sz w:val="20"/>
        </w:rPr>
        <w:t>(slovy: šest milionů sedm set padesát tisíc korun 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71" w:hanging="284"/>
        <w:jc w:val="left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16 036 422,00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42,09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7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zdrojů. V</w:t>
      </w:r>
      <w:r>
        <w:rPr>
          <w:spacing w:val="-2"/>
          <w:sz w:val="20"/>
        </w:rPr>
        <w:t> </w:t>
      </w:r>
      <w:r>
        <w:rPr>
          <w:sz w:val="20"/>
        </w:rPr>
        <w:t>případě, že dojde po uzavření této Smlouvy ke změně základu pro stanovení podpory podle bodu 2 nebo procentního podílu ze základu pro stanovení podpory podle bodu 3, dodatek k</w:t>
      </w:r>
      <w:r>
        <w:rPr>
          <w:spacing w:val="-2"/>
          <w:sz w:val="20"/>
        </w:rPr>
        <w:t> </w:t>
      </w:r>
      <w:r>
        <w:rPr>
          <w:sz w:val="20"/>
        </w:rPr>
        <w:t>této Smlouvě se neuzavírá, pokud nedojde současně ke změně podpory formou dotace podle bodu 1.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7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1"/>
          <w:sz w:val="20"/>
        </w:rPr>
        <w:t> </w:t>
      </w:r>
      <w:r>
        <w:rPr>
          <w:sz w:val="20"/>
        </w:rPr>
        <w:t>které vznikly</w:t>
      </w:r>
      <w:r>
        <w:rPr>
          <w:spacing w:val="-2"/>
          <w:sz w:val="20"/>
        </w:rPr>
        <w:t> </w:t>
      </w:r>
      <w:r>
        <w:rPr>
          <w:sz w:val="20"/>
        </w:rPr>
        <w:t>a byly</w:t>
      </w:r>
      <w:r>
        <w:rPr>
          <w:spacing w:val="-1"/>
          <w:sz w:val="20"/>
        </w:rPr>
        <w:t> </w:t>
      </w:r>
      <w:r>
        <w:rPr>
          <w:sz w:val="20"/>
        </w:rPr>
        <w:t>uhrazeny nejdříve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1"/>
          <w:sz w:val="20"/>
        </w:rPr>
        <w:t> </w:t>
      </w:r>
      <w:r>
        <w:rPr>
          <w:sz w:val="20"/>
        </w:rPr>
        <w:t>vyhlášení</w:t>
      </w:r>
      <w:r>
        <w:rPr>
          <w:spacing w:val="-1"/>
          <w:sz w:val="20"/>
        </w:rPr>
        <w:t> </w:t>
      </w:r>
      <w:r>
        <w:rPr>
          <w:sz w:val="20"/>
        </w:rPr>
        <w:t>Výzvy, s</w:t>
      </w:r>
      <w:r>
        <w:rPr>
          <w:spacing w:val="-3"/>
          <w:sz w:val="20"/>
        </w:rPr>
        <w:t> </w:t>
      </w:r>
      <w:r>
        <w:rPr>
          <w:sz w:val="20"/>
        </w:rPr>
        <w:t>výjimkou</w:t>
      </w:r>
      <w:r>
        <w:rPr>
          <w:spacing w:val="-1"/>
          <w:sz w:val="20"/>
        </w:rPr>
        <w:t> </w:t>
      </w:r>
      <w:r>
        <w:rPr>
          <w:sz w:val="20"/>
        </w:rPr>
        <w:t>výdajů na přípravu projektu, které mohou být vzniklé a uhrazené i před tímto datem.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73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5"/>
          <w:sz w:val="20"/>
        </w:rPr>
        <w:t> </w:t>
      </w:r>
      <w:r>
        <w:rPr>
          <w:sz w:val="20"/>
        </w:rPr>
        <w:t>dodavatelům</w:t>
      </w:r>
      <w:r>
        <w:rPr>
          <w:spacing w:val="65"/>
          <w:sz w:val="20"/>
        </w:rPr>
        <w:t> </w:t>
      </w:r>
      <w:r>
        <w:rPr>
          <w:sz w:val="20"/>
        </w:rPr>
        <w:t>lze</w:t>
      </w:r>
      <w:r>
        <w:rPr>
          <w:spacing w:val="65"/>
          <w:sz w:val="20"/>
        </w:rPr>
        <w:t> </w:t>
      </w:r>
      <w:r>
        <w:rPr>
          <w:sz w:val="20"/>
        </w:rPr>
        <w:t>z podpory</w:t>
      </w:r>
      <w:r>
        <w:rPr>
          <w:spacing w:val="66"/>
          <w:sz w:val="20"/>
        </w:rPr>
        <w:t> </w:t>
      </w:r>
      <w:r>
        <w:rPr>
          <w:sz w:val="20"/>
        </w:rPr>
        <w:t>poskytované</w:t>
      </w:r>
      <w:r>
        <w:rPr>
          <w:spacing w:val="65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5"/>
          <w:sz w:val="20"/>
        </w:rPr>
        <w:t> </w:t>
      </w:r>
      <w:r>
        <w:rPr>
          <w:sz w:val="20"/>
        </w:rPr>
        <w:t>pouze</w:t>
      </w:r>
      <w:r>
        <w:rPr>
          <w:spacing w:val="65"/>
          <w:sz w:val="20"/>
        </w:rPr>
        <w:t> </w:t>
      </w:r>
      <w:r>
        <w:rPr>
          <w:sz w:val="20"/>
        </w:rPr>
        <w:t>za</w:t>
      </w:r>
      <w:r>
        <w:rPr>
          <w:spacing w:val="67"/>
          <w:sz w:val="20"/>
        </w:rPr>
        <w:t> </w:t>
      </w:r>
      <w:r>
        <w:rPr>
          <w:sz w:val="20"/>
        </w:rPr>
        <w:t>stavební</w:t>
      </w:r>
      <w:r>
        <w:rPr>
          <w:spacing w:val="67"/>
          <w:sz w:val="20"/>
        </w:rPr>
        <w:t> </w:t>
      </w:r>
      <w:r>
        <w:rPr>
          <w:sz w:val="20"/>
        </w:rPr>
        <w:t>práce,</w:t>
      </w:r>
      <w:r>
        <w:rPr>
          <w:spacing w:val="66"/>
          <w:sz w:val="20"/>
        </w:rPr>
        <w:t> </w:t>
      </w:r>
      <w:r>
        <w:rPr>
          <w:sz w:val="20"/>
        </w:rPr>
        <w:t>služby a dodávky na realizaci 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71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9"/>
          <w:sz w:val="20"/>
        </w:rPr>
        <w:t> </w:t>
      </w:r>
      <w:r>
        <w:rPr>
          <w:sz w:val="20"/>
        </w:rPr>
        <w:t>výdajů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nich</w:t>
      </w:r>
      <w:r>
        <w:rPr>
          <w:spacing w:val="-9"/>
          <w:sz w:val="20"/>
        </w:rPr>
        <w:t> </w:t>
      </w:r>
      <w:r>
        <w:rPr>
          <w:sz w:val="20"/>
        </w:rPr>
        <w:t>odvozené</w:t>
      </w:r>
      <w:r>
        <w:rPr>
          <w:spacing w:val="-8"/>
          <w:sz w:val="20"/>
        </w:rPr>
        <w:t> </w:t>
      </w:r>
      <w:r>
        <w:rPr>
          <w:sz w:val="20"/>
        </w:rPr>
        <w:t>výše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vycházet</w:t>
      </w:r>
      <w:r>
        <w:rPr>
          <w:spacing w:val="-10"/>
          <w:sz w:val="20"/>
        </w:rPr>
        <w:t> </w:t>
      </w:r>
      <w:r>
        <w:rPr>
          <w:sz w:val="20"/>
        </w:rPr>
        <w:t>ze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9 </w:t>
      </w:r>
      <w:r>
        <w:rPr>
          <w:spacing w:val="-2"/>
          <w:sz w:val="20"/>
        </w:rPr>
        <w:t>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left="3415"/>
      </w:pPr>
      <w:r>
        <w:rPr>
          <w:spacing w:val="-4"/>
        </w:rPr>
        <w:t>III.</w:t>
      </w:r>
    </w:p>
    <w:p>
      <w:pPr>
        <w:pStyle w:val="Heading2"/>
        <w:ind w:left="3412" w:right="3208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75" w:hanging="284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71" w:hanging="284"/>
        <w:jc w:val="both"/>
        <w:rPr>
          <w:sz w:val="20"/>
        </w:rPr>
      </w:pPr>
      <w:r>
        <w:rPr>
          <w:sz w:val="20"/>
        </w:rPr>
        <w:t>Fond poskytne finanční prostředky postupem</w:t>
      </w:r>
      <w:r>
        <w:rPr>
          <w:spacing w:val="-1"/>
          <w:sz w:val="20"/>
        </w:rPr>
        <w:t> </w:t>
      </w:r>
      <w:r>
        <w:rPr>
          <w:sz w:val="20"/>
        </w:rPr>
        <w:t>stanoveným touto Smlouvou tak, aby byl 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7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1"/>
          <w:sz w:val="20"/>
        </w:rPr>
        <w:t> </w:t>
      </w:r>
      <w:r>
        <w:rPr>
          <w:sz w:val="20"/>
        </w:rPr>
        <w:t>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ČR“).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7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každou</w:t>
      </w:r>
      <w:r>
        <w:rPr>
          <w:spacing w:val="-8"/>
          <w:sz w:val="20"/>
        </w:rPr>
        <w:t> </w:t>
      </w:r>
      <w:r>
        <w:rPr>
          <w:sz w:val="20"/>
        </w:rPr>
        <w:t>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(bod</w:t>
      </w:r>
      <w:r>
        <w:rPr>
          <w:spacing w:val="-8"/>
          <w:sz w:val="20"/>
        </w:rPr>
        <w:t> </w:t>
      </w:r>
      <w:r>
        <w:rPr>
          <w:sz w:val="20"/>
        </w:rPr>
        <w:t>11)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9"/>
          <w:sz w:val="20"/>
        </w:rPr>
        <w:t> </w:t>
      </w:r>
      <w:r>
        <w:rPr>
          <w:sz w:val="20"/>
        </w:rPr>
        <w:t>prokazující</w:t>
      </w:r>
      <w:r>
        <w:rPr>
          <w:spacing w:val="-8"/>
          <w:sz w:val="20"/>
        </w:rPr>
        <w:t> </w:t>
      </w:r>
      <w:r>
        <w:rPr>
          <w:sz w:val="20"/>
        </w:rPr>
        <w:t>oprávněnost</w:t>
      </w:r>
      <w:r>
        <w:rPr>
          <w:spacing w:val="-9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37" w:lineRule="auto" w:before="123" w:after="0"/>
        <w:ind w:left="665" w:right="175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8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</w:t>
      </w:r>
    </w:p>
    <w:p>
      <w:pPr>
        <w:spacing w:after="0" w:line="237" w:lineRule="auto"/>
        <w:jc w:val="both"/>
        <w:rPr>
          <w:sz w:val="20"/>
        </w:rPr>
        <w:sectPr>
          <w:pgSz w:w="12240" w:h="15840"/>
          <w:pgMar w:header="0" w:footer="1384" w:top="1060" w:bottom="1620" w:left="1320" w:right="960"/>
        </w:sectPr>
      </w:pPr>
    </w:p>
    <w:p>
      <w:pPr>
        <w:pStyle w:val="BodyText"/>
        <w:spacing w:before="73"/>
        <w:ind w:right="172"/>
      </w:pPr>
      <w:r>
        <w:rPr/>
        <w:t>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7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7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7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 této Smlouvy. Konkrétní částky podpory budou poskytovány do úhrnné výše určené Smlouvou dle plánovaného</w:t>
      </w:r>
      <w:r>
        <w:rPr>
          <w:spacing w:val="-5"/>
          <w:sz w:val="20"/>
        </w:rPr>
        <w:t> </w:t>
      </w:r>
      <w:r>
        <w:rPr>
          <w:sz w:val="20"/>
        </w:rPr>
        <w:t>čerpání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uvedeného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zdrojích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v 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7"/>
          <w:sz w:val="20"/>
        </w:rPr>
        <w:t> </w:t>
      </w:r>
      <w:r>
        <w:rPr>
          <w:sz w:val="20"/>
        </w:rPr>
        <w:t>ČR,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6"/>
          <w:sz w:val="20"/>
        </w:rPr>
        <w:t> </w:t>
      </w:r>
      <w:r>
        <w:rPr>
          <w:sz w:val="20"/>
        </w:rPr>
        <w:t>žádostí 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7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má</w:t>
      </w:r>
      <w:r>
        <w:rPr>
          <w:spacing w:val="-14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4"/>
          <w:sz w:val="20"/>
        </w:rPr>
        <w:t> </w:t>
      </w:r>
      <w:r>
        <w:rPr>
          <w:sz w:val="20"/>
        </w:rPr>
        <w:t>akce,</w:t>
      </w:r>
      <w:r>
        <w:rPr>
          <w:spacing w:val="-14"/>
          <w:sz w:val="20"/>
        </w:rPr>
        <w:t> </w:t>
      </w:r>
      <w:r>
        <w:rPr>
          <w:sz w:val="20"/>
        </w:rPr>
        <w:t>zejména</w:t>
      </w:r>
      <w:r>
        <w:rPr>
          <w:spacing w:val="-14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jednotlivé</w:t>
      </w:r>
      <w:r>
        <w:rPr>
          <w:spacing w:val="-14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 akce. V 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81" w:hanging="425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7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7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 neuhrazených faktur příjemce podpory prokáže jejich úhradu doložením relevantních podkladů nejpozději</w:t>
      </w:r>
      <w:r>
        <w:rPr>
          <w:spacing w:val="-12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10</w:t>
      </w:r>
      <w:r>
        <w:rPr>
          <w:spacing w:val="-11"/>
          <w:sz w:val="20"/>
        </w:rPr>
        <w:t> </w:t>
      </w:r>
      <w:r>
        <w:rPr>
          <w:sz w:val="20"/>
        </w:rPr>
        <w:t>dnů</w:t>
      </w:r>
      <w:r>
        <w:rPr>
          <w:spacing w:val="-11"/>
          <w:sz w:val="20"/>
        </w:rPr>
        <w:t> </w:t>
      </w:r>
      <w:r>
        <w:rPr>
          <w:sz w:val="20"/>
        </w:rPr>
        <w:t>od</w:t>
      </w:r>
      <w:r>
        <w:rPr>
          <w:spacing w:val="-11"/>
          <w:sz w:val="20"/>
        </w:rPr>
        <w:t> </w:t>
      </w:r>
      <w:r>
        <w:rPr>
          <w:sz w:val="20"/>
        </w:rPr>
        <w:t>uvolnění</w:t>
      </w:r>
      <w:r>
        <w:rPr>
          <w:spacing w:val="-11"/>
          <w:sz w:val="20"/>
        </w:rPr>
        <w:t> </w:t>
      </w:r>
      <w:r>
        <w:rPr>
          <w:sz w:val="20"/>
        </w:rPr>
        <w:t>finančních</w:t>
      </w:r>
      <w:r>
        <w:rPr>
          <w:spacing w:val="-11"/>
          <w:sz w:val="20"/>
        </w:rPr>
        <w:t> </w:t>
      </w:r>
      <w:r>
        <w:rPr>
          <w:sz w:val="20"/>
        </w:rPr>
        <w:t>prostředků</w:t>
      </w:r>
      <w:r>
        <w:rPr>
          <w:spacing w:val="-11"/>
          <w:sz w:val="20"/>
        </w:rPr>
        <w:t> </w:t>
      </w:r>
      <w:r>
        <w:rPr>
          <w:sz w:val="20"/>
        </w:rPr>
        <w:t>Fondem.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akceptuje</w:t>
      </w:r>
      <w:r>
        <w:rPr>
          <w:spacing w:val="-11"/>
          <w:sz w:val="20"/>
        </w:rPr>
        <w:t> </w:t>
      </w:r>
      <w:r>
        <w:rPr>
          <w:sz w:val="20"/>
        </w:rPr>
        <w:t>předložení</w:t>
      </w:r>
      <w:r>
        <w:rPr>
          <w:spacing w:val="-11"/>
          <w:sz w:val="20"/>
        </w:rPr>
        <w:t> </w:t>
      </w:r>
      <w:r>
        <w:rPr>
          <w:sz w:val="20"/>
        </w:rPr>
        <w:t>uhrazených faktur i 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80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7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72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jc w:val="left"/>
        <w:rPr>
          <w:sz w:val="28"/>
        </w:rPr>
      </w:pPr>
    </w:p>
    <w:p>
      <w:pPr>
        <w:pStyle w:val="Heading1"/>
        <w:spacing w:before="99"/>
        <w:ind w:left="3419"/>
      </w:pPr>
      <w:r>
        <w:rPr>
          <w:spacing w:val="-5"/>
        </w:rPr>
        <w:t>IV.</w:t>
      </w:r>
    </w:p>
    <w:p>
      <w:pPr>
        <w:pStyle w:val="Heading2"/>
        <w:spacing w:before="1"/>
        <w:ind w:left="1325" w:right="1121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74" w:hanging="360"/>
        <w:jc w:val="both"/>
        <w:rPr>
          <w:sz w:val="20"/>
        </w:rPr>
      </w:pP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provedena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odsouhlasené</w:t>
      </w:r>
      <w:r>
        <w:rPr>
          <w:spacing w:val="-4"/>
          <w:sz w:val="20"/>
        </w:rPr>
        <w:t> </w:t>
      </w:r>
      <w:r>
        <w:rPr>
          <w:sz w:val="20"/>
        </w:rPr>
        <w:t>projektové dokumentace</w:t>
      </w:r>
      <w:r>
        <w:rPr>
          <w:spacing w:val="-4"/>
          <w:sz w:val="20"/>
        </w:rPr>
        <w:t> </w:t>
      </w:r>
      <w:r>
        <w:rPr>
          <w:sz w:val="20"/>
        </w:rPr>
        <w:t>zpracované</w:t>
      </w:r>
      <w:r>
        <w:rPr>
          <w:spacing w:val="-3"/>
          <w:sz w:val="20"/>
        </w:rPr>
        <w:t> </w:t>
      </w:r>
      <w:r>
        <w:rPr>
          <w:sz w:val="20"/>
        </w:rPr>
        <w:t>Ing.</w:t>
      </w:r>
      <w:r>
        <w:rPr>
          <w:spacing w:val="-3"/>
          <w:sz w:val="20"/>
        </w:rPr>
        <w:t> </w:t>
      </w:r>
      <w:r>
        <w:rPr>
          <w:sz w:val="20"/>
        </w:rPr>
        <w:t>Milanem Vopařilem aktualizované Ing. Pavlem Jirákem (2/2023), podle dokumentace žádosti ze dne 8. 6. 2023, podle dokumentace výběrového řízení včetně smlouvy o dílo se společností TopolWater, s.r.o., IČO: 26212943 ze dne 15. 9. 2023, včetně případných změn a doplňků těchto dokumentů odsouhlasených </w:t>
      </w:r>
      <w:r>
        <w:rPr>
          <w:spacing w:val="-2"/>
          <w:sz w:val="20"/>
        </w:rPr>
        <w:t>Fondem,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70" w:hanging="360"/>
        <w:jc w:val="both"/>
        <w:rPr>
          <w:sz w:val="20"/>
        </w:rPr>
      </w:pPr>
      <w:r>
        <w:rPr>
          <w:sz w:val="20"/>
        </w:rPr>
        <w:t>akce bude provedena v předpokládaném rozsahu, t. j. dojde k prevenci a omezení znečištění povrchových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podzemních</w:t>
      </w:r>
      <w:r>
        <w:rPr>
          <w:spacing w:val="-6"/>
          <w:sz w:val="20"/>
        </w:rPr>
        <w:t> </w:t>
      </w:r>
      <w:r>
        <w:rPr>
          <w:sz w:val="20"/>
        </w:rPr>
        <w:t>vod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komunálních</w:t>
      </w:r>
      <w:r>
        <w:rPr>
          <w:spacing w:val="-8"/>
          <w:sz w:val="20"/>
        </w:rPr>
        <w:t> </w:t>
      </w:r>
      <w:r>
        <w:rPr>
          <w:sz w:val="20"/>
        </w:rPr>
        <w:t>zdrojů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44</w:t>
      </w:r>
      <w:r>
        <w:rPr>
          <w:spacing w:val="-7"/>
          <w:sz w:val="20"/>
        </w:rPr>
        <w:t> </w:t>
      </w:r>
      <w:r>
        <w:rPr>
          <w:sz w:val="20"/>
        </w:rPr>
        <w:t>ks</w:t>
      </w:r>
      <w:r>
        <w:rPr>
          <w:spacing w:val="-8"/>
          <w:sz w:val="20"/>
        </w:rPr>
        <w:t> </w:t>
      </w:r>
      <w:r>
        <w:rPr>
          <w:sz w:val="20"/>
        </w:rPr>
        <w:t>domovní</w:t>
      </w:r>
      <w:r>
        <w:rPr>
          <w:spacing w:val="-6"/>
          <w:sz w:val="20"/>
        </w:rPr>
        <w:t> </w:t>
      </w:r>
      <w:r>
        <w:rPr>
          <w:sz w:val="20"/>
        </w:rPr>
        <w:t>ČOV</w:t>
      </w:r>
      <w:r>
        <w:rPr>
          <w:spacing w:val="-7"/>
          <w:sz w:val="20"/>
        </w:rPr>
        <w:t> </w:t>
      </w:r>
      <w:r>
        <w:rPr>
          <w:sz w:val="20"/>
        </w:rPr>
        <w:t>do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580" w:left="1320" w:right="960"/>
        </w:sectPr>
      </w:pPr>
    </w:p>
    <w:tbl>
      <w:tblPr>
        <w:tblW w:w="0" w:type="auto"/>
        <w:jc w:val="left"/>
        <w:tblInd w:w="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55"/>
        <w:gridCol w:w="1595"/>
      </w:tblGrid>
      <w:tr>
        <w:trPr>
          <w:trHeight w:val="325" w:hRule="atLeast"/>
        </w:trPr>
        <w:tc>
          <w:tcPr>
            <w:tcW w:w="7555" w:type="dxa"/>
          </w:tcPr>
          <w:p>
            <w:pPr>
              <w:pStyle w:val="TableParagraph"/>
              <w:spacing w:line="265" w:lineRule="exact"/>
              <w:ind w:left="50"/>
              <w:rPr>
                <w:sz w:val="20"/>
              </w:rPr>
            </w:pPr>
            <w:r>
              <w:rPr>
                <w:sz w:val="20"/>
              </w:rPr>
              <w:t>kapacity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obci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Kuklík,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takto:</w:t>
            </w:r>
          </w:p>
        </w:tc>
        <w:tc>
          <w:tcPr>
            <w:tcW w:w="159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7555" w:type="dxa"/>
          </w:tcPr>
          <w:p>
            <w:pPr>
              <w:pStyle w:val="TableParagraph"/>
              <w:spacing w:line="247" w:lineRule="exact" w:before="60"/>
              <w:ind w:left="50"/>
              <w:rPr>
                <w:sz w:val="20"/>
              </w:rPr>
            </w:pPr>
            <w:r>
              <w:rPr>
                <w:sz w:val="20"/>
              </w:rPr>
              <w:t>Celková kapacita nově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realizovaných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DČOV:</w:t>
            </w:r>
          </w:p>
        </w:tc>
        <w:tc>
          <w:tcPr>
            <w:tcW w:w="1595" w:type="dxa"/>
          </w:tcPr>
          <w:p>
            <w:pPr>
              <w:pStyle w:val="TableParagraph"/>
              <w:spacing w:line="247" w:lineRule="exact" w:before="60"/>
              <w:ind w:left="0" w:right="73"/>
              <w:jc w:val="right"/>
              <w:rPr>
                <w:sz w:val="20"/>
              </w:rPr>
            </w:pPr>
            <w:r>
              <w:rPr>
                <w:sz w:val="20"/>
              </w:rPr>
              <w:t>296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5"/>
                <w:sz w:val="20"/>
              </w:rPr>
              <w:t>EO</w:t>
            </w:r>
          </w:p>
        </w:tc>
      </w:tr>
      <w:tr>
        <w:trPr>
          <w:trHeight w:val="266" w:hRule="atLeast"/>
        </w:trPr>
        <w:tc>
          <w:tcPr>
            <w:tcW w:w="7555" w:type="dxa"/>
          </w:tcPr>
          <w:p>
            <w:pPr>
              <w:pStyle w:val="TableParagraph"/>
              <w:spacing w:line="247" w:lineRule="exact"/>
              <w:ind w:left="50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budov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vlastnictví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obce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připojených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nově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realizovaným</w:t>
            </w:r>
            <w:r>
              <w:rPr>
                <w:spacing w:val="23"/>
                <w:sz w:val="20"/>
              </w:rPr>
              <w:t> </w:t>
            </w:r>
            <w:r>
              <w:rPr>
                <w:spacing w:val="-2"/>
                <w:sz w:val="20"/>
              </w:rPr>
              <w:t>DČOV:</w:t>
            </w:r>
          </w:p>
        </w:tc>
        <w:tc>
          <w:tcPr>
            <w:tcW w:w="1595" w:type="dxa"/>
          </w:tcPr>
          <w:p>
            <w:pPr>
              <w:pStyle w:val="TableParagraph"/>
              <w:spacing w:line="247" w:lineRule="exact"/>
              <w:ind w:left="0" w:right="5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5"/>
                <w:sz w:val="20"/>
              </w:rPr>
              <w:t>ks</w:t>
            </w:r>
          </w:p>
        </w:tc>
      </w:tr>
      <w:tr>
        <w:trPr>
          <w:trHeight w:val="266" w:hRule="atLeast"/>
        </w:trPr>
        <w:tc>
          <w:tcPr>
            <w:tcW w:w="7555" w:type="dxa"/>
          </w:tcPr>
          <w:p>
            <w:pPr>
              <w:pStyle w:val="TableParagraph"/>
              <w:spacing w:line="246" w:lineRule="exact"/>
              <w:ind w:left="50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bytových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domů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připojených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nově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realizovaným</w:t>
            </w:r>
            <w:r>
              <w:rPr>
                <w:spacing w:val="31"/>
                <w:sz w:val="20"/>
              </w:rPr>
              <w:t> </w:t>
            </w:r>
            <w:r>
              <w:rPr>
                <w:spacing w:val="-2"/>
                <w:sz w:val="20"/>
              </w:rPr>
              <w:t>DČOV:</w:t>
            </w:r>
          </w:p>
        </w:tc>
        <w:tc>
          <w:tcPr>
            <w:tcW w:w="1595" w:type="dxa"/>
          </w:tcPr>
          <w:p>
            <w:pPr>
              <w:pStyle w:val="TableParagraph"/>
              <w:spacing w:line="246" w:lineRule="exact"/>
              <w:ind w:left="0" w:right="6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38"/>
                <w:sz w:val="20"/>
              </w:rPr>
              <w:t> </w:t>
            </w:r>
            <w:r>
              <w:rPr>
                <w:spacing w:val="-5"/>
                <w:sz w:val="20"/>
              </w:rPr>
              <w:t>ks</w:t>
            </w:r>
          </w:p>
        </w:tc>
      </w:tr>
      <w:tr>
        <w:trPr>
          <w:trHeight w:val="266" w:hRule="atLeast"/>
        </w:trPr>
        <w:tc>
          <w:tcPr>
            <w:tcW w:w="7555" w:type="dxa"/>
          </w:tcPr>
          <w:p>
            <w:pPr>
              <w:pStyle w:val="TableParagraph"/>
              <w:spacing w:line="246" w:lineRule="exact"/>
              <w:ind w:left="50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obyvatel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budov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připojených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nově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realizovaným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DČOV:</w:t>
            </w:r>
          </w:p>
        </w:tc>
        <w:tc>
          <w:tcPr>
            <w:tcW w:w="1595" w:type="dxa"/>
          </w:tcPr>
          <w:p>
            <w:pPr>
              <w:pStyle w:val="TableParagraph"/>
              <w:spacing w:line="246" w:lineRule="exact"/>
              <w:ind w:left="0" w:right="72"/>
              <w:jc w:val="right"/>
              <w:rPr>
                <w:sz w:val="20"/>
              </w:rPr>
            </w:pPr>
            <w:r>
              <w:rPr>
                <w:sz w:val="20"/>
              </w:rPr>
              <w:t>193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5"/>
                <w:sz w:val="20"/>
              </w:rPr>
              <w:t>ks</w:t>
            </w:r>
          </w:p>
        </w:tc>
      </w:tr>
      <w:tr>
        <w:trPr>
          <w:trHeight w:val="265" w:hRule="atLeast"/>
        </w:trPr>
        <w:tc>
          <w:tcPr>
            <w:tcW w:w="7555" w:type="dxa"/>
          </w:tcPr>
          <w:p>
            <w:pPr>
              <w:pStyle w:val="TableParagraph"/>
              <w:spacing w:line="245" w:lineRule="exact"/>
              <w:ind w:left="50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realizovaných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DČOV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kapacitě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15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5"/>
                <w:sz w:val="20"/>
              </w:rPr>
              <w:t>EO:</w:t>
            </w:r>
          </w:p>
        </w:tc>
        <w:tc>
          <w:tcPr>
            <w:tcW w:w="1595" w:type="dxa"/>
          </w:tcPr>
          <w:p>
            <w:pPr>
              <w:pStyle w:val="TableParagraph"/>
              <w:spacing w:line="245" w:lineRule="exact"/>
              <w:ind w:left="0" w:right="48"/>
              <w:jc w:val="right"/>
              <w:rPr>
                <w:sz w:val="20"/>
              </w:rPr>
            </w:pPr>
            <w:r>
              <w:rPr>
                <w:sz w:val="20"/>
              </w:rPr>
              <w:t>43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5"/>
                <w:sz w:val="20"/>
              </w:rPr>
              <w:t>ks</w:t>
            </w:r>
          </w:p>
        </w:tc>
      </w:tr>
      <w:tr>
        <w:trPr>
          <w:trHeight w:val="265" w:hRule="atLeast"/>
        </w:trPr>
        <w:tc>
          <w:tcPr>
            <w:tcW w:w="7555" w:type="dxa"/>
          </w:tcPr>
          <w:p>
            <w:pPr>
              <w:pStyle w:val="TableParagraph"/>
              <w:spacing w:line="245" w:lineRule="exact"/>
              <w:ind w:left="50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realizovaných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DČOV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kapacitě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16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5"/>
                <w:sz w:val="20"/>
              </w:rPr>
              <w:t>EO:</w:t>
            </w:r>
          </w:p>
        </w:tc>
        <w:tc>
          <w:tcPr>
            <w:tcW w:w="1595" w:type="dxa"/>
          </w:tcPr>
          <w:p>
            <w:pPr>
              <w:pStyle w:val="TableParagraph"/>
              <w:spacing w:line="245" w:lineRule="exact"/>
              <w:ind w:left="0" w:right="6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5"/>
                <w:sz w:val="20"/>
              </w:rPr>
              <w:t>ks</w:t>
            </w:r>
          </w:p>
        </w:tc>
      </w:tr>
      <w:tr>
        <w:trPr>
          <w:trHeight w:val="265" w:hRule="atLeast"/>
        </w:trPr>
        <w:tc>
          <w:tcPr>
            <w:tcW w:w="7555" w:type="dxa"/>
          </w:tcPr>
          <w:p>
            <w:pPr>
              <w:pStyle w:val="TableParagraph"/>
              <w:spacing w:line="246" w:lineRule="exact"/>
              <w:ind w:left="50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rodinných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domů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připojených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nově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realizovaným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DČOV:</w:t>
            </w:r>
          </w:p>
        </w:tc>
        <w:tc>
          <w:tcPr>
            <w:tcW w:w="1595" w:type="dxa"/>
          </w:tcPr>
          <w:p>
            <w:pPr>
              <w:pStyle w:val="TableParagraph"/>
              <w:spacing w:line="246" w:lineRule="exact"/>
              <w:ind w:left="0" w:right="48"/>
              <w:jc w:val="right"/>
              <w:rPr>
                <w:sz w:val="20"/>
              </w:rPr>
            </w:pPr>
            <w:r>
              <w:rPr>
                <w:sz w:val="20"/>
              </w:rPr>
              <w:t>45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5"/>
                <w:sz w:val="20"/>
              </w:rPr>
              <w:t>ks,</w:t>
            </w:r>
          </w:p>
        </w:tc>
      </w:tr>
    </w:tbl>
    <w:p>
      <w:pPr>
        <w:pStyle w:val="BodyText"/>
        <w:spacing w:before="12"/>
        <w:ind w:left="0"/>
        <w:jc w:val="left"/>
        <w:rPr>
          <w:sz w:val="22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00" w:after="0"/>
        <w:ind w:left="741" w:right="171" w:hanging="360"/>
        <w:jc w:val="both"/>
        <w:rPr>
          <w:sz w:val="20"/>
        </w:rPr>
      </w:pP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provedena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pozemcích,</w:t>
      </w:r>
      <w:r>
        <w:rPr>
          <w:spacing w:val="-6"/>
          <w:sz w:val="20"/>
        </w:rPr>
        <w:t> </w:t>
      </w:r>
      <w:r>
        <w:rPr>
          <w:sz w:val="20"/>
        </w:rPr>
        <w:t>jejichž</w:t>
      </w:r>
      <w:r>
        <w:rPr>
          <w:spacing w:val="-3"/>
          <w:sz w:val="20"/>
        </w:rPr>
        <w:t> </w:t>
      </w:r>
      <w:r>
        <w:rPr>
          <w:sz w:val="20"/>
        </w:rPr>
        <w:t>seznam</w:t>
      </w:r>
      <w:r>
        <w:rPr>
          <w:spacing w:val="-7"/>
          <w:sz w:val="20"/>
        </w:rPr>
        <w:t> </w:t>
      </w:r>
      <w:r>
        <w:rPr>
          <w:sz w:val="20"/>
        </w:rPr>
        <w:t>předložil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dotace</w:t>
      </w:r>
      <w:r>
        <w:rPr>
          <w:spacing w:val="-9"/>
          <w:sz w:val="20"/>
        </w:rPr>
        <w:t> </w:t>
      </w: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vlastníci</w:t>
      </w:r>
      <w:r>
        <w:rPr>
          <w:spacing w:val="-6"/>
          <w:sz w:val="20"/>
        </w:rPr>
        <w:t> </w:t>
      </w:r>
      <w:r>
        <w:rPr>
          <w:sz w:val="20"/>
        </w:rPr>
        <w:t>vyslovili souhlas s</w:t>
      </w:r>
      <w:r>
        <w:rPr>
          <w:spacing w:val="-1"/>
          <w:sz w:val="20"/>
        </w:rPr>
        <w:t> </w:t>
      </w:r>
      <w:r>
        <w:rPr>
          <w:sz w:val="20"/>
        </w:rPr>
        <w:t>realizací akce a zajištěním udržitelnosti akce po dobu 10 let od dokončení realizace akce (příslušné doklady byly příjemcem podpory Fondu předány),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77" w:hanging="360"/>
        <w:jc w:val="both"/>
        <w:rPr>
          <w:sz w:val="20"/>
        </w:rPr>
      </w:pPr>
      <w:r>
        <w:rPr>
          <w:sz w:val="20"/>
        </w:rPr>
        <w:t>zabezpečí, že předmět podpory bude plnit svoji funkci po dobu 10 let od ukončení realizace akce, a to i v případě, že dojde ke změně vlastníka akcí dotčených pozemků,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70" w:hanging="360"/>
        <w:jc w:val="both"/>
        <w:rPr>
          <w:sz w:val="20"/>
        </w:rPr>
      </w:pPr>
      <w:r>
        <w:rPr>
          <w:sz w:val="20"/>
        </w:rPr>
        <w:t>zajistí řádný a odborný provoz všech podpořených DČOV v souladu s jejich platným provozním řádem a návodem k obsluze a další povinnosti podle čl. 10 písm. l), n) a o)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80" w:hanging="360"/>
        <w:jc w:val="both"/>
        <w:rPr>
          <w:sz w:val="20"/>
        </w:rPr>
      </w:pPr>
      <w:r>
        <w:rPr>
          <w:sz w:val="20"/>
        </w:rPr>
        <w:t>zajistí řádné, nevratné a bezpečné odpojení původních jímek či septiků u nemovitých věcí, jež budou napojeny na nové DČOV,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71" w:hanging="360"/>
        <w:jc w:val="both"/>
        <w:rPr>
          <w:sz w:val="20"/>
        </w:rPr>
      </w:pPr>
      <w:r>
        <w:rPr>
          <w:sz w:val="20"/>
        </w:rPr>
        <w:t>vypracuje</w:t>
      </w:r>
      <w:r>
        <w:rPr>
          <w:spacing w:val="-14"/>
          <w:sz w:val="20"/>
        </w:rPr>
        <w:t> </w:t>
      </w:r>
      <w:r>
        <w:rPr>
          <w:sz w:val="20"/>
        </w:rPr>
        <w:t>1x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rok</w:t>
      </w:r>
      <w:r>
        <w:rPr>
          <w:spacing w:val="-13"/>
          <w:sz w:val="20"/>
        </w:rPr>
        <w:t> </w:t>
      </w:r>
      <w:r>
        <w:rPr>
          <w:sz w:val="20"/>
        </w:rPr>
        <w:t>souhrnnou</w:t>
      </w:r>
      <w:r>
        <w:rPr>
          <w:spacing w:val="-14"/>
          <w:sz w:val="20"/>
        </w:rPr>
        <w:t> </w:t>
      </w:r>
      <w:r>
        <w:rPr>
          <w:sz w:val="20"/>
        </w:rPr>
        <w:t>roční</w:t>
      </w:r>
      <w:r>
        <w:rPr>
          <w:spacing w:val="-14"/>
          <w:sz w:val="20"/>
        </w:rPr>
        <w:t> </w:t>
      </w:r>
      <w:r>
        <w:rPr>
          <w:sz w:val="20"/>
        </w:rPr>
        <w:t>zprávu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provozu</w:t>
      </w:r>
      <w:r>
        <w:rPr>
          <w:spacing w:val="-14"/>
          <w:sz w:val="20"/>
        </w:rPr>
        <w:t> </w:t>
      </w:r>
      <w:r>
        <w:rPr>
          <w:sz w:val="20"/>
        </w:rPr>
        <w:t>všech</w:t>
      </w:r>
      <w:r>
        <w:rPr>
          <w:spacing w:val="-13"/>
          <w:sz w:val="20"/>
        </w:rPr>
        <w:t> </w:t>
      </w:r>
      <w:r>
        <w:rPr>
          <w:sz w:val="20"/>
        </w:rPr>
        <w:t>podpořených</w:t>
      </w:r>
      <w:r>
        <w:rPr>
          <w:spacing w:val="-14"/>
          <w:sz w:val="20"/>
        </w:rPr>
        <w:t> </w:t>
      </w:r>
      <w:r>
        <w:rPr>
          <w:sz w:val="20"/>
        </w:rPr>
        <w:t>DČOV,</w:t>
      </w:r>
      <w:r>
        <w:rPr>
          <w:spacing w:val="-14"/>
          <w:sz w:val="20"/>
        </w:rPr>
        <w:t> </w:t>
      </w:r>
      <w:r>
        <w:rPr>
          <w:sz w:val="20"/>
        </w:rPr>
        <w:t>kterou</w:t>
      </w:r>
      <w:r>
        <w:rPr>
          <w:spacing w:val="-14"/>
          <w:sz w:val="20"/>
        </w:rPr>
        <w:t> </w:t>
      </w:r>
      <w:r>
        <w:rPr>
          <w:sz w:val="20"/>
        </w:rPr>
        <w:t>předloží</w:t>
      </w:r>
      <w:r>
        <w:rPr>
          <w:spacing w:val="-13"/>
          <w:sz w:val="20"/>
        </w:rPr>
        <w:t> </w:t>
      </w:r>
      <w:r>
        <w:rPr>
          <w:sz w:val="20"/>
        </w:rPr>
        <w:t>Fondu vždy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31.</w:t>
      </w:r>
      <w:r>
        <w:rPr>
          <w:spacing w:val="-4"/>
          <w:sz w:val="20"/>
        </w:rPr>
        <w:t> </w:t>
      </w:r>
      <w:r>
        <w:rPr>
          <w:sz w:val="20"/>
        </w:rPr>
        <w:t>1.</w:t>
      </w:r>
      <w:r>
        <w:rPr>
          <w:spacing w:val="-4"/>
          <w:sz w:val="20"/>
        </w:rPr>
        <w:t> </w:t>
      </w:r>
      <w:r>
        <w:rPr>
          <w:sz w:val="20"/>
        </w:rPr>
        <w:t>následujícího kalendářního</w:t>
      </w:r>
      <w:r>
        <w:rPr>
          <w:spacing w:val="-3"/>
          <w:sz w:val="20"/>
        </w:rPr>
        <w:t> </w:t>
      </w:r>
      <w:r>
        <w:rPr>
          <w:sz w:val="20"/>
        </w:rPr>
        <w:t>roku,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po celou</w:t>
      </w:r>
      <w:r>
        <w:rPr>
          <w:spacing w:val="-3"/>
          <w:sz w:val="20"/>
        </w:rPr>
        <w:t> </w:t>
      </w:r>
      <w:r>
        <w:rPr>
          <w:sz w:val="20"/>
        </w:rPr>
        <w:t>dobu udržitelnosti;</w:t>
      </w:r>
      <w:r>
        <w:rPr>
          <w:spacing w:val="-1"/>
          <w:sz w:val="20"/>
        </w:rPr>
        <w:t> </w:t>
      </w:r>
      <w:r>
        <w:rPr>
          <w:sz w:val="20"/>
        </w:rPr>
        <w:t>náležitosti</w:t>
      </w:r>
      <w:r>
        <w:rPr>
          <w:spacing w:val="-4"/>
          <w:sz w:val="20"/>
        </w:rPr>
        <w:t> </w:t>
      </w:r>
      <w:r>
        <w:rPr>
          <w:sz w:val="20"/>
        </w:rPr>
        <w:t>zprávy</w:t>
      </w:r>
      <w:r>
        <w:rPr>
          <w:spacing w:val="-4"/>
          <w:sz w:val="20"/>
        </w:rPr>
        <w:t> </w:t>
      </w:r>
      <w:r>
        <w:rPr>
          <w:sz w:val="20"/>
        </w:rPr>
        <w:t>jsou uvedeny v čl. 10 písm. p) 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1" w:right="168" w:hanging="360"/>
        <w:jc w:val="left"/>
        <w:rPr>
          <w:sz w:val="20"/>
        </w:rPr>
      </w:pPr>
      <w:r>
        <w:rPr>
          <w:sz w:val="20"/>
        </w:rPr>
        <w:t>bude veškeré výdaje akce vést v účetnictví (zákon č. 563/1991 Sb., o účetnictví, v platném znění) podle pokynů v čl. 10 písm. t) 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19" w:after="0"/>
        <w:ind w:left="742" w:right="0" w:hanging="360"/>
        <w:jc w:val="left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u)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78" w:hanging="360"/>
        <w:jc w:val="both"/>
        <w:rPr>
          <w:sz w:val="20"/>
        </w:rPr>
      </w:pPr>
      <w:r>
        <w:rPr>
          <w:sz w:val="20"/>
        </w:rPr>
        <w:t>termín dokončení akce do konce 12/2024 a o dodržení tohoto termínu Fond bez zbytečného odkladu informovat</w:t>
      </w:r>
      <w:r>
        <w:rPr>
          <w:spacing w:val="40"/>
          <w:sz w:val="20"/>
        </w:rPr>
        <w:t> </w:t>
      </w:r>
      <w:r>
        <w:rPr>
          <w:sz w:val="20"/>
        </w:rPr>
        <w:t>(za</w:t>
      </w:r>
      <w:r>
        <w:rPr>
          <w:spacing w:val="40"/>
          <w:sz w:val="20"/>
        </w:rPr>
        <w:t> </w:t>
      </w:r>
      <w:r>
        <w:rPr>
          <w:sz w:val="20"/>
        </w:rPr>
        <w:t>termín</w:t>
      </w:r>
      <w:r>
        <w:rPr>
          <w:spacing w:val="40"/>
          <w:sz w:val="20"/>
        </w:rPr>
        <w:t> </w:t>
      </w:r>
      <w:r>
        <w:rPr>
          <w:sz w:val="20"/>
        </w:rPr>
        <w:t>ukončení</w:t>
      </w:r>
      <w:r>
        <w:rPr>
          <w:spacing w:val="40"/>
          <w:sz w:val="20"/>
        </w:rPr>
        <w:t> </w:t>
      </w:r>
      <w:r>
        <w:rPr>
          <w:sz w:val="20"/>
        </w:rPr>
        <w:t>projektu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považuje</w:t>
      </w:r>
      <w:r>
        <w:rPr>
          <w:spacing w:val="40"/>
          <w:sz w:val="20"/>
        </w:rPr>
        <w:t> </w:t>
      </w:r>
      <w:r>
        <w:rPr>
          <w:sz w:val="20"/>
        </w:rPr>
        <w:t>datum</w:t>
      </w:r>
      <w:r>
        <w:rPr>
          <w:spacing w:val="40"/>
          <w:sz w:val="20"/>
        </w:rPr>
        <w:t> </w:t>
      </w:r>
      <w:r>
        <w:rPr>
          <w:sz w:val="20"/>
        </w:rPr>
        <w:t>protokolu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předání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převzetí</w:t>
      </w:r>
      <w:r>
        <w:rPr>
          <w:spacing w:val="40"/>
          <w:sz w:val="20"/>
        </w:rPr>
        <w:t> </w:t>
      </w:r>
      <w:r>
        <w:rPr>
          <w:sz w:val="20"/>
        </w:rPr>
        <w:t>díla</w:t>
      </w:r>
      <w:r>
        <w:rPr>
          <w:spacing w:val="40"/>
          <w:sz w:val="20"/>
        </w:rPr>
        <w:t> </w:t>
      </w:r>
      <w:r>
        <w:rPr>
          <w:sz w:val="20"/>
        </w:rPr>
        <w:t>u relevantních aktivit). Přitom se konstatuje, že akce byla zahájena v 9/2023,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73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33"/>
          <w:sz w:val="20"/>
        </w:rPr>
        <w:t> </w:t>
      </w:r>
      <w:r>
        <w:rPr>
          <w:sz w:val="20"/>
        </w:rPr>
        <w:t>zavazuje</w:t>
      </w:r>
      <w:r>
        <w:rPr>
          <w:spacing w:val="33"/>
          <w:sz w:val="20"/>
        </w:rPr>
        <w:t> </w:t>
      </w:r>
      <w:r>
        <w:rPr>
          <w:sz w:val="20"/>
        </w:rPr>
        <w:t>nejpozději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4"/>
          <w:sz w:val="20"/>
        </w:rPr>
        <w:t> </w:t>
      </w:r>
      <w:r>
        <w:rPr>
          <w:sz w:val="20"/>
        </w:rPr>
        <w:t>konce</w:t>
      </w:r>
      <w:r>
        <w:rPr>
          <w:spacing w:val="33"/>
          <w:sz w:val="20"/>
        </w:rPr>
        <w:t> </w:t>
      </w:r>
      <w:r>
        <w:rPr>
          <w:sz w:val="20"/>
        </w:rPr>
        <w:t>4/2026</w:t>
      </w:r>
      <w:r>
        <w:rPr>
          <w:spacing w:val="34"/>
          <w:sz w:val="20"/>
        </w:rPr>
        <w:t> </w:t>
      </w:r>
      <w:r>
        <w:rPr>
          <w:sz w:val="20"/>
        </w:rPr>
        <w:t>předložit</w:t>
      </w:r>
      <w:r>
        <w:rPr>
          <w:spacing w:val="33"/>
          <w:sz w:val="20"/>
        </w:rPr>
        <w:t> </w:t>
      </w:r>
      <w:r>
        <w:rPr>
          <w:sz w:val="20"/>
        </w:rPr>
        <w:t>prostřednictvím</w:t>
      </w:r>
      <w:r>
        <w:rPr>
          <w:spacing w:val="33"/>
          <w:sz w:val="20"/>
        </w:rPr>
        <w:t> </w:t>
      </w:r>
      <w:r>
        <w:rPr>
          <w:sz w:val="20"/>
        </w:rPr>
        <w:t>AIS</w:t>
      </w:r>
      <w:r>
        <w:rPr>
          <w:spacing w:val="33"/>
          <w:sz w:val="20"/>
        </w:rPr>
        <w:t> </w:t>
      </w:r>
      <w:r>
        <w:rPr>
          <w:sz w:val="20"/>
        </w:rPr>
        <w:t>SFŽP</w:t>
      </w:r>
      <w:r>
        <w:rPr>
          <w:spacing w:val="33"/>
          <w:sz w:val="20"/>
        </w:rPr>
        <w:t> </w:t>
      </w:r>
      <w:r>
        <w:rPr>
          <w:sz w:val="20"/>
        </w:rPr>
        <w:t>ČR</w:t>
      </w:r>
      <w:r>
        <w:rPr>
          <w:spacing w:val="36"/>
          <w:sz w:val="20"/>
        </w:rPr>
        <w:t> </w:t>
      </w:r>
      <w:r>
        <w:rPr>
          <w:sz w:val="20"/>
        </w:rPr>
        <w:t>Fondu</w:t>
      </w:r>
      <w:r>
        <w:rPr>
          <w:spacing w:val="34"/>
          <w:sz w:val="20"/>
        </w:rPr>
        <w:t> </w:t>
      </w:r>
      <w:r>
        <w:rPr>
          <w:sz w:val="20"/>
        </w:rPr>
        <w:t>podklady k Závěrečnému vyhodnocení akce (dále jen „ZVA“) podle čl. 12 písm. d) Výzvy a dále: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doklad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akce.</w:t>
      </w:r>
    </w:p>
    <w:p>
      <w:pPr>
        <w:pStyle w:val="BodyText"/>
        <w:spacing w:before="121"/>
        <w:ind w:left="809" w:right="16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</w:t>
      </w:r>
      <w:r>
        <w:rPr>
          <w:spacing w:val="-2"/>
        </w:rPr>
        <w:t> </w:t>
      </w:r>
      <w:r>
        <w:rPr/>
        <w:t>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spacing w:after="0"/>
        <w:sectPr>
          <w:pgSz w:w="12240" w:h="15840"/>
          <w:pgMar w:header="0" w:footer="1384" w:top="1120" w:bottom="1660" w:left="1320" w:right="960"/>
        </w:sect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73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7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7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73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7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7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10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9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7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7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7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změnách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6"/>
          <w:sz w:val="20"/>
        </w:rPr>
        <w:t> </w:t>
      </w:r>
      <w:r>
        <w:rPr>
          <w:sz w:val="20"/>
        </w:rPr>
        <w:t>okolnostech,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7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7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8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8"/>
          <w:sz w:val="20"/>
        </w:rPr>
        <w:t> </w:t>
      </w:r>
      <w:r>
        <w:rPr>
          <w:sz w:val="20"/>
        </w:rPr>
        <w:t>10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s)</w:t>
      </w:r>
      <w:r>
        <w:rPr>
          <w:spacing w:val="-8"/>
          <w:sz w:val="20"/>
        </w:rPr>
        <w:t> </w:t>
      </w:r>
      <w:r>
        <w:rPr>
          <w:sz w:val="20"/>
        </w:rPr>
        <w:t>Výzvy,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left="3414"/>
      </w:pPr>
      <w:r>
        <w:rPr>
          <w:spacing w:val="-5"/>
        </w:rPr>
        <w:t>V.</w:t>
      </w:r>
    </w:p>
    <w:p>
      <w:pPr>
        <w:pStyle w:val="Heading2"/>
        <w:ind w:left="1325" w:right="1120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7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7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</w:t>
      </w:r>
      <w:r>
        <w:rPr>
          <w:spacing w:val="-1"/>
          <w:sz w:val="20"/>
        </w:rPr>
        <w:t> </w:t>
      </w:r>
      <w:r>
        <w:rPr>
          <w:sz w:val="20"/>
        </w:rPr>
        <w:t>písm. b), c) nebo d) bude</w:t>
      </w:r>
      <w:r>
        <w:rPr>
          <w:spacing w:val="-1"/>
          <w:sz w:val="20"/>
        </w:rPr>
        <w:t> </w:t>
      </w:r>
      <w:r>
        <w:rPr>
          <w:sz w:val="20"/>
        </w:rPr>
        <w:t>postiženo odvodem</w:t>
      </w:r>
      <w:r>
        <w:rPr>
          <w:spacing w:val="-1"/>
          <w:sz w:val="20"/>
        </w:rPr>
        <w:t> </w:t>
      </w:r>
      <w:r>
        <w:rPr>
          <w:sz w:val="20"/>
        </w:rPr>
        <w:t>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70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8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povinností</w:t>
      </w:r>
      <w:r>
        <w:rPr>
          <w:spacing w:val="-8"/>
          <w:sz w:val="20"/>
        </w:rPr>
        <w:t> </w:t>
      </w:r>
      <w:r>
        <w:rPr>
          <w:sz w:val="20"/>
        </w:rPr>
        <w:t>uvedených</w:t>
      </w:r>
      <w:r>
        <w:rPr>
          <w:spacing w:val="-8"/>
          <w:sz w:val="20"/>
        </w:rPr>
        <w:t> </w:t>
      </w:r>
      <w:r>
        <w:rPr>
          <w:sz w:val="20"/>
        </w:rPr>
        <w:t>v článku</w:t>
      </w:r>
      <w:r>
        <w:rPr>
          <w:spacing w:val="-8"/>
          <w:sz w:val="20"/>
        </w:rPr>
        <w:t> </w:t>
      </w:r>
      <w:r>
        <w:rPr>
          <w:sz w:val="20"/>
        </w:rPr>
        <w:t>IV</w:t>
      </w:r>
      <w:r>
        <w:rPr>
          <w:spacing w:val="-7"/>
          <w:sz w:val="20"/>
        </w:rPr>
        <w:t> </w:t>
      </w:r>
      <w:r>
        <w:rPr>
          <w:sz w:val="20"/>
        </w:rPr>
        <w:t>bodu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první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třetí</w:t>
      </w:r>
      <w:r>
        <w:rPr>
          <w:spacing w:val="-8"/>
          <w:sz w:val="20"/>
        </w:rPr>
        <w:t> </w:t>
      </w:r>
      <w:r>
        <w:rPr>
          <w:sz w:val="20"/>
        </w:rPr>
        <w:t>odrážkou,</w:t>
      </w:r>
      <w:r>
        <w:rPr>
          <w:spacing w:val="-8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druhou odrážkou, bude toto porušení postiženo odvodem</w:t>
      </w:r>
      <w:r>
        <w:rPr>
          <w:spacing w:val="-1"/>
          <w:sz w:val="20"/>
        </w:rPr>
        <w:t> </w:t>
      </w:r>
      <w:r>
        <w:rPr>
          <w:sz w:val="20"/>
        </w:rPr>
        <w:t>ve výši 100 % z poskytnuté podpory, byl – li naplněn účel akce podle citovaného ustanovení na méně než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960"/>
        </w:sectPr>
      </w:pPr>
    </w:p>
    <w:p>
      <w:pPr>
        <w:pStyle w:val="BodyText"/>
        <w:spacing w:before="73"/>
        <w:ind w:right="171"/>
      </w:pPr>
      <w:r>
        <w:rPr/>
        <w:t>50</w:t>
      </w:r>
      <w:r>
        <w:rPr>
          <w:spacing w:val="-7"/>
        </w:rPr>
        <w:t> </w:t>
      </w:r>
      <w:r>
        <w:rPr/>
        <w:t>%</w:t>
      </w:r>
      <w:r>
        <w:rPr>
          <w:spacing w:val="-8"/>
        </w:rPr>
        <w:t> </w:t>
      </w:r>
      <w:r>
        <w:rPr/>
        <w:t>stanovených</w:t>
      </w:r>
      <w:r>
        <w:rPr>
          <w:spacing w:val="-8"/>
        </w:rPr>
        <w:t> </w:t>
      </w:r>
      <w:r>
        <w:rPr/>
        <w:t>indikátorů.</w:t>
      </w:r>
      <w:r>
        <w:rPr>
          <w:spacing w:val="-8"/>
        </w:rPr>
        <w:t> </w:t>
      </w:r>
      <w:r>
        <w:rPr/>
        <w:t>V</w:t>
      </w:r>
      <w:r>
        <w:rPr>
          <w:spacing w:val="-7"/>
        </w:rPr>
        <w:t> </w:t>
      </w:r>
      <w:r>
        <w:rPr/>
        <w:t>případě</w:t>
      </w:r>
      <w:r>
        <w:rPr>
          <w:spacing w:val="-9"/>
        </w:rPr>
        <w:t> </w:t>
      </w:r>
      <w:r>
        <w:rPr/>
        <w:t>plnění</w:t>
      </w:r>
      <w:r>
        <w:rPr>
          <w:spacing w:val="-8"/>
        </w:rPr>
        <w:t> </w:t>
      </w:r>
      <w:r>
        <w:rPr/>
        <w:t>účelu</w:t>
      </w:r>
      <w:r>
        <w:rPr>
          <w:spacing w:val="-8"/>
        </w:rPr>
        <w:t> </w:t>
      </w:r>
      <w:r>
        <w:rPr/>
        <w:t>akce</w:t>
      </w:r>
      <w:r>
        <w:rPr>
          <w:spacing w:val="-9"/>
        </w:rPr>
        <w:t> </w:t>
      </w:r>
      <w:r>
        <w:rPr/>
        <w:t>podle</w:t>
      </w:r>
      <w:r>
        <w:rPr>
          <w:spacing w:val="-9"/>
        </w:rPr>
        <w:t> </w:t>
      </w:r>
      <w:r>
        <w:rPr/>
        <w:t>v předchozí</w:t>
      </w:r>
      <w:r>
        <w:rPr>
          <w:spacing w:val="-8"/>
        </w:rPr>
        <w:t> </w:t>
      </w:r>
      <w:r>
        <w:rPr/>
        <w:t>větě</w:t>
      </w:r>
      <w:r>
        <w:rPr>
          <w:spacing w:val="-9"/>
        </w:rPr>
        <w:t> </w:t>
      </w:r>
      <w:r>
        <w:rPr/>
        <w:t>citovaného</w:t>
      </w:r>
      <w:r>
        <w:rPr>
          <w:spacing w:val="-7"/>
        </w:rPr>
        <w:t> </w:t>
      </w:r>
      <w:r>
        <w:rPr/>
        <w:t>ustanovení v</w:t>
      </w:r>
      <w:r>
        <w:rPr>
          <w:spacing w:val="-2"/>
        </w:rPr>
        <w:t> </w:t>
      </w:r>
      <w:r>
        <w:rPr/>
        <w:t>rozmezí</w:t>
      </w:r>
      <w:r>
        <w:rPr>
          <w:spacing w:val="40"/>
        </w:rPr>
        <w:t> </w:t>
      </w:r>
      <w:r>
        <w:rPr/>
        <w:t>51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99</w:t>
      </w:r>
      <w:r>
        <w:rPr>
          <w:spacing w:val="40"/>
        </w:rPr>
        <w:t> </w:t>
      </w:r>
      <w:r>
        <w:rPr/>
        <w:t>%</w:t>
      </w:r>
      <w:r>
        <w:rPr>
          <w:spacing w:val="40"/>
        </w:rPr>
        <w:t> </w:t>
      </w:r>
      <w:r>
        <w:rPr/>
        <w:t>stanovených</w:t>
      </w:r>
      <w:r>
        <w:rPr>
          <w:spacing w:val="40"/>
        </w:rPr>
        <w:t> </w:t>
      </w:r>
      <w:r>
        <w:rPr/>
        <w:t>indikátorů,</w:t>
      </w:r>
      <w:r>
        <w:rPr>
          <w:spacing w:val="40"/>
        </w:rPr>
        <w:t> </w:t>
      </w:r>
      <w:r>
        <w:rPr/>
        <w:t>bude</w:t>
      </w:r>
      <w:r>
        <w:rPr>
          <w:spacing w:val="40"/>
        </w:rPr>
        <w:t> </w:t>
      </w:r>
      <w:r>
        <w:rPr/>
        <w:t>toto</w:t>
      </w:r>
      <w:r>
        <w:rPr>
          <w:spacing w:val="40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postiženo</w:t>
      </w:r>
      <w:r>
        <w:rPr>
          <w:spacing w:val="40"/>
        </w:rPr>
        <w:t> </w:t>
      </w:r>
      <w:r>
        <w:rPr/>
        <w:t>odvodem</w:t>
      </w:r>
      <w:r>
        <w:rPr>
          <w:spacing w:val="40"/>
        </w:rPr>
        <w:t> </w:t>
      </w:r>
      <w:r>
        <w:rPr/>
        <w:t>v rozmezí</w:t>
      </w:r>
      <w:r>
        <w:rPr>
          <w:spacing w:val="40"/>
        </w:rPr>
        <w:t> </w:t>
      </w:r>
      <w:r>
        <w:rPr/>
        <w:t>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73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6"/>
          <w:sz w:val="20"/>
        </w:rPr>
        <w:t> </w:t>
      </w:r>
      <w:r>
        <w:rPr>
          <w:sz w:val="20"/>
        </w:rPr>
        <w:t>povinností</w:t>
      </w:r>
      <w:r>
        <w:rPr>
          <w:spacing w:val="16"/>
          <w:sz w:val="20"/>
        </w:rPr>
        <w:t> </w:t>
      </w:r>
      <w:r>
        <w:rPr>
          <w:sz w:val="20"/>
        </w:rPr>
        <w:t>podle</w:t>
      </w:r>
      <w:r>
        <w:rPr>
          <w:spacing w:val="17"/>
          <w:sz w:val="20"/>
        </w:rPr>
        <w:t> </w:t>
      </w:r>
      <w:r>
        <w:rPr>
          <w:sz w:val="20"/>
        </w:rPr>
        <w:t>článku</w:t>
      </w:r>
      <w:r>
        <w:rPr>
          <w:spacing w:val="16"/>
          <w:sz w:val="20"/>
        </w:rPr>
        <w:t> </w:t>
      </w:r>
      <w:r>
        <w:rPr>
          <w:sz w:val="20"/>
        </w:rPr>
        <w:t>IV</w:t>
      </w:r>
      <w:r>
        <w:rPr>
          <w:spacing w:val="17"/>
          <w:sz w:val="20"/>
        </w:rPr>
        <w:t> </w:t>
      </w:r>
      <w:r>
        <w:rPr>
          <w:sz w:val="20"/>
        </w:rPr>
        <w:t>bodu</w:t>
      </w:r>
      <w:r>
        <w:rPr>
          <w:spacing w:val="16"/>
          <w:sz w:val="20"/>
        </w:rPr>
        <w:t> </w:t>
      </w:r>
      <w:r>
        <w:rPr>
          <w:sz w:val="20"/>
        </w:rPr>
        <w:t>1</w:t>
      </w:r>
      <w:r>
        <w:rPr>
          <w:spacing w:val="16"/>
          <w:sz w:val="20"/>
        </w:rPr>
        <w:t> </w:t>
      </w:r>
      <w:r>
        <w:rPr>
          <w:sz w:val="20"/>
        </w:rPr>
        <w:t>písm.</w:t>
      </w:r>
      <w:r>
        <w:rPr>
          <w:spacing w:val="16"/>
          <w:sz w:val="20"/>
        </w:rPr>
        <w:t> </w:t>
      </w:r>
      <w:r>
        <w:rPr>
          <w:sz w:val="20"/>
        </w:rPr>
        <w:t>c)</w:t>
      </w:r>
      <w:r>
        <w:rPr>
          <w:spacing w:val="22"/>
          <w:sz w:val="20"/>
        </w:rPr>
        <w:t> </w:t>
      </w:r>
      <w:r>
        <w:rPr>
          <w:sz w:val="20"/>
        </w:rPr>
        <w:t>nebo</w:t>
      </w:r>
      <w:r>
        <w:rPr>
          <w:spacing w:val="17"/>
          <w:sz w:val="20"/>
        </w:rPr>
        <w:t> </w:t>
      </w:r>
      <w:r>
        <w:rPr>
          <w:sz w:val="20"/>
        </w:rPr>
        <w:t>d)</w:t>
      </w:r>
      <w:r>
        <w:rPr>
          <w:spacing w:val="17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postiženo</w:t>
      </w:r>
      <w:r>
        <w:rPr>
          <w:spacing w:val="17"/>
          <w:sz w:val="20"/>
        </w:rPr>
        <w:t> </w:t>
      </w:r>
      <w:r>
        <w:rPr>
          <w:sz w:val="20"/>
        </w:rPr>
        <w:t>odvodem</w:t>
      </w:r>
      <w:r>
        <w:rPr>
          <w:spacing w:val="15"/>
          <w:sz w:val="20"/>
        </w:rPr>
        <w:t> </w:t>
      </w:r>
      <w:r>
        <w:rPr>
          <w:sz w:val="20"/>
        </w:rPr>
        <w:t>ve</w:t>
      </w:r>
      <w:r>
        <w:rPr>
          <w:spacing w:val="15"/>
          <w:sz w:val="20"/>
        </w:rPr>
        <w:t> </w:t>
      </w:r>
      <w:r>
        <w:rPr>
          <w:sz w:val="20"/>
        </w:rPr>
        <w:t>výši</w:t>
      </w:r>
      <w:r>
        <w:rPr>
          <w:spacing w:val="15"/>
          <w:sz w:val="20"/>
        </w:rPr>
        <w:t> </w:t>
      </w:r>
      <w:r>
        <w:rPr>
          <w:sz w:val="20"/>
        </w:rPr>
        <w:t>0,5</w:t>
      </w:r>
      <w:r>
        <w:rPr>
          <w:spacing w:val="16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každý</w:t>
      </w:r>
      <w:r>
        <w:rPr>
          <w:spacing w:val="-4"/>
          <w:sz w:val="20"/>
        </w:rPr>
        <w:t> </w:t>
      </w:r>
      <w:r>
        <w:rPr>
          <w:sz w:val="20"/>
        </w:rPr>
        <w:t>započatý</w:t>
      </w:r>
      <w:r>
        <w:rPr>
          <w:spacing w:val="-1"/>
          <w:sz w:val="20"/>
        </w:rPr>
        <w:t> </w:t>
      </w:r>
      <w:r>
        <w:rPr>
          <w:sz w:val="20"/>
        </w:rPr>
        <w:t>měsíc</w:t>
      </w:r>
      <w:r>
        <w:rPr>
          <w:spacing w:val="-4"/>
          <w:sz w:val="20"/>
        </w:rPr>
        <w:t> </w:t>
      </w:r>
      <w:r>
        <w:rPr>
          <w:sz w:val="20"/>
        </w:rPr>
        <w:t>prodlení.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těchto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nepřesahující</w:t>
      </w:r>
      <w:r>
        <w:rPr>
          <w:spacing w:val="-4"/>
          <w:sz w:val="20"/>
        </w:rPr>
        <w:t> </w:t>
      </w:r>
      <w:r>
        <w:rPr>
          <w:sz w:val="20"/>
        </w:rPr>
        <w:t>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69" w:hanging="284"/>
        <w:jc w:val="both"/>
        <w:rPr>
          <w:sz w:val="20"/>
        </w:rPr>
      </w:pPr>
      <w:r>
        <w:rPr>
          <w:sz w:val="20"/>
        </w:rPr>
        <w:t>V případě, že</w:t>
      </w:r>
      <w:r>
        <w:rPr>
          <w:spacing w:val="-1"/>
          <w:sz w:val="20"/>
        </w:rPr>
        <w:t> </w:t>
      </w:r>
      <w:r>
        <w:rPr>
          <w:sz w:val="20"/>
        </w:rPr>
        <w:t>dojde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i), bude</w:t>
      </w:r>
      <w:r>
        <w:rPr>
          <w:spacing w:val="-1"/>
          <w:sz w:val="20"/>
        </w:rPr>
        <w:t> </w:t>
      </w:r>
      <w:r>
        <w:rPr>
          <w:sz w:val="20"/>
        </w:rPr>
        <w:t>stanoven odvod podle přílohy č. 1 této 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6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left="3417"/>
      </w:pPr>
      <w:r>
        <w:rPr>
          <w:spacing w:val="-5"/>
        </w:rPr>
        <w:t>VI.</w:t>
      </w:r>
    </w:p>
    <w:p>
      <w:pPr>
        <w:pStyle w:val="Heading2"/>
        <w:spacing w:before="1"/>
        <w:ind w:left="3414" w:right="320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7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8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71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7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17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6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7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34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960"/>
        </w:sect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172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19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3"/>
        <w:ind w:left="0"/>
        <w:jc w:val="left"/>
        <w:rPr>
          <w:sz w:val="27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BodyText"/>
        <w:spacing w:line="264" w:lineRule="auto" w:before="1"/>
        <w:ind w:left="382"/>
        <w:jc w:val="left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79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0" w:footer="1384" w:top="1060" w:bottom="1660" w:left="1320" w:right="96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7"/>
        </w:rPr>
        <w:t> </w:t>
      </w:r>
      <w:r>
        <w:rPr/>
        <w:t>Státního</w:t>
      </w:r>
      <w:r>
        <w:rPr>
          <w:spacing w:val="-3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Heading2"/>
        <w:spacing w:line="264" w:lineRule="auto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7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70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17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7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7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7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14"/>
          <w:sz w:val="20"/>
        </w:rPr>
        <w:t> </w:t>
      </w:r>
      <w:r>
        <w:rPr>
          <w:sz w:val="20"/>
        </w:rPr>
        <w:t>kapitole</w:t>
      </w:r>
      <w:r>
        <w:rPr>
          <w:spacing w:val="-14"/>
          <w:sz w:val="20"/>
        </w:rPr>
        <w:t> </w:t>
      </w:r>
      <w:r>
        <w:rPr>
          <w:sz w:val="20"/>
        </w:rPr>
        <w:t>B.</w:t>
      </w:r>
      <w:r>
        <w:rPr>
          <w:spacing w:val="-14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Typy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sazby</w:t>
      </w:r>
      <w:r>
        <w:rPr>
          <w:spacing w:val="-14"/>
          <w:sz w:val="20"/>
        </w:rPr>
        <w:t> </w:t>
      </w:r>
      <w:r>
        <w:rPr>
          <w:sz w:val="20"/>
        </w:rPr>
        <w:t>odvodů,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4"/>
          <w:sz w:val="20"/>
        </w:rPr>
        <w:t> </w:t>
      </w:r>
      <w:r>
        <w:rPr>
          <w:sz w:val="20"/>
        </w:rPr>
        <w:t>odvod</w:t>
      </w:r>
      <w:r>
        <w:rPr>
          <w:spacing w:val="-14"/>
          <w:sz w:val="20"/>
        </w:rPr>
        <w:t> </w:t>
      </w:r>
      <w:r>
        <w:rPr>
          <w:sz w:val="20"/>
        </w:rPr>
        <w:t>analogicky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zásady</w:t>
      </w:r>
      <w:r>
        <w:rPr>
          <w:spacing w:val="-14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1384" w:top="1060" w:bottom="1660" w:left="1320" w:right="96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ind w:right="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060" w:bottom="3218" w:left="1320" w:right="96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917" w:left="1320" w:right="96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 neodeslal nebo nepředal ve stanovené lhůtě a současně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line="237" w:lineRule="auto" w:before="3"/>
              <w:ind w:right="48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8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25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3"/>
        <w:ind w:left="0"/>
        <w:jc w:val="left"/>
        <w:rPr>
          <w:b/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384" w:top="1120" w:bottom="1660" w:left="1320" w:right="96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37" w:lineRule="auto" w:before="4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 hodnocení nabídek),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 či hodnotících kritérií nebylo sděleno všem účastníkům, popř. tyto informace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120" w:bottom="1660" w:left="1320" w:right="96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660" w:left="1320" w:right="96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26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line="237" w:lineRule="auto" w:before="3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2258" w:left="1320" w:right="96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line="237" w:lineRule="auto" w:before="3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37" w:lineRule="auto" w:before="2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660" w:left="1320" w:right="96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1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3"/>
        <w:ind w:left="0"/>
        <w:jc w:val="left"/>
        <w:rPr>
          <w:sz w:val="27"/>
        </w:rPr>
      </w:pPr>
      <w:r>
        <w:rPr/>
        <w:pict>
          <v:rect style="position:absolute;margin-left:85.103996pt;margin-top:19.310020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3"/>
        <w:ind w:left="0"/>
        <w:jc w:val="left"/>
        <w:rPr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1384" w:top="1120" w:bottom="1660" w:left="1320" w:right="96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p>
      <w:pPr>
        <w:spacing w:after="0" w:line="237" w:lineRule="auto"/>
        <w:rPr>
          <w:sz w:val="20"/>
        </w:rPr>
        <w:sectPr>
          <w:pgSz w:w="12240" w:h="15840"/>
          <w:pgMar w:header="0" w:footer="1384" w:top="1120" w:bottom="1660" w:left="1320" w:right="96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i),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line="237" w:lineRule="auto" w:before="4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0" w:footer="1384" w:top="1120" w:bottom="1660" w:left="132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5088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6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92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38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84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3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76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2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9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20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50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80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1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40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00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9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5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8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4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00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9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5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8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4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00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9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5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8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4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00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62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84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06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28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72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94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16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4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44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4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48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5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55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9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5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8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4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00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9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5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8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4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00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9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5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8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4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00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6" w:right="320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25" w:right="112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2024-02-09T05:38:04Z</dcterms:created>
  <dcterms:modified xsi:type="dcterms:W3CDTF">2024-02-09T05:38:04Z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2024-02-09T00:00:00Z</vt:filetime>
  </property>
</Properties>
</file>