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20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1210700047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81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Kuklík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352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Kuklík,</w:t>
      </w:r>
      <w:r>
        <w:rPr>
          <w:spacing w:val="-5"/>
        </w:rPr>
        <w:t> </w:t>
      </w:r>
      <w:r>
        <w:rPr/>
        <w:t>Kuklík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25,</w:t>
      </w:r>
      <w:r>
        <w:rPr>
          <w:spacing w:val="-5"/>
        </w:rPr>
        <w:t> </w:t>
      </w:r>
      <w:r>
        <w:rPr/>
        <w:t>592</w:t>
      </w:r>
      <w:r>
        <w:rPr>
          <w:spacing w:val="-3"/>
        </w:rPr>
        <w:t> </w:t>
      </w:r>
      <w:r>
        <w:rPr/>
        <w:t>03</w:t>
      </w:r>
      <w:r>
        <w:rPr>
          <w:spacing w:val="-4"/>
        </w:rPr>
        <w:t> </w:t>
      </w:r>
      <w:r>
        <w:rPr/>
        <w:t>Sněžné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00599514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Ladislavem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5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246"/>
        <w:jc w:val="left"/>
      </w:pPr>
      <w:r>
        <w:rPr/>
        <w:t>číslo účtu:</w:t>
        <w:tab/>
      </w:r>
      <w:r>
        <w:rPr>
          <w:spacing w:val="-2"/>
        </w:rPr>
        <w:t>94-416751/0710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20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70"/>
      </w:pPr>
      <w:r>
        <w:rPr/>
        <w:t>„Smlouva“) se uzavírá na základě Rozhodnutí ministra životního prostředí č. 1210700047 o poskytnutí finančních prostředků ze Státního fondu životního prostředí ČR ze dne 14.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0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1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9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785"/>
        <w:jc w:val="left"/>
      </w:pPr>
      <w:r>
        <w:rPr/>
        <w:t>„Odkanalizování</w:t>
      </w:r>
      <w:r>
        <w:rPr>
          <w:spacing w:val="-10"/>
        </w:rPr>
        <w:t> </w:t>
      </w:r>
      <w:r>
        <w:rPr/>
        <w:t>obce</w:t>
      </w:r>
      <w:r>
        <w:rPr>
          <w:spacing w:val="-9"/>
        </w:rPr>
        <w:t> </w:t>
      </w:r>
      <w:r>
        <w:rPr/>
        <w:t>Kuklík</w:t>
      </w:r>
      <w:r>
        <w:rPr>
          <w:spacing w:val="-10"/>
        </w:rPr>
        <w:t> </w:t>
      </w:r>
      <w:r>
        <w:rPr/>
        <w:t>systémem</w:t>
      </w:r>
      <w:r>
        <w:rPr>
          <w:spacing w:val="-8"/>
        </w:rPr>
        <w:t> </w:t>
      </w:r>
      <w:r>
        <w:rPr>
          <w:spacing w:val="-2"/>
        </w:rPr>
        <w:t>MDČOV“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20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7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6 750 000,00 Kč </w:t>
      </w:r>
      <w:r>
        <w:rPr>
          <w:sz w:val="20"/>
        </w:rPr>
        <w:t>(slovy: šest milionů sedm set padesát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16 036 422,00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42,09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7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20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75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1"/>
          <w:sz w:val="20"/>
        </w:rPr>
        <w:t> </w:t>
      </w:r>
      <w:r>
        <w:rPr>
          <w:sz w:val="20"/>
        </w:rPr>
        <w:t>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7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84" w:top="1060" w:bottom="1620" w:left="1320" w:right="960"/>
        </w:sectPr>
      </w:pPr>
    </w:p>
    <w:p>
      <w:pPr>
        <w:pStyle w:val="BodyText"/>
        <w:spacing w:before="73"/>
        <w:ind w:right="172"/>
      </w:pPr>
      <w:r>
        <w:rPr/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7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7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8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7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7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8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7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12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74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odsouhlasené</w:t>
      </w:r>
      <w:r>
        <w:rPr>
          <w:spacing w:val="-4"/>
          <w:sz w:val="20"/>
        </w:rPr>
        <w:t> </w:t>
      </w:r>
      <w:r>
        <w:rPr>
          <w:sz w:val="20"/>
        </w:rPr>
        <w:t>projektové dokumentace</w:t>
      </w:r>
      <w:r>
        <w:rPr>
          <w:spacing w:val="-4"/>
          <w:sz w:val="20"/>
        </w:rPr>
        <w:t> </w:t>
      </w:r>
      <w:r>
        <w:rPr>
          <w:sz w:val="20"/>
        </w:rPr>
        <w:t>zpracované</w:t>
      </w:r>
      <w:r>
        <w:rPr>
          <w:spacing w:val="-3"/>
          <w:sz w:val="20"/>
        </w:rPr>
        <w:t> </w:t>
      </w:r>
      <w:r>
        <w:rPr>
          <w:sz w:val="20"/>
        </w:rPr>
        <w:t>Ing.</w:t>
      </w:r>
      <w:r>
        <w:rPr>
          <w:spacing w:val="-3"/>
          <w:sz w:val="20"/>
        </w:rPr>
        <w:t> </w:t>
      </w:r>
      <w:r>
        <w:rPr>
          <w:sz w:val="20"/>
        </w:rPr>
        <w:t>Milanem Vopařilem aktualizované Ing. Pavlem Jirákem (2/2023), podle dokumentace žádosti ze dne 8. 6. 2023, podle dokumentace výběrového řízení včetně smlouvy o dílo se společností TopolWater, s.r.o., IČO: 26212943 ze dne 15. 9. 2023, včetně případných změn a doplňků těchto dokumentů odsouhlasených </w:t>
      </w:r>
      <w:r>
        <w:rPr>
          <w:spacing w:val="-2"/>
          <w:sz w:val="20"/>
        </w:rPr>
        <w:t>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70" w:hanging="360"/>
        <w:jc w:val="both"/>
        <w:rPr>
          <w:sz w:val="20"/>
        </w:rPr>
      </w:pPr>
      <w:r>
        <w:rPr>
          <w:sz w:val="20"/>
        </w:rPr>
        <w:t>akce bude provedena v předpokládaném rozsahu, t. j. dojde k prevenci a omezení znečištění povrchových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podzemních</w:t>
      </w:r>
      <w:r>
        <w:rPr>
          <w:spacing w:val="-6"/>
          <w:sz w:val="20"/>
        </w:rPr>
        <w:t> </w:t>
      </w:r>
      <w:r>
        <w:rPr>
          <w:sz w:val="20"/>
        </w:rPr>
        <w:t>vod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komunálních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44</w:t>
      </w:r>
      <w:r>
        <w:rPr>
          <w:spacing w:val="-7"/>
          <w:sz w:val="20"/>
        </w:rPr>
        <w:t> </w:t>
      </w:r>
      <w:r>
        <w:rPr>
          <w:sz w:val="20"/>
        </w:rPr>
        <w:t>ks</w:t>
      </w:r>
      <w:r>
        <w:rPr>
          <w:spacing w:val="-8"/>
          <w:sz w:val="20"/>
        </w:rPr>
        <w:t> </w:t>
      </w:r>
      <w:r>
        <w:rPr>
          <w:sz w:val="20"/>
        </w:rPr>
        <w:t>domovní</w:t>
      </w:r>
      <w:r>
        <w:rPr>
          <w:spacing w:val="-6"/>
          <w:sz w:val="20"/>
        </w:rPr>
        <w:t> </w:t>
      </w:r>
      <w:r>
        <w:rPr>
          <w:sz w:val="20"/>
        </w:rPr>
        <w:t>ČOV</w:t>
      </w:r>
      <w:r>
        <w:rPr>
          <w:spacing w:val="-7"/>
          <w:sz w:val="20"/>
        </w:rPr>
        <w:t> </w:t>
      </w:r>
      <w:r>
        <w:rPr>
          <w:sz w:val="20"/>
        </w:rPr>
        <w:t>do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960"/>
        </w:sect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5"/>
        <w:gridCol w:w="1595"/>
      </w:tblGrid>
      <w:tr>
        <w:trPr>
          <w:trHeight w:val="325" w:hRule="atLeast"/>
        </w:trPr>
        <w:tc>
          <w:tcPr>
            <w:tcW w:w="7555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kapacity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Kuklík,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takto:</w:t>
            </w:r>
          </w:p>
        </w:tc>
        <w:tc>
          <w:tcPr>
            <w:tcW w:w="15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7555" w:type="dxa"/>
          </w:tcPr>
          <w:p>
            <w:pPr>
              <w:pStyle w:val="TableParagraph"/>
              <w:spacing w:line="247" w:lineRule="exact" w:before="60"/>
              <w:ind w:left="50"/>
              <w:rPr>
                <w:sz w:val="20"/>
              </w:rPr>
            </w:pPr>
            <w:r>
              <w:rPr>
                <w:sz w:val="20"/>
              </w:rPr>
              <w:t>Celková kapacita nově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95" w:type="dxa"/>
          </w:tcPr>
          <w:p>
            <w:pPr>
              <w:pStyle w:val="TableParagraph"/>
              <w:spacing w:line="247" w:lineRule="exact" w:before="60"/>
              <w:ind w:left="0" w:right="73"/>
              <w:jc w:val="right"/>
              <w:rPr>
                <w:sz w:val="20"/>
              </w:rPr>
            </w:pPr>
            <w:r>
              <w:rPr>
                <w:sz w:val="20"/>
              </w:rPr>
              <w:t>296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EO</w:t>
            </w:r>
          </w:p>
        </w:tc>
      </w:tr>
      <w:tr>
        <w:trPr>
          <w:trHeight w:val="266" w:hRule="atLeast"/>
        </w:trPr>
        <w:tc>
          <w:tcPr>
            <w:tcW w:w="7555" w:type="dxa"/>
          </w:tcPr>
          <w:p>
            <w:pPr>
              <w:pStyle w:val="TableParagraph"/>
              <w:spacing w:line="247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vlastnictví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95" w:type="dxa"/>
          </w:tcPr>
          <w:p>
            <w:pPr>
              <w:pStyle w:val="TableParagraph"/>
              <w:spacing w:line="247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5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bytových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95" w:type="dxa"/>
          </w:tcPr>
          <w:p>
            <w:pPr>
              <w:pStyle w:val="TableParagraph"/>
              <w:spacing w:line="246" w:lineRule="exact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5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obyvatel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95" w:type="dxa"/>
          </w:tcPr>
          <w:p>
            <w:pPr>
              <w:pStyle w:val="TableParagraph"/>
              <w:spacing w:line="246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55" w:type="dxa"/>
          </w:tcPr>
          <w:p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595" w:type="dxa"/>
          </w:tcPr>
          <w:p>
            <w:pPr>
              <w:pStyle w:val="TableParagraph"/>
              <w:spacing w:line="245" w:lineRule="exact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55" w:type="dxa"/>
          </w:tcPr>
          <w:p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595" w:type="dxa"/>
          </w:tcPr>
          <w:p>
            <w:pPr>
              <w:pStyle w:val="TableParagraph"/>
              <w:spacing w:line="245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5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rodinných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595" w:type="dxa"/>
          </w:tcPr>
          <w:p>
            <w:pPr>
              <w:pStyle w:val="TableParagraph"/>
              <w:spacing w:line="246" w:lineRule="exact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5"/>
                <w:sz w:val="20"/>
              </w:rPr>
              <w:t>ks,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1" w:right="17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77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 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70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8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7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p)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68" w:hanging="360"/>
        <w:jc w:val="left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podle pokynů v čl. 10 písm. t)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78" w:hanging="360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9/2023,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3"/>
          <w:sz w:val="20"/>
        </w:rPr>
        <w:t> </w:t>
      </w:r>
      <w:r>
        <w:rPr>
          <w:sz w:val="20"/>
        </w:rPr>
        <w:t>4/2026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3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1"/>
        <w:ind w:left="809" w:right="16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384" w:top="1120" w:bottom="1660" w:left="1320" w:right="96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7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7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7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12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7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1"/>
          <w:sz w:val="20"/>
        </w:rPr>
        <w:t> </w:t>
      </w:r>
      <w:r>
        <w:rPr>
          <w:sz w:val="20"/>
        </w:rPr>
        <w:t>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7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BodyText"/>
        <w:spacing w:before="73"/>
        <w:ind w:right="171"/>
      </w:pP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indikátorů.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účelu</w:t>
      </w:r>
      <w:r>
        <w:rPr>
          <w:spacing w:val="-8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</w:t>
      </w:r>
      <w:r>
        <w:rPr>
          <w:spacing w:val="-9"/>
        </w:rPr>
        <w:t> </w:t>
      </w:r>
      <w:r>
        <w:rPr/>
        <w:t>v předchozí</w:t>
      </w:r>
      <w:r>
        <w:rPr>
          <w:spacing w:val="-8"/>
        </w:rPr>
        <w:t> </w:t>
      </w:r>
      <w:r>
        <w:rPr/>
        <w:t>větě</w:t>
      </w:r>
      <w:r>
        <w:rPr>
          <w:spacing w:val="-9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 v</w:t>
      </w:r>
      <w:r>
        <w:rPr>
          <w:spacing w:val="-2"/>
        </w:rPr>
        <w:t> </w:t>
      </w:r>
      <w:r>
        <w:rPr/>
        <w:t>rozmezí</w:t>
      </w:r>
      <w:r>
        <w:rPr>
          <w:spacing w:val="40"/>
        </w:rPr>
        <w:t> </w:t>
      </w:r>
      <w:r>
        <w:rPr/>
        <w:t>51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99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indikátorů,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 rozmezí</w:t>
      </w:r>
      <w:r>
        <w:rPr>
          <w:spacing w:val="40"/>
        </w:rPr>
        <w:t> </w:t>
      </w:r>
      <w:r>
        <w:rPr/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7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6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6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20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7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8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7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7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7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6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7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34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7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96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7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7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7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7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7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7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08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92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8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8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2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5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20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12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2024-02-09T05:38:04Z</dcterms:created>
  <dcterms:modified xsi:type="dcterms:W3CDTF">2024-02-09T05:38:04Z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