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C8B2" w14:textId="68529ED6" w:rsidR="008D39B9" w:rsidRDefault="008D39B9">
      <w:pPr>
        <w:pStyle w:val="Nzev"/>
        <w:spacing w:before="60"/>
        <w:rPr>
          <w:rFonts w:cs="Arial"/>
          <w:i/>
          <w:caps/>
          <w:sz w:val="32"/>
          <w:lang w:val="cs-CZ"/>
        </w:rPr>
      </w:pPr>
    </w:p>
    <w:p w14:paraId="0DB34942" w14:textId="77777777" w:rsidR="008D39B9" w:rsidRDefault="00EE4568">
      <w:pPr>
        <w:pStyle w:val="Nzev"/>
        <w:spacing w:before="60"/>
        <w:rPr>
          <w:rFonts w:cs="Arial"/>
          <w:i/>
          <w:caps/>
          <w:sz w:val="32"/>
        </w:rPr>
      </w:pPr>
      <w:r>
        <w:rPr>
          <w:rFonts w:cs="Arial"/>
          <w:i/>
          <w:caps/>
          <w:sz w:val="32"/>
        </w:rPr>
        <w:t>Příloha č. 2</w:t>
      </w:r>
    </w:p>
    <w:p w14:paraId="320E0E5E" w14:textId="77777777" w:rsidR="008D39B9" w:rsidRDefault="00EE4568">
      <w:pPr>
        <w:pStyle w:val="Nzev"/>
        <w:spacing w:before="60"/>
        <w:rPr>
          <w:rFonts w:cs="Arial"/>
          <w:i/>
          <w:caps/>
          <w:szCs w:val="28"/>
        </w:rPr>
      </w:pPr>
      <w:r>
        <w:rPr>
          <w:rFonts w:cs="Arial"/>
          <w:i/>
          <w:caps/>
          <w:szCs w:val="28"/>
        </w:rPr>
        <w:t>ke smlouvě čÍSLO: T 3/2015</w:t>
      </w:r>
    </w:p>
    <w:p w14:paraId="6049F820" w14:textId="77777777" w:rsidR="008D39B9" w:rsidRDefault="00EE4568">
      <w:pPr>
        <w:pStyle w:val="Nzev"/>
        <w:spacing w:before="60"/>
        <w:rPr>
          <w:rFonts w:cs="Arial"/>
          <w:i/>
          <w:caps/>
          <w:sz w:val="32"/>
        </w:rPr>
      </w:pPr>
      <w:r>
        <w:rPr>
          <w:rFonts w:cs="Arial"/>
          <w:i/>
          <w:caps/>
          <w:sz w:val="32"/>
        </w:rPr>
        <w:t>Dohoda o platebních podmínkách a odběrovém diagramu</w:t>
      </w:r>
    </w:p>
    <w:p w14:paraId="10C0C483" w14:textId="77777777" w:rsidR="008D39B9" w:rsidRDefault="00EE4568">
      <w:pPr>
        <w:pStyle w:val="Podnadpis"/>
        <w:spacing w:before="60"/>
        <w:ind w:left="360"/>
        <w:rPr>
          <w:rFonts w:ascii="Arial" w:hAnsi="Arial" w:cs="Arial"/>
          <w:szCs w:val="28"/>
        </w:rPr>
      </w:pPr>
      <w:bookmarkStart w:id="0" w:name="_Ref445168836"/>
      <w:r>
        <w:rPr>
          <w:rFonts w:ascii="Arial" w:hAnsi="Arial" w:cs="Arial"/>
          <w:szCs w:val="28"/>
        </w:rPr>
        <w:t>Pro odběrné místo: Pellicova 1b</w:t>
      </w:r>
    </w:p>
    <w:bookmarkEnd w:id="0"/>
    <w:p w14:paraId="4E3F83BF" w14:textId="77777777" w:rsidR="008D39B9" w:rsidRDefault="00EE4568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Prodávající: </w:t>
      </w:r>
      <w:r>
        <w:rPr>
          <w:rFonts w:ascii="Arial" w:hAnsi="Arial" w:cs="Arial"/>
          <w:b/>
          <w:sz w:val="20"/>
        </w:rPr>
        <w:tab/>
        <w:t>VV TOP s.r.o.</w:t>
      </w:r>
    </w:p>
    <w:p w14:paraId="75AE0C07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OR u KS v Brně, oddíl C, vložka 14125</w:t>
      </w:r>
    </w:p>
    <w:p w14:paraId="311059FC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Podolská 1739/38, 628 00 Brno</w:t>
      </w:r>
    </w:p>
    <w:p w14:paraId="5B58F2AF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Ctibor Pokorný, jednatel</w:t>
      </w:r>
    </w:p>
    <w:p w14:paraId="7E63111E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49977202</w:t>
      </w:r>
    </w:p>
    <w:p w14:paraId="39949B2B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CZ49977202</w:t>
      </w:r>
    </w:p>
    <w:p w14:paraId="1511906C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bank. spojení:</w:t>
      </w:r>
      <w:r>
        <w:rPr>
          <w:rFonts w:ascii="Arial" w:hAnsi="Arial" w:cs="Arial"/>
          <w:sz w:val="20"/>
        </w:rPr>
        <w:tab/>
        <w:t>FIO BANKA a.s., Brno</w:t>
      </w:r>
    </w:p>
    <w:p w14:paraId="5DDE43DE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2800357402/2010</w:t>
      </w:r>
    </w:p>
    <w:p w14:paraId="32DE842D" w14:textId="77777777" w:rsidR="008D39B9" w:rsidRDefault="00EE4568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1D8174BD" w14:textId="77777777" w:rsidR="008D39B9" w:rsidRDefault="00EE4568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Kupující</w:t>
      </w:r>
      <w:r>
        <w:rPr>
          <w:rFonts w:ascii="Arial" w:hAnsi="Arial" w:cs="Arial"/>
          <w:b/>
          <w:sz w:val="20"/>
        </w:rPr>
        <w:tab/>
        <w:t>Statutární město Brno, městská část Brno-střed</w:t>
      </w:r>
    </w:p>
    <w:p w14:paraId="0A682798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Dominikánské náměstí 196/1, 602 00 Brno</w:t>
      </w:r>
    </w:p>
    <w:p w14:paraId="58C396C8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  <w:t>Dominikánská 2, 601 69, Brno</w:t>
      </w:r>
    </w:p>
    <w:p w14:paraId="627C6912" w14:textId="15C8A61B" w:rsidR="008D39B9" w:rsidRDefault="00EE4568">
      <w:pPr>
        <w:ind w:left="2124" w:hanging="17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ab/>
      </w:r>
      <w:r w:rsidR="00254D28">
        <w:rPr>
          <w:rFonts w:ascii="Arial" w:hAnsi="Arial" w:cs="Arial"/>
          <w:sz w:val="20"/>
        </w:rPr>
        <w:tab/>
      </w:r>
      <w:bookmarkStart w:id="1" w:name="_GoBack"/>
      <w:bookmarkEnd w:id="1"/>
      <w:r>
        <w:rPr>
          <w:rFonts w:ascii="Arial" w:hAnsi="Arial" w:cs="Arial"/>
          <w:sz w:val="20"/>
        </w:rPr>
        <w:t xml:space="preserve">, vedoucí Odboru investičního a správy bytových domů, na základě pověření RMČ BS ze dne </w:t>
      </w:r>
      <w:r w:rsidR="00254D28">
        <w:rPr>
          <w:rFonts w:ascii="Arial" w:hAnsi="Arial" w:cs="Arial"/>
          <w:sz w:val="20"/>
        </w:rPr>
        <w:t>29.1.2024, č. usnesení RMČ/2024/55/36</w:t>
      </w:r>
    </w:p>
    <w:p w14:paraId="59D7BF63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44992785</w:t>
      </w:r>
    </w:p>
    <w:p w14:paraId="44D62FBA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CZ44992785</w:t>
      </w:r>
    </w:p>
    <w:p w14:paraId="67F1C896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  <w:t>KB a.s.</w:t>
      </w:r>
    </w:p>
    <w:p w14:paraId="41A9106A" w14:textId="77777777" w:rsidR="008D39B9" w:rsidRDefault="00EE4568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115-2545960297/0100</w:t>
      </w:r>
    </w:p>
    <w:p w14:paraId="0DE777E5" w14:textId="77777777" w:rsidR="008D39B9" w:rsidRDefault="008D39B9">
      <w:pPr>
        <w:ind w:left="360"/>
        <w:rPr>
          <w:rFonts w:ascii="Arial" w:hAnsi="Arial" w:cs="Arial"/>
          <w:sz w:val="20"/>
        </w:rPr>
      </w:pPr>
    </w:p>
    <w:p w14:paraId="03EF4750" w14:textId="77777777" w:rsidR="008D39B9" w:rsidRDefault="00EE4568">
      <w:pPr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14:paraId="0D8F879B" w14:textId="77777777" w:rsidR="008D39B9" w:rsidRDefault="00EE4568">
      <w:pPr>
        <w:spacing w:before="12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</w:p>
    <w:p w14:paraId="5651F9FB" w14:textId="77777777" w:rsidR="008D39B9" w:rsidRDefault="00EE4568">
      <w:pPr>
        <w:numPr>
          <w:ilvl w:val="1"/>
          <w:numId w:val="2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Cena dodávky je stanovena v souladu se zákonem č. 526/1990 Sb., o cenách, ve znění pozdějších předpisů, s prováděcí vyhláškou č. 450/2009 Sb., výměry Ministerstva financí ČR a cenovými rozhodnutími ERÚ.</w:t>
      </w:r>
    </w:p>
    <w:p w14:paraId="21F006A0" w14:textId="77777777" w:rsidR="008D39B9" w:rsidRDefault="00EE4568">
      <w:pPr>
        <w:numPr>
          <w:ilvl w:val="1"/>
          <w:numId w:val="2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Předpokládané náklady jsou stanoveny součinem ceny tepla a sjednaným množstvím dodávky tepla pro odběrná místa.</w:t>
      </w:r>
    </w:p>
    <w:p w14:paraId="103AE5F2" w14:textId="77777777" w:rsidR="008D39B9" w:rsidRDefault="00EE4568">
      <w:pPr>
        <w:numPr>
          <w:ilvl w:val="1"/>
          <w:numId w:val="2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Změna ceny tepla se řídí ustanovením čl. IV Kupní smlouvy na dodávku a odběr tepelné energie č. T3/2015.</w:t>
      </w:r>
    </w:p>
    <w:p w14:paraId="3E9422C5" w14:textId="77777777" w:rsidR="008D39B9" w:rsidRDefault="00EE4568">
      <w:pPr>
        <w:spacing w:before="24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14:paraId="5406BFB3" w14:textId="77777777" w:rsidR="008D39B9" w:rsidRDefault="00EE4568">
      <w:pPr>
        <w:spacing w:before="120" w:after="240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podmínky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960"/>
        <w:gridCol w:w="1720"/>
        <w:gridCol w:w="1420"/>
        <w:gridCol w:w="2100"/>
      </w:tblGrid>
      <w:tr w:rsidR="00C321D2" w14:paraId="01769F12" w14:textId="77777777" w:rsidTr="00EE4568">
        <w:trPr>
          <w:trHeight w:val="285"/>
        </w:trPr>
        <w:tc>
          <w:tcPr>
            <w:tcW w:w="38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76B2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Zdroj : PELLICOVA 1ab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D89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BDC9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C29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06D06C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D2" w14:paraId="46BE667B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53A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 xml:space="preserve">Odběrné místo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B0D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CA9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GJ předpoklad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5F2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Cena Kč/GJ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85D162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Celkem za období</w:t>
            </w:r>
          </w:p>
        </w:tc>
      </w:tr>
      <w:tr w:rsidR="00C321D2" w14:paraId="01198863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E5A46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DDE2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89F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za období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65C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62EC8C" w14:textId="77777777" w:rsidR="00C321D2" w:rsidRPr="004D2A6A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Kč bez DPH</w:t>
            </w:r>
          </w:p>
        </w:tc>
      </w:tr>
      <w:tr w:rsidR="00C321D2" w14:paraId="787F379A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30E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Pellicova 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68E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C0E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223,00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E01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1 144,20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B2A55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255 157</w:t>
            </w:r>
          </w:p>
        </w:tc>
      </w:tr>
      <w:tr w:rsidR="00C321D2" w14:paraId="1F333DA7" w14:textId="77777777" w:rsidTr="00EE4568">
        <w:trPr>
          <w:trHeight w:val="285"/>
        </w:trPr>
        <w:tc>
          <w:tcPr>
            <w:tcW w:w="38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50628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612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CB3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8E7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B552B8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D2" w14:paraId="55FFA776" w14:textId="77777777" w:rsidTr="00EE4568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FD39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271B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7D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Základ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9F6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DPH (12%)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743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C321D2" w14:paraId="75AD33D3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36B4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Předpokládané náklady (Kč)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340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29C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255 157,21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E3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30 618,87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F3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285 776,07</w:t>
            </w:r>
          </w:p>
        </w:tc>
      </w:tr>
      <w:tr w:rsidR="00C321D2" w14:paraId="671EF792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B1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4B40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90B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8F6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786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D2" w14:paraId="0692F239" w14:textId="77777777" w:rsidTr="00EE4568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85A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625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DDEE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A7B1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D592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C321D2" w14:paraId="51DAB053" w14:textId="77777777" w:rsidTr="00EE4568">
        <w:trPr>
          <w:trHeight w:val="27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051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Předpokládané náklady </w:t>
            </w:r>
            <w:proofErr w:type="spellStart"/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vč.DPH</w:t>
            </w:r>
            <w:proofErr w:type="spellEnd"/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253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E42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D73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285 776,07</w:t>
            </w:r>
          </w:p>
        </w:tc>
      </w:tr>
      <w:tr w:rsidR="00C321D2" w14:paraId="7382FDB4" w14:textId="77777777" w:rsidTr="00EE4568">
        <w:trPr>
          <w:trHeight w:val="27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3B57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Vypočtená měsíční záloha </w:t>
            </w:r>
            <w:proofErr w:type="spellStart"/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vč.DPH</w:t>
            </w:r>
            <w:proofErr w:type="spellEnd"/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49E" w14:textId="77777777" w:rsidR="00C321D2" w:rsidRPr="004D2A6A" w:rsidRDefault="00C321D2" w:rsidP="002544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D56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13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A6A">
              <w:rPr>
                <w:rFonts w:ascii="Arial" w:hAnsi="Arial" w:cs="Arial"/>
                <w:b/>
                <w:bCs/>
                <w:sz w:val="20"/>
                <w:szCs w:val="20"/>
              </w:rPr>
              <w:t>23 814,67</w:t>
            </w:r>
          </w:p>
        </w:tc>
      </w:tr>
    </w:tbl>
    <w:p w14:paraId="2676E66B" w14:textId="6AFAA368" w:rsidR="008D39B9" w:rsidRDefault="008D39B9">
      <w:pPr>
        <w:spacing w:before="120" w:after="240"/>
        <w:ind w:left="357"/>
        <w:jc w:val="center"/>
        <w:rPr>
          <w:rFonts w:ascii="Arial" w:hAnsi="Arial" w:cs="Arial"/>
          <w:sz w:val="20"/>
          <w:szCs w:val="20"/>
        </w:rPr>
      </w:pPr>
    </w:p>
    <w:p w14:paraId="291C37B1" w14:textId="027CF4D2" w:rsidR="00254D28" w:rsidRDefault="00254D28">
      <w:pPr>
        <w:spacing w:before="120" w:after="240"/>
        <w:ind w:left="357"/>
        <w:jc w:val="center"/>
        <w:rPr>
          <w:rFonts w:ascii="Arial" w:hAnsi="Arial" w:cs="Arial"/>
          <w:sz w:val="20"/>
          <w:szCs w:val="20"/>
        </w:rPr>
      </w:pPr>
    </w:p>
    <w:p w14:paraId="3A725F67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Účtovací období pro dodávku tepla a teplé užitkové vody je jeden kalendářní rok.</w:t>
      </w:r>
    </w:p>
    <w:p w14:paraId="50C2C5AA" w14:textId="7FD5055E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Předpokládané množství tepla v GJ je platné pro kalendářní rok 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</w:p>
    <w:p w14:paraId="5B25DD07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Úhrada za dodávku tepla bude prováděna formou měsíčních záloh.</w:t>
      </w:r>
    </w:p>
    <w:p w14:paraId="569D4051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Odběratel se zavazuje k úhradě měsíčních záloh ve výši a v termínu dle platebního kalendáře. </w:t>
      </w:r>
    </w:p>
    <w:p w14:paraId="69B9370B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 identifikaci plateb budou obě smluvní strany používat variabilní symbol.</w:t>
      </w:r>
    </w:p>
    <w:p w14:paraId="0181961D" w14:textId="6BE1052B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Měsíční zálohy budou hrazeny bezhotovostním převodem, platebním příkazem na běžný účet dodavatele: FIO Banka a.s., číslo účtu: 2800357402 / 2010 konstantní symbol: 0308 variabilní symbol: </w:t>
      </w:r>
      <w:r w:rsidR="00C321D2" w:rsidRPr="00110733">
        <w:rPr>
          <w:rFonts w:ascii="Arial" w:hAnsi="Arial" w:cs="Arial"/>
          <w:sz w:val="20"/>
        </w:rPr>
        <w:t>44992785</w:t>
      </w:r>
      <w:r>
        <w:rPr>
          <w:rFonts w:ascii="Arial" w:hAnsi="Arial" w:cs="Arial"/>
          <w:iCs/>
          <w:sz w:val="20"/>
          <w:szCs w:val="20"/>
        </w:rPr>
        <w:t>.</w:t>
      </w:r>
    </w:p>
    <w:p w14:paraId="63688656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Vyúčtování úhrady za dodávku tepla předá dodavatel odběrateli formou faktury do 45 dnů po skončení účtovacího období. Vyúčtování bude provedeno na základě skutečně odebraného množství a platné ceny v průběhu účtovacího období.</w:t>
      </w:r>
    </w:p>
    <w:p w14:paraId="3BF68D1A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Vyúčtování musí zahrnout započtení uhrazených záloh a splňovat náležitosti daňového dokladu. Splatnost faktury je sjednána na 15 dnů ode dne odeslání faktury odběrateli.</w:t>
      </w:r>
    </w:p>
    <w:p w14:paraId="7C8FE70C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Smluvní strany výslovně souhlasí s tím, že nedodržení sjednaných platebních podmínek bude posuzováno jako porušení par. 89, odst. 1. zákona 458/2000 Sb., energetického zákona, se všemi z toho plynoucími důsledky.</w:t>
      </w:r>
    </w:p>
    <w:p w14:paraId="379FB7F0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Pokud kupující nesplní svůj závazek uhradit zálohu nebo její část ve stanovené výši a termínech dle ustanovení čl. IV této dohody., je povinen uhradit prodávajícímu úrok z prodlení, jehož roční výše odpovídá Nařízení vlády č. 351/2013 Sb.., v platném znění. </w:t>
      </w:r>
    </w:p>
    <w:p w14:paraId="05604057" w14:textId="77777777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Pokud kupující nesplní svůj závazek uhradit vyúčtování nebo jeho část ve stanovené výši a termínech dle ustanovení čl. V smlouvy č. T 3/2015., je povinen uhradit prodávajícímu úrok z prodlení, jehož roční výše odpovídá Nařízení vlády č. 351/2013 Sb.., v platném znění. </w:t>
      </w:r>
    </w:p>
    <w:p w14:paraId="58910E63" w14:textId="10134B24" w:rsidR="008D39B9" w:rsidRDefault="00EE4568">
      <w:pPr>
        <w:numPr>
          <w:ilvl w:val="1"/>
          <w:numId w:val="30"/>
        </w:numPr>
        <w:tabs>
          <w:tab w:val="clear" w:pos="792"/>
          <w:tab w:val="num" w:pos="426"/>
        </w:tabs>
        <w:spacing w:before="12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Cena tepelné energie platná k 1.1.202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je cenu předběžnou. V předběžné ceně jsou zahrnuty náklady na nákup paliva/tepla od dodavatele, v jeho cenách platných k 1.1.202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 V případě změny cen nakupovaného paliva/tepla v průběhu roku bude předběžná cena úměrně tomu změněna v souladu s cenovými předpisy a promítnuta do platby dodávky tepla za příslušný měsíc a měsíce další. Předběžná cena je stanovena za předpokladu celkové dodávky tepelné energie předpokládané pro rok 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 V případě, že po skončení roku 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bude skutečné množství dodávek tepla odlišné, bude cena tepla úměrně tomu změněna. Vyrovnání předběžné ceny na cenu výslednou, vypočtenou podle výše uvedených zásad, bude provedeno ve vyúčtování za rok 202</w:t>
      </w:r>
      <w:r w:rsidR="00C321D2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</w:p>
    <w:p w14:paraId="4FE1E26D" w14:textId="77777777" w:rsidR="008D39B9" w:rsidRDefault="00EE4568">
      <w:pPr>
        <w:spacing w:before="24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27B8501B" w14:textId="77777777" w:rsidR="008D39B9" w:rsidRDefault="00EE4568">
      <w:pPr>
        <w:spacing w:before="120" w:after="240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 rozúčtování</w:t>
      </w:r>
    </w:p>
    <w:p w14:paraId="64E5F3D9" w14:textId="77777777" w:rsidR="008D39B9" w:rsidRDefault="00EE4568">
      <w:pPr>
        <w:numPr>
          <w:ilvl w:val="1"/>
          <w:numId w:val="33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Přehled položek ceny tepelné energie ve vyúčtování:</w:t>
      </w:r>
    </w:p>
    <w:p w14:paraId="64C8B614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 ceny tepla po ukončení topného období – vyúčtovací kalkulace jdou náklady dle skutečnosti za plyn a el. energii, stejně za skutečně provedené opravy a revize. Výsledná cena za GJ.</w:t>
      </w:r>
    </w:p>
    <w:p w14:paraId="02FE0CD7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Při vyúčtování ceny tepelné energie za ukončený kalendářní rok se vychází z předběžné kalkulace ceny tepelné energie. Oproti předběžné kalkulaci se však změní hodnoty v položkách, které se ve vyúčtování uvedou ve skutečné výši – palivo, elektřina, technologická voda, opravy a revize. Specifickou položkou je pak nájem, který je omezen maximální hodnotou dle cenového rozhodnutí ERÚ. Cenové rozhodnutí popisuje způsoby, jak v takovémto případě (překročení maximální hodnoty) postupovat.</w:t>
      </w:r>
    </w:p>
    <w:p w14:paraId="673F32F9" w14:textId="77777777" w:rsidR="008D39B9" w:rsidRDefault="00EE4568">
      <w:pPr>
        <w:numPr>
          <w:ilvl w:val="1"/>
          <w:numId w:val="33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Rozúčtování tepla</w:t>
      </w:r>
    </w:p>
    <w:p w14:paraId="7E93745D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Množství tepelné energie se stanoví dle Vyhlášky ERÚ č. 262/2015, o regulačním výkaznictví, přílohy č. 9 - u kotlů na plyn se skutečné množství tepelné energie na výstupu z kotle zjišťuje z energie plynu fakturovaného dodavatelem v </w:t>
      </w:r>
      <w:proofErr w:type="spellStart"/>
      <w:r>
        <w:rPr>
          <w:rFonts w:ascii="Arial" w:hAnsi="Arial" w:cs="Arial"/>
          <w:iCs/>
          <w:sz w:val="20"/>
          <w:szCs w:val="20"/>
        </w:rPr>
        <w:t>MWh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podle výpočtu:</w:t>
      </w:r>
    </w:p>
    <w:p w14:paraId="79E418EE" w14:textId="77777777" w:rsidR="008D39B9" w:rsidRDefault="00EE4568">
      <w:pPr>
        <w:tabs>
          <w:tab w:val="left" w:pos="720"/>
        </w:tabs>
        <w:spacing w:before="80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 x k x éta</w:t>
      </w:r>
    </w:p>
    <w:p w14:paraId="3E9D5A1F" w14:textId="77777777" w:rsidR="008D39B9" w:rsidRDefault="00EE4568">
      <w:pPr>
        <w:tabs>
          <w:tab w:val="left" w:pos="720"/>
        </w:tabs>
        <w:spacing w:before="80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 = ---------------------,  kde</w:t>
      </w:r>
    </w:p>
    <w:p w14:paraId="35973440" w14:textId="77777777" w:rsidR="008D39B9" w:rsidRDefault="00EE4568">
      <w:pPr>
        <w:tabs>
          <w:tab w:val="left" w:pos="720"/>
        </w:tabs>
        <w:spacing w:before="80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27,778</w:t>
      </w:r>
    </w:p>
    <w:p w14:paraId="04BC3EB0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Q je množství tepelné energie v GJ;</w:t>
      </w:r>
    </w:p>
    <w:p w14:paraId="44BDABB2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q je spotřeba plynu v </w:t>
      </w:r>
      <w:proofErr w:type="spellStart"/>
      <w:r>
        <w:rPr>
          <w:rFonts w:ascii="Arial" w:hAnsi="Arial" w:cs="Arial"/>
          <w:iCs/>
          <w:sz w:val="20"/>
          <w:szCs w:val="20"/>
        </w:rPr>
        <w:t>MWh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(pozn. 1 GJ = 0,27778 </w:t>
      </w:r>
      <w:proofErr w:type="spellStart"/>
      <w:r>
        <w:rPr>
          <w:rFonts w:ascii="Arial" w:hAnsi="Arial" w:cs="Arial"/>
          <w:iCs/>
          <w:sz w:val="20"/>
          <w:szCs w:val="20"/>
        </w:rPr>
        <w:t>MWh</w:t>
      </w:r>
      <w:proofErr w:type="spellEnd"/>
      <w:r>
        <w:rPr>
          <w:rFonts w:ascii="Arial" w:hAnsi="Arial" w:cs="Arial"/>
          <w:iCs/>
          <w:sz w:val="20"/>
          <w:szCs w:val="20"/>
        </w:rPr>
        <w:t>);</w:t>
      </w:r>
    </w:p>
    <w:p w14:paraId="3B70A9A0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 je koeficient vyjadřující poměr mezi výhřevností v GJ/m3 a spalným teplem plynu v GJ/m3 (podle údajů dodavatele plynu);</w:t>
      </w:r>
    </w:p>
    <w:p w14:paraId="6C28306B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éta je směrná účinnost kotle v % (účinnost výroby tepelné energie v kotli), kterou v závislosti na výkonu udává u nových zařízení projektant nebo je uvedena v technické dokumentaci kotle, v ostatních případech se dosadí hodnoty z tabulky (účinnost pro kotle s výkonem do 0,5 MW=85%, účinnost pro kotle s výkonem 0,5-3,0 MW=86%)</w:t>
      </w:r>
    </w:p>
    <w:p w14:paraId="5CD67C25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Tento objem tepla se rozúčtuje mezi konečné spotřebitele následovně:</w:t>
      </w:r>
    </w:p>
    <w:p w14:paraId="2B657A46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 ÚT dle instalovaných měřičů tepla. Měřiče jsou osazeny samostatně pro dům Pellicova 1a a samostatně pro dům Pellicova 1b.</w:t>
      </w:r>
    </w:p>
    <w:p w14:paraId="6F10994E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 TV je rozdíl mezi výrobou a ÚT. Tento zbytek tepla se rozdělí na základní (30%) a spotřební (70%) složku. Základní složka se rozdělí dle ploch pro TV a spotřební dle součtu rozdílů náměrů bytových vodoměrů.</w:t>
      </w:r>
    </w:p>
    <w:p w14:paraId="6AD64948" w14:textId="77777777" w:rsidR="008D39B9" w:rsidRDefault="00EE4568">
      <w:pPr>
        <w:spacing w:before="120"/>
        <w:ind w:left="79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 termínu přechodu by se měly udělat odečty bytových vodoměrů obou domů.</w:t>
      </w:r>
    </w:p>
    <w:p w14:paraId="39C64A6A" w14:textId="77777777" w:rsidR="008D39B9" w:rsidRDefault="00EE4568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072196B5" w14:textId="72E952D5" w:rsidR="008D39B9" w:rsidRDefault="00EE4568">
      <w:pPr>
        <w:spacing w:before="120" w:after="240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kalendář pro rok 202</w:t>
      </w:r>
      <w:r w:rsidR="00C321D2">
        <w:rPr>
          <w:rFonts w:ascii="Arial" w:hAnsi="Arial" w:cs="Arial"/>
          <w:sz w:val="20"/>
          <w:szCs w:val="20"/>
        </w:rPr>
        <w:t>4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C321D2" w14:paraId="68577244" w14:textId="77777777" w:rsidTr="00EE4568">
        <w:trPr>
          <w:trHeight w:val="300"/>
          <w:jc w:val="center"/>
        </w:trPr>
        <w:tc>
          <w:tcPr>
            <w:tcW w:w="18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F621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období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0F3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splatnost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B269F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 Kč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594A0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(12%)Kč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3A96D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Kč</w:t>
            </w:r>
          </w:p>
        </w:tc>
      </w:tr>
      <w:tr w:rsidR="00C321D2" w14:paraId="17C7FAD9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9954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22AAB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BC568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0CDD3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BD1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4ACD05C5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F0D3A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655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19B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63EEB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8BB7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19C5EDC6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373A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A6BB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1FA9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6F01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53A2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7D01862E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F9075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5B5F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A56E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466DE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B40CB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7258A3DD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9C21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7CED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C48E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546E4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D808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7652FFF1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359E8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069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1C5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DEC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CA7EC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332EEF6D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C074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FE61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05.07.2024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B99B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4F074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45FD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1F89B2C8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3ED75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7891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556D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10F16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ACB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0C54F0B9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6A24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0A57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B861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32BE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2A1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369FCD90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A8F9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220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9B5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645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7AF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58F28379" w14:textId="77777777" w:rsidTr="00EE4568">
        <w:trPr>
          <w:trHeight w:val="270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EEDF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A784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4703C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27C3F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5D8C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47490889" w14:textId="77777777" w:rsidTr="00EE4568">
        <w:trPr>
          <w:trHeight w:val="28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9AF6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7BFB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1812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21 263,10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9FB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2 551,60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1EE8B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23 815,00</w:t>
            </w:r>
          </w:p>
        </w:tc>
      </w:tr>
      <w:tr w:rsidR="00C321D2" w14:paraId="1918FB6B" w14:textId="77777777" w:rsidTr="00EE4568">
        <w:trPr>
          <w:trHeight w:val="28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958E5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1CF6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E60E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17502" w14:textId="77777777" w:rsidR="00C321D2" w:rsidRPr="004D2A6A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2CA5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285 780,00</w:t>
            </w:r>
          </w:p>
        </w:tc>
      </w:tr>
    </w:tbl>
    <w:p w14:paraId="5E188509" w14:textId="77777777" w:rsidR="008D39B9" w:rsidRDefault="00EE4568">
      <w:pPr>
        <w:pStyle w:val="Nadpis1"/>
        <w:numPr>
          <w:ilvl w:val="0"/>
          <w:numId w:val="2"/>
        </w:numPr>
        <w:suppressAutoHyphens/>
        <w:spacing w:before="240" w:after="240"/>
        <w:ind w:left="357" w:hanging="357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Sjednané množství dodávky tepla</w:t>
      </w:r>
    </w:p>
    <w:p w14:paraId="6DB49E68" w14:textId="2EAD62F2" w:rsidR="008D39B9" w:rsidRDefault="00EE4568">
      <w:pPr>
        <w:pStyle w:val="Nadpis1"/>
        <w:numPr>
          <w:ilvl w:val="1"/>
          <w:numId w:val="2"/>
        </w:numPr>
        <w:tabs>
          <w:tab w:val="clear" w:pos="792"/>
          <w:tab w:val="num" w:pos="540"/>
          <w:tab w:val="num" w:pos="709"/>
        </w:tabs>
        <w:suppressAutoHyphens/>
        <w:spacing w:before="240" w:after="240"/>
        <w:ind w:left="540" w:hanging="540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Sjednané množství tepla pro období rok 202</w:t>
      </w:r>
      <w:r w:rsidR="00C321D2">
        <w:rPr>
          <w:rFonts w:ascii="Arial" w:hAnsi="Arial" w:cs="Arial"/>
          <w:b w:val="0"/>
          <w:sz w:val="20"/>
          <w:u w:val="none"/>
        </w:rPr>
        <w:t>4</w:t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 w:rsidR="00C321D2">
        <w:rPr>
          <w:rFonts w:ascii="Arial" w:hAnsi="Arial" w:cs="Arial"/>
          <w:sz w:val="20"/>
          <w:u w:val="none"/>
        </w:rPr>
        <w:t>223</w:t>
      </w:r>
      <w:r>
        <w:rPr>
          <w:rFonts w:ascii="Arial" w:hAnsi="Arial" w:cs="Arial"/>
          <w:sz w:val="20"/>
          <w:u w:val="none"/>
        </w:rPr>
        <w:t xml:space="preserve"> GJ </w:t>
      </w:r>
    </w:p>
    <w:p w14:paraId="452DEA73" w14:textId="77777777" w:rsidR="008D39B9" w:rsidRDefault="00EE4568">
      <w:pPr>
        <w:pStyle w:val="Nadpis1"/>
        <w:numPr>
          <w:ilvl w:val="1"/>
          <w:numId w:val="2"/>
        </w:numPr>
        <w:tabs>
          <w:tab w:val="clear" w:pos="792"/>
          <w:tab w:val="num" w:pos="540"/>
          <w:tab w:val="num" w:pos="709"/>
        </w:tabs>
        <w:suppressAutoHyphens/>
        <w:spacing w:before="240" w:after="480"/>
        <w:ind w:left="539" w:hanging="539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Časové rozlišení dodávek tepla v období (odběrový diagram) bude stanoveno dle Metodických pokynů MMR ČR k </w:t>
      </w:r>
      <w:proofErr w:type="spellStart"/>
      <w:r>
        <w:rPr>
          <w:rFonts w:ascii="Arial" w:hAnsi="Arial" w:cs="Arial"/>
          <w:b w:val="0"/>
          <w:sz w:val="20"/>
          <w:u w:val="none"/>
        </w:rPr>
        <w:t>vyhl</w:t>
      </w:r>
      <w:proofErr w:type="spellEnd"/>
      <w:r>
        <w:rPr>
          <w:rFonts w:ascii="Arial" w:hAnsi="Arial" w:cs="Arial"/>
          <w:b w:val="0"/>
          <w:sz w:val="20"/>
          <w:u w:val="none"/>
        </w:rPr>
        <w:t xml:space="preserve">. č. 269/2015 </w:t>
      </w:r>
      <w:proofErr w:type="spellStart"/>
      <w:r>
        <w:rPr>
          <w:rFonts w:ascii="Arial" w:hAnsi="Arial" w:cs="Arial"/>
          <w:b w:val="0"/>
          <w:sz w:val="20"/>
          <w:u w:val="none"/>
        </w:rPr>
        <w:t>Sb</w:t>
      </w:r>
      <w:proofErr w:type="spellEnd"/>
      <w:r>
        <w:rPr>
          <w:rFonts w:ascii="Arial" w:hAnsi="Arial" w:cs="Arial"/>
          <w:b w:val="0"/>
          <w:sz w:val="20"/>
          <w:u w:val="none"/>
        </w:rPr>
        <w:t>, příloha č. 3 v následujícím upraveném režimu.</w:t>
      </w:r>
    </w:p>
    <w:tbl>
      <w:tblPr>
        <w:tblW w:w="8100" w:type="dxa"/>
        <w:tblInd w:w="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903"/>
        <w:gridCol w:w="2497"/>
      </w:tblGrid>
      <w:tr w:rsidR="00C321D2" w14:paraId="29400884" w14:textId="77777777" w:rsidTr="00C321D2">
        <w:trPr>
          <w:trHeight w:val="300"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3E5C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Období</w:t>
            </w:r>
          </w:p>
        </w:tc>
        <w:tc>
          <w:tcPr>
            <w:tcW w:w="540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24EA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Režim dodávek tepla (ÚT+TUV)</w:t>
            </w:r>
          </w:p>
        </w:tc>
      </w:tr>
      <w:tr w:rsidR="00C321D2" w14:paraId="03C93376" w14:textId="77777777" w:rsidTr="00C321D2">
        <w:trPr>
          <w:trHeight w:val="28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36BD3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3625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% 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2800" w14:textId="77777777" w:rsidR="00C321D2" w:rsidRDefault="00C321D2" w:rsidP="0025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</w:t>
            </w:r>
          </w:p>
        </w:tc>
      </w:tr>
      <w:tr w:rsidR="00C321D2" w14:paraId="0591EED2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F6D4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50F5E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B2F49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40,14</w:t>
            </w:r>
          </w:p>
        </w:tc>
      </w:tr>
      <w:tr w:rsidR="00C321D2" w14:paraId="5E5E0FC8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A5F6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2A6A2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14,50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F6DA5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32,34</w:t>
            </w:r>
          </w:p>
        </w:tc>
      </w:tr>
      <w:tr w:rsidR="00C321D2" w14:paraId="4715C22D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05860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4A39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B1D0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31,22</w:t>
            </w:r>
          </w:p>
        </w:tc>
      </w:tr>
      <w:tr w:rsidR="00C321D2" w14:paraId="32264A86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7255F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16C00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92893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20,07</w:t>
            </w:r>
          </w:p>
        </w:tc>
      </w:tr>
      <w:tr w:rsidR="00C321D2" w14:paraId="7F2F5607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5B639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C5D62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746AE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</w:tr>
      <w:tr w:rsidR="00C321D2" w14:paraId="55EDEBA1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43C0F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EC7A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D0D24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</w:tr>
      <w:tr w:rsidR="00C321D2" w14:paraId="42314A0A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55941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DDD51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49F0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</w:tr>
      <w:tr w:rsidR="00C321D2" w14:paraId="4C14A03E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30E7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B14DE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C415E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</w:tr>
      <w:tr w:rsidR="00C321D2" w14:paraId="7F6D6A14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45658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1566C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28A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</w:tr>
      <w:tr w:rsidR="00C321D2" w14:paraId="286B0379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B722F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44B9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4A44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17,84</w:t>
            </w:r>
          </w:p>
        </w:tc>
      </w:tr>
      <w:tr w:rsidR="00C321D2" w14:paraId="6FECC817" w14:textId="77777777" w:rsidTr="00C321D2">
        <w:trPr>
          <w:trHeight w:val="27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FA99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778F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9505D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26,76</w:t>
            </w:r>
          </w:p>
        </w:tc>
      </w:tr>
      <w:tr w:rsidR="00C321D2" w14:paraId="413C7DFA" w14:textId="77777777" w:rsidTr="00C321D2">
        <w:trPr>
          <w:trHeight w:val="28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FF0F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9C115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12C47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36,80</w:t>
            </w:r>
          </w:p>
        </w:tc>
      </w:tr>
      <w:tr w:rsidR="00C321D2" w14:paraId="70A0E58F" w14:textId="77777777" w:rsidTr="00C321D2">
        <w:trPr>
          <w:trHeight w:val="28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9C619" w14:textId="77777777" w:rsidR="00C321D2" w:rsidRDefault="00C321D2" w:rsidP="00254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9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849A" w14:textId="77777777" w:rsidR="00C321D2" w:rsidRPr="00B936AE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36AE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4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C16A" w14:textId="77777777" w:rsidR="00C321D2" w:rsidRPr="004D2A6A" w:rsidRDefault="00C321D2" w:rsidP="002544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A6A">
              <w:rPr>
                <w:rFonts w:ascii="Arial" w:hAnsi="Arial" w:cs="Arial"/>
                <w:sz w:val="20"/>
                <w:szCs w:val="20"/>
              </w:rPr>
              <w:t>223,00</w:t>
            </w:r>
          </w:p>
        </w:tc>
      </w:tr>
    </w:tbl>
    <w:p w14:paraId="515DED00" w14:textId="77777777" w:rsidR="008D39B9" w:rsidRDefault="00EE4568">
      <w:pPr>
        <w:pStyle w:val="Nadpis1"/>
        <w:numPr>
          <w:ilvl w:val="1"/>
          <w:numId w:val="2"/>
        </w:numPr>
        <w:tabs>
          <w:tab w:val="clear" w:pos="792"/>
          <w:tab w:val="num" w:pos="540"/>
          <w:tab w:val="num" w:pos="709"/>
        </w:tabs>
        <w:suppressAutoHyphens/>
        <w:spacing w:before="240" w:after="480"/>
        <w:ind w:left="539" w:hanging="539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lastRenderedPageBreak/>
        <w:t>V tomto článku uvedené údaje o sjednaném množství tepla jsou orientační a neslouží pro potřebu vyúčtování účtovacího období.</w:t>
      </w:r>
    </w:p>
    <w:p w14:paraId="1B59F577" w14:textId="77777777" w:rsidR="008D39B9" w:rsidRDefault="00EE4568">
      <w:pPr>
        <w:pStyle w:val="Nadpis1"/>
        <w:numPr>
          <w:ilvl w:val="0"/>
          <w:numId w:val="2"/>
        </w:numPr>
        <w:suppressAutoHyphens/>
        <w:spacing w:before="240" w:after="240"/>
        <w:ind w:left="357" w:hanging="357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Platnost</w:t>
      </w:r>
    </w:p>
    <w:p w14:paraId="652A8F40" w14:textId="59EA1090" w:rsidR="008D39B9" w:rsidRDefault="00EE4568">
      <w:pPr>
        <w:pStyle w:val="Nadpis1"/>
        <w:numPr>
          <w:ilvl w:val="1"/>
          <w:numId w:val="2"/>
        </w:numPr>
        <w:tabs>
          <w:tab w:val="clear" w:pos="792"/>
          <w:tab w:val="num" w:pos="540"/>
          <w:tab w:val="num" w:pos="709"/>
        </w:tabs>
        <w:suppressAutoHyphens/>
        <w:spacing w:before="240" w:after="480"/>
        <w:ind w:left="539" w:hanging="539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Tato dohoda o platebních podmínkách je platná podpisem obou smluvních stran a účinná dnem zveřejnění v registru smluv podle zák. č. 340/2015 Sb., o registru smluv, ve znění pozdějších předpisů. Smluvní strany si výslovně ujednaly, že platební kalendář dle čl. IV této dohody je platný od 1. 1. 202</w:t>
      </w:r>
      <w:r w:rsidR="00C321D2">
        <w:rPr>
          <w:rFonts w:ascii="Arial" w:hAnsi="Arial" w:cs="Arial"/>
          <w:b w:val="0"/>
          <w:sz w:val="20"/>
          <w:u w:val="none"/>
        </w:rPr>
        <w:t>4</w:t>
      </w:r>
      <w:r>
        <w:rPr>
          <w:rFonts w:ascii="Arial" w:hAnsi="Arial" w:cs="Arial"/>
          <w:b w:val="0"/>
          <w:sz w:val="20"/>
          <w:u w:val="none"/>
        </w:rPr>
        <w:t>.</w:t>
      </w:r>
    </w:p>
    <w:p w14:paraId="2CC66CDB" w14:textId="2C845A4D" w:rsidR="008D39B9" w:rsidRDefault="00EE4568">
      <w:pPr>
        <w:pStyle w:val="Nadpis1"/>
        <w:numPr>
          <w:ilvl w:val="1"/>
          <w:numId w:val="2"/>
        </w:numPr>
        <w:tabs>
          <w:tab w:val="clear" w:pos="792"/>
          <w:tab w:val="num" w:pos="540"/>
          <w:tab w:val="num" w:pos="709"/>
        </w:tabs>
        <w:suppressAutoHyphens/>
        <w:spacing w:before="240" w:after="480"/>
        <w:ind w:left="539" w:hanging="539"/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Tato dohoda b</w:t>
      </w:r>
      <w:r w:rsidR="00254D28">
        <w:rPr>
          <w:rFonts w:ascii="Arial" w:hAnsi="Arial" w:cs="Arial"/>
          <w:b w:val="0"/>
          <w:sz w:val="20"/>
          <w:u w:val="none"/>
        </w:rPr>
        <w:t>yla schválena RMČ usnesením č. RMČ/2024/55/36</w:t>
      </w:r>
      <w:r>
        <w:rPr>
          <w:rFonts w:ascii="Arial" w:hAnsi="Arial" w:cs="Arial"/>
          <w:b w:val="0"/>
          <w:sz w:val="20"/>
          <w:u w:val="none"/>
        </w:rPr>
        <w:t xml:space="preserve"> dne </w:t>
      </w:r>
      <w:r w:rsidR="00254D28">
        <w:rPr>
          <w:rFonts w:ascii="Arial" w:hAnsi="Arial" w:cs="Arial"/>
          <w:b w:val="0"/>
          <w:sz w:val="20"/>
          <w:u w:val="none"/>
        </w:rPr>
        <w:t>29.1.2024.</w:t>
      </w:r>
    </w:p>
    <w:p w14:paraId="6C88FD62" w14:textId="13E3BB73" w:rsidR="00254D28" w:rsidRDefault="00254D28" w:rsidP="00254D28"/>
    <w:p w14:paraId="229AE17A" w14:textId="77777777" w:rsidR="00254D28" w:rsidRPr="00254D28" w:rsidRDefault="00254D28" w:rsidP="00254D28"/>
    <w:p w14:paraId="534AE8E5" w14:textId="1557C387" w:rsidR="008D39B9" w:rsidRDefault="00EE4568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Brně dne </w:t>
      </w:r>
      <w:r w:rsidR="00254D28">
        <w:rPr>
          <w:rFonts w:ascii="Arial" w:hAnsi="Arial" w:cs="Arial"/>
          <w:sz w:val="20"/>
          <w:szCs w:val="20"/>
        </w:rPr>
        <w:t>13.2.2024</w:t>
      </w:r>
      <w:r w:rsidR="00254D28">
        <w:rPr>
          <w:rFonts w:ascii="Arial" w:hAnsi="Arial" w:cs="Arial"/>
          <w:sz w:val="20"/>
          <w:szCs w:val="20"/>
        </w:rPr>
        <w:tab/>
        <w:t>19.12.2023</w:t>
      </w:r>
    </w:p>
    <w:p w14:paraId="7BD58323" w14:textId="77777777" w:rsidR="008D39B9" w:rsidRDefault="008D39B9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914CFC6" w14:textId="77777777" w:rsidR="008D39B9" w:rsidRDefault="008D39B9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E73B4B9" w14:textId="77777777" w:rsidR="008D39B9" w:rsidRDefault="008D39B9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7E8F638" w14:textId="77777777" w:rsidR="008D39B9" w:rsidRDefault="00EE4568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Kupující:</w:t>
      </w:r>
      <w:r>
        <w:rPr>
          <w:rFonts w:ascii="Arial" w:hAnsi="Arial" w:cs="Arial"/>
          <w:sz w:val="20"/>
          <w:szCs w:val="20"/>
        </w:rPr>
        <w:tab/>
        <w:t>Prodávající:</w:t>
      </w:r>
    </w:p>
    <w:p w14:paraId="3F3ABA74" w14:textId="77777777" w:rsidR="008D39B9" w:rsidRDefault="008D39B9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4B0FD493" w14:textId="77777777" w:rsidR="008D39B9" w:rsidRDefault="008D39B9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</w:rPr>
      </w:pPr>
    </w:p>
    <w:p w14:paraId="395ADC7A" w14:textId="77777777" w:rsidR="008D39B9" w:rsidRDefault="00EE4568">
      <w:pPr>
        <w:tabs>
          <w:tab w:val="center" w:pos="1701"/>
          <w:tab w:val="center" w:pos="7088"/>
        </w:tabs>
        <w:spacing w:line="240" w:lineRule="atLeast"/>
        <w:jc w:val="both"/>
      </w:pPr>
      <w:r>
        <w:tab/>
        <w:t>________________________</w:t>
      </w:r>
      <w:r>
        <w:tab/>
        <w:t>________________________</w:t>
      </w:r>
    </w:p>
    <w:p w14:paraId="6DC8FC53" w14:textId="1D740D3F" w:rsidR="008D39B9" w:rsidRDefault="00EE4568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4D28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ab/>
        <w:t>Ctibor Pokorný</w:t>
      </w:r>
    </w:p>
    <w:p w14:paraId="68A1D9CC" w14:textId="399803DA" w:rsidR="00C321D2" w:rsidRDefault="00EE4568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Vedoucí Odboru investičního</w:t>
      </w:r>
      <w:r w:rsidR="00C321D2">
        <w:rPr>
          <w:rFonts w:ascii="Arial" w:hAnsi="Arial" w:cs="Arial"/>
          <w:sz w:val="20"/>
          <w:szCs w:val="20"/>
        </w:rPr>
        <w:tab/>
        <w:t>jednatel</w:t>
      </w:r>
    </w:p>
    <w:p w14:paraId="5284EB58" w14:textId="17D88E2D" w:rsidR="008D39B9" w:rsidRDefault="00C321D2">
      <w:pPr>
        <w:tabs>
          <w:tab w:val="center" w:pos="1701"/>
          <w:tab w:val="center" w:pos="708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4568">
        <w:rPr>
          <w:rFonts w:ascii="Arial" w:hAnsi="Arial" w:cs="Arial"/>
          <w:sz w:val="20"/>
          <w:szCs w:val="20"/>
        </w:rPr>
        <w:t>a správy bytových domů</w:t>
      </w:r>
    </w:p>
    <w:sectPr w:rsidR="008D39B9">
      <w:headerReference w:type="default" r:id="rId8"/>
      <w:footerReference w:type="default" r:id="rId9"/>
      <w:pgSz w:w="11906" w:h="16838"/>
      <w:pgMar w:top="899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3A12" w14:textId="77777777" w:rsidR="008D39B9" w:rsidRDefault="00EE4568">
      <w:r>
        <w:separator/>
      </w:r>
    </w:p>
  </w:endnote>
  <w:endnote w:type="continuationSeparator" w:id="0">
    <w:p w14:paraId="2EDD7D8D" w14:textId="77777777" w:rsidR="008D39B9" w:rsidRDefault="00EE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360" w14:textId="62092A91" w:rsidR="008D39B9" w:rsidRDefault="00EE4568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napToGrid w:val="0"/>
        <w:sz w:val="20"/>
        <w:szCs w:val="20"/>
      </w:rPr>
      <w:t xml:space="preserve">Strana </w:t>
    </w:r>
    <w:r>
      <w:rPr>
        <w:rFonts w:ascii="Arial" w:hAnsi="Arial" w:cs="Arial"/>
        <w:snapToGrid w:val="0"/>
        <w:sz w:val="20"/>
        <w:szCs w:val="20"/>
      </w:rPr>
      <w:fldChar w:fldCharType="begin"/>
    </w:r>
    <w:r>
      <w:rPr>
        <w:rFonts w:ascii="Arial" w:hAnsi="Arial" w:cs="Arial"/>
        <w:snapToGrid w:val="0"/>
        <w:sz w:val="20"/>
        <w:szCs w:val="20"/>
      </w:rPr>
      <w:instrText xml:space="preserve"> PAGE </w:instrText>
    </w:r>
    <w:r>
      <w:rPr>
        <w:rFonts w:ascii="Arial" w:hAnsi="Arial" w:cs="Arial"/>
        <w:snapToGrid w:val="0"/>
        <w:sz w:val="20"/>
        <w:szCs w:val="20"/>
      </w:rPr>
      <w:fldChar w:fldCharType="separate"/>
    </w:r>
    <w:r w:rsidR="00254D28">
      <w:rPr>
        <w:rFonts w:ascii="Arial" w:hAnsi="Arial" w:cs="Arial"/>
        <w:noProof/>
        <w:snapToGrid w:val="0"/>
        <w:sz w:val="20"/>
        <w:szCs w:val="20"/>
      </w:rPr>
      <w:t>2</w:t>
    </w:r>
    <w:r>
      <w:rPr>
        <w:rFonts w:ascii="Arial" w:hAnsi="Arial" w:cs="Arial"/>
        <w:snapToGrid w:val="0"/>
        <w:sz w:val="20"/>
        <w:szCs w:val="20"/>
      </w:rPr>
      <w:fldChar w:fldCharType="end"/>
    </w:r>
    <w:r>
      <w:rPr>
        <w:rFonts w:ascii="Arial" w:hAnsi="Arial" w:cs="Arial"/>
        <w:snapToGrid w:val="0"/>
        <w:sz w:val="20"/>
        <w:szCs w:val="20"/>
      </w:rPr>
      <w:t xml:space="preserve"> (celkem </w:t>
    </w:r>
    <w:r>
      <w:rPr>
        <w:rFonts w:ascii="Arial" w:hAnsi="Arial" w:cs="Arial"/>
        <w:snapToGrid w:val="0"/>
        <w:sz w:val="20"/>
        <w:szCs w:val="20"/>
      </w:rPr>
      <w:fldChar w:fldCharType="begin"/>
    </w:r>
    <w:r>
      <w:rPr>
        <w:rFonts w:ascii="Arial" w:hAnsi="Arial" w:cs="Arial"/>
        <w:snapToGrid w:val="0"/>
        <w:sz w:val="20"/>
        <w:szCs w:val="20"/>
      </w:rPr>
      <w:instrText xml:space="preserve"> NUMPAGES </w:instrText>
    </w:r>
    <w:r>
      <w:rPr>
        <w:rFonts w:ascii="Arial" w:hAnsi="Arial" w:cs="Arial"/>
        <w:snapToGrid w:val="0"/>
        <w:sz w:val="20"/>
        <w:szCs w:val="20"/>
      </w:rPr>
      <w:fldChar w:fldCharType="separate"/>
    </w:r>
    <w:r w:rsidR="00254D28">
      <w:rPr>
        <w:rFonts w:ascii="Arial" w:hAnsi="Arial" w:cs="Arial"/>
        <w:noProof/>
        <w:snapToGrid w:val="0"/>
        <w:sz w:val="20"/>
        <w:szCs w:val="20"/>
      </w:rPr>
      <w:t>4</w:t>
    </w:r>
    <w:r>
      <w:rPr>
        <w:rFonts w:ascii="Arial" w:hAnsi="Arial" w:cs="Arial"/>
        <w:snapToGrid w:val="0"/>
        <w:sz w:val="20"/>
        <w:szCs w:val="20"/>
      </w:rPr>
      <w:fldChar w:fldCharType="end"/>
    </w:r>
    <w:r>
      <w:rPr>
        <w:rFonts w:ascii="Arial" w:hAnsi="Arial" w:cs="Arial"/>
        <w:snapToGrid w:val="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2FA25" w14:textId="77777777" w:rsidR="008D39B9" w:rsidRDefault="00EE4568">
      <w:r>
        <w:separator/>
      </w:r>
    </w:p>
  </w:footnote>
  <w:footnote w:type="continuationSeparator" w:id="0">
    <w:p w14:paraId="60AFF93A" w14:textId="77777777" w:rsidR="008D39B9" w:rsidRDefault="00EE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40C5" w14:textId="77777777" w:rsidR="008D39B9" w:rsidRDefault="00EE4568">
    <w:pPr>
      <w:pStyle w:val="Zhlav"/>
      <w:pBdr>
        <w:bottom w:val="single" w:sz="4" w:space="1" w:color="auto"/>
      </w:pBdr>
      <w:tabs>
        <w:tab w:val="clear" w:pos="9072"/>
        <w:tab w:val="right" w:pos="9720"/>
      </w:tabs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VV TOP s.r.o.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Příloha č. 2 k T 3 /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3017"/>
    <w:multiLevelType w:val="multilevel"/>
    <w:tmpl w:val="52D4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D672ACE"/>
    <w:multiLevelType w:val="multilevel"/>
    <w:tmpl w:val="1EAC0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8364FD3"/>
    <w:multiLevelType w:val="singleLevel"/>
    <w:tmpl w:val="407072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" w15:restartNumberingAfterBreak="0">
    <w:nsid w:val="3C362C6A"/>
    <w:multiLevelType w:val="multilevel"/>
    <w:tmpl w:val="095C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478759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56323E2"/>
    <w:multiLevelType w:val="multilevel"/>
    <w:tmpl w:val="B3C04CB8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0"/>
  </w:num>
  <w:num w:numId="31">
    <w:abstractNumId w:val="2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9"/>
    <w:rsid w:val="00254D28"/>
    <w:rsid w:val="008D39B9"/>
    <w:rsid w:val="00A95A33"/>
    <w:rsid w:val="00C321D2"/>
    <w:rsid w:val="00E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F4CAF"/>
  <w15:chartTrackingRefBased/>
  <w15:docId w15:val="{99DDE9CC-9249-44AE-B0CD-3A7BCC6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rFonts w:ascii="Bookman Old Style" w:hAnsi="Bookman Old Style"/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rFonts w:ascii="Bookman Old Style" w:hAnsi="Bookman Old Style"/>
      <w:b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line="240" w:lineRule="atLeast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Bookman Old Style" w:hAnsi="Bookman Old Style"/>
      <w:b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240" w:lineRule="atLeast"/>
      <w:outlineLvl w:val="5"/>
    </w:pPr>
    <w:rPr>
      <w:rFonts w:ascii="Bookman Old Style" w:hAnsi="Bookman Old Style"/>
      <w:b/>
      <w:sz w:val="20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atumnazvr">
    <w:name w:val="Datum na závěr"/>
    <w:basedOn w:val="Zkladntextodsazen"/>
    <w:pPr>
      <w:tabs>
        <w:tab w:val="center" w:pos="2268"/>
        <w:tab w:val="center" w:pos="6804"/>
      </w:tabs>
      <w:spacing w:before="480" w:after="60"/>
      <w:ind w:left="0"/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  <w:outlineLvl w:val="0"/>
    </w:pPr>
    <w:rPr>
      <w:rFonts w:ascii="Arial" w:eastAsia="MS Mincho" w:hAnsi="Arial"/>
      <w:b/>
      <w:noProof/>
      <w:sz w:val="28"/>
      <w:szCs w:val="20"/>
      <w:lang w:val="x-none" w:eastAsia="x-none"/>
    </w:rPr>
  </w:style>
  <w:style w:type="character" w:customStyle="1" w:styleId="NzevChar">
    <w:name w:val="Název Char"/>
    <w:link w:val="Nzev"/>
    <w:rPr>
      <w:rFonts w:ascii="Arial" w:eastAsia="MS Mincho" w:hAnsi="Arial"/>
      <w:b/>
      <w:noProof/>
      <w:sz w:val="28"/>
    </w:rPr>
  </w:style>
  <w:style w:type="paragraph" w:styleId="Podnadpis">
    <w:name w:val="Subtitle"/>
    <w:basedOn w:val="Normln"/>
    <w:link w:val="PodnadpisChar"/>
    <w:qFormat/>
    <w:pPr>
      <w:jc w:val="center"/>
      <w:outlineLvl w:val="0"/>
    </w:pPr>
    <w:rPr>
      <w:rFonts w:eastAsia="MS Mincho"/>
      <w:b/>
      <w:i/>
      <w:noProof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Pr>
      <w:rFonts w:eastAsia="MS Mincho"/>
      <w:b/>
      <w:i/>
      <w:noProof/>
      <w:sz w:val="2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3748-0F97-421C-92DA-78A07C6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1248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 &amp;l0O &amp;l26A (s12H (s0S (s0B (17U (s0p3T &amp;l2E &amp;l7</vt:lpstr>
    </vt:vector>
  </TitlesOfParts>
  <Company>ALFA-COM s.r.o.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&amp;l0O &amp;l26A (s12H (s0S (s0B (17U (s0p3T &amp;l2E &amp;l7</dc:title>
  <dc:subject/>
  <dc:creator>Milan Krajíček</dc:creator>
  <cp:keywords/>
  <cp:lastModifiedBy>Eva Jachymiáková</cp:lastModifiedBy>
  <cp:revision>6</cp:revision>
  <cp:lastPrinted>2024-01-10T10:32:00Z</cp:lastPrinted>
  <dcterms:created xsi:type="dcterms:W3CDTF">2024-01-10T09:57:00Z</dcterms:created>
  <dcterms:modified xsi:type="dcterms:W3CDTF">2024-02-13T07:31:00Z</dcterms:modified>
</cp:coreProperties>
</file>