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023326F2"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r w:rsidR="0074485D">
        <w:rPr>
          <w:rFonts w:ascii="Arial" w:hAnsi="Arial" w:cs="Arial"/>
          <w:bCs/>
        </w:rPr>
        <w:t>xxxxxxxxxxxxxx</w:t>
      </w:r>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3598E7B6" w14:textId="77777777" w:rsidR="002B2C6F" w:rsidRPr="00FB010A" w:rsidRDefault="002B2C6F" w:rsidP="002B2C6F">
      <w:pPr>
        <w:tabs>
          <w:tab w:val="left" w:pos="2268"/>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proofErr w:type="spellStart"/>
      <w:r>
        <w:rPr>
          <w:rFonts w:ascii="Arial" w:hAnsi="Arial" w:cs="Arial"/>
          <w:b/>
          <w:bCs/>
        </w:rPr>
        <w:t>Herold’s</w:t>
      </w:r>
      <w:proofErr w:type="spellEnd"/>
      <w:proofErr w:type="gram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14:paraId="45FE10F3" w14:textId="77777777" w:rsidR="002B2C6F" w:rsidRPr="00034611" w:rsidRDefault="002B2C6F" w:rsidP="002B2C6F">
      <w:pPr>
        <w:tabs>
          <w:tab w:val="left" w:pos="2268"/>
        </w:tabs>
        <w:rPr>
          <w:rFonts w:ascii="Arial" w:hAnsi="Arial" w:cs="Arial"/>
          <w:bCs/>
        </w:rPr>
      </w:pPr>
      <w:r w:rsidRPr="00EF44E3">
        <w:rPr>
          <w:rFonts w:ascii="Arial" w:hAnsi="Arial" w:cs="Arial"/>
          <w:bCs/>
        </w:rPr>
        <w:t>Se sídlem :</w:t>
      </w:r>
      <w:r w:rsidRPr="00EF44E3">
        <w:rPr>
          <w:rFonts w:ascii="Arial" w:hAnsi="Arial" w:cs="Arial"/>
          <w:bCs/>
        </w:rPr>
        <w:tab/>
      </w:r>
      <w:proofErr w:type="gramStart"/>
      <w:r>
        <w:rPr>
          <w:rFonts w:ascii="Arial" w:hAnsi="Arial" w:cs="Arial"/>
          <w:bCs/>
        </w:rPr>
        <w:t>č.p.</w:t>
      </w:r>
      <w:proofErr w:type="gramEnd"/>
      <w:r>
        <w:rPr>
          <w:rFonts w:ascii="Arial" w:hAnsi="Arial" w:cs="Arial"/>
          <w:bCs/>
        </w:rPr>
        <w:t xml:space="preserve"> 226, 742 33 Jeseník nad Odrou</w:t>
      </w:r>
    </w:p>
    <w:p w14:paraId="3EDD2054" w14:textId="77777777" w:rsidR="002B2C6F" w:rsidRPr="00034611" w:rsidRDefault="002B2C6F" w:rsidP="002B2C6F">
      <w:pPr>
        <w:tabs>
          <w:tab w:val="left" w:pos="2268"/>
        </w:tabs>
        <w:rPr>
          <w:rFonts w:ascii="Arial" w:hAnsi="Arial" w:cs="Arial"/>
          <w:b/>
          <w:bCs/>
        </w:rPr>
      </w:pPr>
      <w:proofErr w:type="gramStart"/>
      <w:r w:rsidRPr="00EF44E3">
        <w:rPr>
          <w:rFonts w:ascii="Arial" w:hAnsi="Arial" w:cs="Arial"/>
          <w:bCs/>
        </w:rPr>
        <w:t>Zastoupen :</w:t>
      </w:r>
      <w:r w:rsidRPr="00EF44E3">
        <w:rPr>
          <w:rFonts w:ascii="Arial" w:hAnsi="Arial" w:cs="Arial"/>
          <w:bCs/>
        </w:rPr>
        <w:tab/>
      </w:r>
      <w:r>
        <w:rPr>
          <w:rFonts w:ascii="Arial" w:hAnsi="Arial" w:cs="Arial"/>
          <w:bCs/>
        </w:rPr>
        <w:t>Václavem</w:t>
      </w:r>
      <w:proofErr w:type="gramEnd"/>
      <w:r>
        <w:rPr>
          <w:rFonts w:ascii="Arial" w:hAnsi="Arial" w:cs="Arial"/>
          <w:bCs/>
        </w:rPr>
        <w:t xml:space="preserve"> Heroldem, jednatelem společnosti</w:t>
      </w:r>
    </w:p>
    <w:p w14:paraId="442E1F7D" w14:textId="77777777" w:rsidR="002B2C6F" w:rsidRPr="00EF44E3" w:rsidRDefault="002B2C6F" w:rsidP="002B2C6F">
      <w:pPr>
        <w:tabs>
          <w:tab w:val="left" w:pos="2268"/>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08368457</w:t>
      </w:r>
    </w:p>
    <w:p w14:paraId="387AEA9B" w14:textId="77777777" w:rsidR="002B2C6F" w:rsidRPr="00EF44E3" w:rsidRDefault="002B2C6F" w:rsidP="002B2C6F">
      <w:pPr>
        <w:tabs>
          <w:tab w:val="left" w:pos="2268"/>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CZ08368457</w:t>
      </w:r>
      <w:proofErr w:type="gramEnd"/>
    </w:p>
    <w:p w14:paraId="5E87213C" w14:textId="77777777" w:rsidR="002B2C6F" w:rsidRPr="00EF44E3" w:rsidRDefault="002B2C6F" w:rsidP="002B2C6F">
      <w:pPr>
        <w:rPr>
          <w:rFonts w:ascii="Arial" w:hAnsi="Arial" w:cs="Arial"/>
          <w:bCs/>
        </w:rPr>
      </w:pPr>
      <w:r w:rsidRPr="00EF44E3">
        <w:rPr>
          <w:rFonts w:ascii="Arial" w:hAnsi="Arial" w:cs="Arial"/>
          <w:bCs/>
        </w:rPr>
        <w:t>zapsán v</w:t>
      </w:r>
      <w:r>
        <w:rPr>
          <w:rFonts w:ascii="Arial" w:hAnsi="Arial" w:cs="Arial"/>
          <w:bCs/>
        </w:rPr>
        <w:t> </w:t>
      </w:r>
      <w:r w:rsidRPr="00EF44E3">
        <w:rPr>
          <w:rFonts w:ascii="Arial" w:hAnsi="Arial" w:cs="Arial"/>
          <w:bCs/>
        </w:rPr>
        <w:t>obchodním</w:t>
      </w:r>
      <w:r>
        <w:rPr>
          <w:rFonts w:ascii="Arial" w:hAnsi="Arial" w:cs="Arial"/>
          <w:bCs/>
        </w:rPr>
        <w:t xml:space="preserve"> </w:t>
      </w:r>
      <w:r w:rsidRPr="00EF44E3">
        <w:rPr>
          <w:rFonts w:ascii="Arial" w:hAnsi="Arial" w:cs="Arial"/>
          <w:bCs/>
        </w:rPr>
        <w:t xml:space="preserve">rejstříku u </w:t>
      </w:r>
      <w:r>
        <w:rPr>
          <w:rFonts w:ascii="Arial" w:hAnsi="Arial" w:cs="Arial"/>
          <w:bCs/>
        </w:rPr>
        <w:t xml:space="preserve">Krajského soudu v Ostravě pod </w:t>
      </w:r>
      <w:proofErr w:type="spellStart"/>
      <w:r>
        <w:rPr>
          <w:rFonts w:ascii="Arial" w:hAnsi="Arial" w:cs="Arial"/>
          <w:bCs/>
        </w:rPr>
        <w:t>sp</w:t>
      </w:r>
      <w:proofErr w:type="spellEnd"/>
      <w:r>
        <w:rPr>
          <w:rFonts w:ascii="Arial" w:hAnsi="Arial" w:cs="Arial"/>
          <w:bCs/>
        </w:rPr>
        <w:t>. zn. C 79327</w:t>
      </w:r>
    </w:p>
    <w:p w14:paraId="0112EE57" w14:textId="77777777" w:rsidR="002B2C6F" w:rsidRPr="00EF44E3" w:rsidRDefault="002B2C6F" w:rsidP="002B2C6F">
      <w:pPr>
        <w:tabs>
          <w:tab w:val="left" w:pos="2268"/>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sidRPr="005056A5">
        <w:rPr>
          <w:rFonts w:ascii="Arial" w:hAnsi="Arial" w:cs="Arial"/>
          <w:bCs/>
        </w:rPr>
        <w:t>Raiffeisenbank</w:t>
      </w:r>
      <w:proofErr w:type="spellEnd"/>
      <w:proofErr w:type="gramEnd"/>
      <w:r w:rsidRPr="005056A5">
        <w:rPr>
          <w:rFonts w:ascii="Arial" w:hAnsi="Arial" w:cs="Arial"/>
          <w:bCs/>
        </w:rPr>
        <w:t>, a.s.</w:t>
      </w:r>
    </w:p>
    <w:p w14:paraId="4E4E3687" w14:textId="77777777" w:rsidR="002B2C6F" w:rsidRPr="00EF44E3" w:rsidRDefault="002B2C6F" w:rsidP="002B2C6F">
      <w:pPr>
        <w:tabs>
          <w:tab w:val="left" w:pos="2268"/>
        </w:tabs>
        <w:rPr>
          <w:rFonts w:ascii="Arial" w:hAnsi="Arial" w:cs="Arial"/>
          <w:bCs/>
        </w:rPr>
      </w:pPr>
      <w:r>
        <w:rPr>
          <w:rFonts w:ascii="Arial" w:hAnsi="Arial" w:cs="Arial"/>
          <w:bCs/>
        </w:rPr>
        <w:t xml:space="preserve">Číslo </w:t>
      </w:r>
      <w:proofErr w:type="gramStart"/>
      <w:r>
        <w:rPr>
          <w:rFonts w:ascii="Arial" w:hAnsi="Arial" w:cs="Arial"/>
          <w:bCs/>
        </w:rPr>
        <w:t>účtu :</w:t>
      </w:r>
      <w:r>
        <w:rPr>
          <w:rFonts w:ascii="Arial" w:hAnsi="Arial" w:cs="Arial"/>
          <w:bCs/>
        </w:rPr>
        <w:tab/>
      </w:r>
      <w:r w:rsidRPr="005056A5">
        <w:rPr>
          <w:rFonts w:ascii="Arial" w:hAnsi="Arial" w:cs="Arial"/>
          <w:bCs/>
        </w:rPr>
        <w:t>9821598215/5500</w:t>
      </w:r>
      <w:proofErr w:type="gramEnd"/>
    </w:p>
    <w:p w14:paraId="298EB85B" w14:textId="77777777" w:rsidR="002B2C6F" w:rsidRPr="00EF44E3" w:rsidRDefault="002B2C6F" w:rsidP="002B2C6F">
      <w:pPr>
        <w:rPr>
          <w:rFonts w:ascii="Arial" w:hAnsi="Arial" w:cs="Arial"/>
          <w:bCs/>
        </w:rPr>
      </w:pPr>
      <w:r w:rsidRPr="00EF44E3">
        <w:rPr>
          <w:rFonts w:ascii="Arial" w:hAnsi="Arial" w:cs="Arial"/>
          <w:bCs/>
        </w:rPr>
        <w:t>Zástupce ve věcech smluvních</w:t>
      </w:r>
    </w:p>
    <w:p w14:paraId="301A8B5A" w14:textId="63433BCB" w:rsidR="00E9681B" w:rsidRDefault="002B2C6F" w:rsidP="002B2C6F">
      <w:pPr>
        <w:rPr>
          <w:rFonts w:ascii="Arial" w:hAnsi="Arial"/>
          <w:bCs/>
        </w:rPr>
      </w:pPr>
      <w:r w:rsidRPr="00EF44E3">
        <w:rPr>
          <w:rFonts w:ascii="Arial" w:hAnsi="Arial" w:cs="Arial"/>
          <w:bCs/>
        </w:rPr>
        <w:t xml:space="preserve">a  technických - </w:t>
      </w:r>
      <w:proofErr w:type="gramStart"/>
      <w:r w:rsidRPr="00EF44E3">
        <w:rPr>
          <w:rFonts w:ascii="Arial" w:hAnsi="Arial" w:cs="Arial"/>
          <w:bCs/>
        </w:rPr>
        <w:t xml:space="preserve">stavbyvedoucí :  </w:t>
      </w:r>
      <w:r>
        <w:rPr>
          <w:rFonts w:ascii="Arial" w:hAnsi="Arial" w:cs="Arial"/>
          <w:bCs/>
        </w:rPr>
        <w:t>Václav</w:t>
      </w:r>
      <w:proofErr w:type="gramEnd"/>
      <w:r>
        <w:rPr>
          <w:rFonts w:ascii="Arial" w:hAnsi="Arial" w:cs="Arial"/>
          <w:bCs/>
        </w:rPr>
        <w:t xml:space="preserve"> Herold</w:t>
      </w:r>
      <w:r w:rsidR="00FB36F5">
        <w:rPr>
          <w:rFonts w:ascii="Arial" w:hAnsi="Arial"/>
          <w:bCs/>
        </w:rPr>
        <w:t xml:space="preserve"> </w:t>
      </w: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w:t>
      </w:r>
      <w:r>
        <w:rPr>
          <w:rFonts w:ascii="Arial" w:hAnsi="Arial"/>
          <w:sz w:val="22"/>
          <w:szCs w:val="22"/>
        </w:rPr>
        <w:lastRenderedPageBreak/>
        <w:t>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175B2FCA"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2B2C6F">
        <w:rPr>
          <w:rFonts w:ascii="Arial" w:hAnsi="Arial" w:cs="Arial"/>
          <w:b/>
          <w:sz w:val="22"/>
          <w:szCs w:val="22"/>
        </w:rPr>
        <w:t xml:space="preserve">Oprava sociálního zázemí bývalé prodejny v objektu Kojetín </w:t>
      </w:r>
      <w:proofErr w:type="gramStart"/>
      <w:r w:rsidR="002B2C6F">
        <w:rPr>
          <w:rFonts w:ascii="Arial" w:hAnsi="Arial" w:cs="Arial"/>
          <w:b/>
          <w:sz w:val="22"/>
          <w:szCs w:val="22"/>
        </w:rPr>
        <w:t>č.p.</w:t>
      </w:r>
      <w:proofErr w:type="gramEnd"/>
      <w:r w:rsidR="002B2C6F">
        <w:rPr>
          <w:rFonts w:ascii="Arial" w:hAnsi="Arial" w:cs="Arial"/>
          <w:b/>
          <w:sz w:val="22"/>
          <w:szCs w:val="22"/>
        </w:rPr>
        <w:t xml:space="preserve"> 7, Nový Jičín</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1AF3F1DC" w:rsidR="00E9681B" w:rsidRDefault="00A24CE0"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2B2C6F" w:rsidRPr="0052236E">
        <w:rPr>
          <w:rFonts w:ascii="Arial" w:hAnsi="Arial" w:cs="Arial"/>
          <w:bCs/>
          <w:sz w:val="22"/>
          <w:szCs w:val="22"/>
        </w:rPr>
        <w:t xml:space="preserve">jsou stavební práce na </w:t>
      </w:r>
      <w:r w:rsidR="002B2C6F" w:rsidRPr="0052236E">
        <w:rPr>
          <w:rFonts w:ascii="Arial" w:hAnsi="Arial" w:cs="Arial"/>
          <w:sz w:val="22"/>
          <w:szCs w:val="22"/>
        </w:rPr>
        <w:t xml:space="preserve">opravě </w:t>
      </w:r>
      <w:r w:rsidR="002B2C6F">
        <w:rPr>
          <w:rFonts w:ascii="Arial" w:hAnsi="Arial" w:cs="Arial"/>
          <w:sz w:val="22"/>
          <w:szCs w:val="22"/>
        </w:rPr>
        <w:t>sociálního zázemí bývalé prodejny (umývárna, úklid a WC) o</w:t>
      </w:r>
      <w:r w:rsidR="002B2C6F" w:rsidRPr="007F4C5F">
        <w:rPr>
          <w:rFonts w:ascii="Arial" w:hAnsi="Arial" w:cs="Arial"/>
          <w:sz w:val="22"/>
          <w:szCs w:val="22"/>
        </w:rPr>
        <w:t xml:space="preserve"> výměře</w:t>
      </w:r>
      <w:r w:rsidR="002B2C6F">
        <w:rPr>
          <w:rFonts w:ascii="Arial" w:hAnsi="Arial" w:cs="Arial"/>
          <w:sz w:val="22"/>
          <w:szCs w:val="22"/>
        </w:rPr>
        <w:t xml:space="preserve"> 9,88 </w:t>
      </w:r>
      <w:r w:rsidR="002B2C6F" w:rsidRPr="007F4C5F">
        <w:rPr>
          <w:rFonts w:ascii="Arial" w:hAnsi="Arial" w:cs="Arial"/>
          <w:sz w:val="22"/>
          <w:szCs w:val="22"/>
        </w:rPr>
        <w:t>m</w:t>
      </w:r>
      <w:r w:rsidR="002B2C6F" w:rsidRPr="007F4C5F">
        <w:rPr>
          <w:rFonts w:ascii="Arial" w:hAnsi="Arial" w:cs="Arial"/>
          <w:sz w:val="22"/>
          <w:szCs w:val="22"/>
          <w:vertAlign w:val="superscript"/>
        </w:rPr>
        <w:t>2</w:t>
      </w:r>
      <w:r w:rsidR="002B2C6F" w:rsidRPr="007F4C5F">
        <w:rPr>
          <w:rFonts w:ascii="Arial" w:hAnsi="Arial" w:cs="Arial"/>
          <w:sz w:val="22"/>
          <w:szCs w:val="22"/>
        </w:rPr>
        <w:t xml:space="preserve"> </w:t>
      </w:r>
      <w:r w:rsidR="002B2C6F">
        <w:rPr>
          <w:rFonts w:ascii="Arial" w:hAnsi="Arial" w:cs="Arial"/>
          <w:sz w:val="22"/>
          <w:szCs w:val="22"/>
        </w:rPr>
        <w:t>v objektu č.p. 7, Nový Jičín – místní část Kojetín.</w:t>
      </w:r>
      <w:r w:rsidR="00FB36F5">
        <w:rPr>
          <w:rFonts w:ascii="Arial" w:hAnsi="Arial"/>
          <w:sz w:val="22"/>
          <w:szCs w:val="22"/>
        </w:rPr>
        <w:t xml:space="preserve"> Bližší specifikace předmětu díla je obsahem </w:t>
      </w:r>
      <w:r w:rsidR="002B2C6F">
        <w:rPr>
          <w:rFonts w:ascii="Arial" w:hAnsi="Arial"/>
          <w:sz w:val="22"/>
          <w:szCs w:val="22"/>
        </w:rPr>
        <w:t>Položkového rozpočtu</w:t>
      </w:r>
      <w:r w:rsidR="00FB36F5">
        <w:rPr>
          <w:rFonts w:ascii="Arial" w:hAnsi="Arial"/>
          <w:sz w:val="22"/>
          <w:szCs w:val="22"/>
        </w:rPr>
        <w:t>, kter</w:t>
      </w:r>
      <w:r w:rsidR="002B2C6F">
        <w:rPr>
          <w:rFonts w:ascii="Arial" w:hAnsi="Arial"/>
          <w:sz w:val="22"/>
          <w:szCs w:val="22"/>
        </w:rPr>
        <w:t>ý</w:t>
      </w:r>
      <w:r w:rsidR="00FB36F5">
        <w:rPr>
          <w:rFonts w:ascii="Arial" w:hAnsi="Arial"/>
          <w:sz w:val="22"/>
          <w:szCs w:val="22"/>
        </w:rPr>
        <w:t xml:space="preserve"> tvoří Přílohu č. 1 této smlouvy a je její nedílnou součástí.</w:t>
      </w:r>
    </w:p>
    <w:p w14:paraId="459D72D2" w14:textId="60BEF46A" w:rsidR="00E9681B" w:rsidRDefault="00FB36F5" w:rsidP="00FB36F5">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w:t>
      </w:r>
      <w:proofErr w:type="gramStart"/>
      <w:r>
        <w:rPr>
          <w:rFonts w:ascii="Arial" w:hAnsi="Arial"/>
          <w:bCs/>
          <w:sz w:val="22"/>
          <w:szCs w:val="22"/>
        </w:rPr>
        <w:t>jsou</w:t>
      </w:r>
      <w:proofErr w:type="gramEnd"/>
      <w:r>
        <w:rPr>
          <w:rFonts w:ascii="Arial" w:hAnsi="Arial"/>
          <w:bCs/>
          <w:sz w:val="22"/>
          <w:szCs w:val="22"/>
        </w:rPr>
        <w:t xml:space="preserve"> obsahem </w:t>
      </w:r>
      <w:r w:rsidR="002B2C6F">
        <w:rPr>
          <w:rFonts w:ascii="Arial" w:hAnsi="Arial"/>
          <w:bCs/>
          <w:sz w:val="22"/>
          <w:szCs w:val="22"/>
        </w:rPr>
        <w:t>Položkového rozpočtu</w:t>
      </w:r>
      <w:r>
        <w:rPr>
          <w:rFonts w:ascii="Arial" w:hAnsi="Arial"/>
          <w:bCs/>
          <w:sz w:val="22"/>
          <w:szCs w:val="22"/>
        </w:rPr>
        <w:t xml:space="preserve">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2F221E0E"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w:t>
      </w:r>
      <w:r>
        <w:rPr>
          <w:rFonts w:ascii="Arial" w:hAnsi="Arial"/>
          <w:sz w:val="22"/>
          <w:szCs w:val="22"/>
        </w:rPr>
        <w:lastRenderedPageBreak/>
        <w:t xml:space="preserve">je povinen předložit zástupci objednatele návrh změny </w:t>
      </w:r>
      <w:r w:rsidR="007D65E0">
        <w:rPr>
          <w:rFonts w:ascii="Arial" w:hAnsi="Arial"/>
          <w:sz w:val="22"/>
          <w:szCs w:val="22"/>
        </w:rPr>
        <w:t>Položkového rozpočtu</w:t>
      </w:r>
      <w:r>
        <w:rPr>
          <w:rFonts w:ascii="Arial" w:hAnsi="Arial"/>
          <w:sz w:val="22"/>
          <w:szCs w:val="22"/>
        </w:rPr>
        <w:t xml:space="preserve"> případně změny 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4CEAFB3A"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7D65E0">
        <w:rPr>
          <w:rFonts w:ascii="Arial" w:hAnsi="Arial"/>
          <w:sz w:val="22"/>
          <w:szCs w:val="22"/>
        </w:rPr>
        <w:t> Položkovým rozpočtem</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2E84E350"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971A0A">
        <w:rPr>
          <w:rFonts w:ascii="Arial" w:hAnsi="Arial"/>
          <w:b/>
          <w:sz w:val="22"/>
          <w:szCs w:val="22"/>
        </w:rPr>
        <w:t>21</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03FB1A6A" w:rsidR="00E9681B" w:rsidRDefault="008B637F" w:rsidP="002476D0">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274A90">
        <w:rPr>
          <w:rFonts w:ascii="Arial" w:hAnsi="Arial"/>
          <w:sz w:val="22"/>
          <w:szCs w:val="22"/>
        </w:rPr>
        <w:t>nebytový prostor</w:t>
      </w:r>
      <w:r w:rsidR="00FB36F5">
        <w:rPr>
          <w:rFonts w:ascii="Arial" w:hAnsi="Arial"/>
          <w:sz w:val="22"/>
          <w:szCs w:val="22"/>
        </w:rPr>
        <w:t xml:space="preserve"> v domě </w:t>
      </w:r>
      <w:proofErr w:type="gramStart"/>
      <w:r w:rsidR="007D65E0">
        <w:rPr>
          <w:rFonts w:ascii="Arial" w:hAnsi="Arial"/>
          <w:sz w:val="22"/>
          <w:szCs w:val="22"/>
        </w:rPr>
        <w:t>č.p.</w:t>
      </w:r>
      <w:proofErr w:type="gramEnd"/>
      <w:r w:rsidR="007D65E0">
        <w:rPr>
          <w:rFonts w:ascii="Arial" w:hAnsi="Arial"/>
          <w:sz w:val="22"/>
          <w:szCs w:val="22"/>
        </w:rPr>
        <w:t xml:space="preserve"> 7 v místní části Kojetín, </w:t>
      </w:r>
      <w:r w:rsidR="00FB36F5">
        <w:rPr>
          <w:rFonts w:ascii="Arial" w:hAnsi="Arial"/>
          <w:sz w:val="22"/>
          <w:szCs w:val="22"/>
        </w:rPr>
        <w:t>Nový Jičín.</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57200F63"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7D65E0">
        <w:rPr>
          <w:rFonts w:ascii="Arial" w:hAnsi="Arial" w:cs="Arial"/>
          <w:b/>
          <w:bCs/>
          <w:sz w:val="22"/>
          <w:szCs w:val="22"/>
        </w:rPr>
        <w:t>168</w:t>
      </w:r>
      <w:r w:rsidR="007D65E0" w:rsidRPr="00186FF2">
        <w:rPr>
          <w:rFonts w:ascii="Arial" w:hAnsi="Arial" w:cs="Arial"/>
          <w:b/>
          <w:bCs/>
          <w:sz w:val="22"/>
          <w:szCs w:val="22"/>
        </w:rPr>
        <w:t>.</w:t>
      </w:r>
      <w:r w:rsidR="002476D0">
        <w:rPr>
          <w:rFonts w:ascii="Arial" w:hAnsi="Arial" w:cs="Arial"/>
          <w:b/>
          <w:bCs/>
          <w:sz w:val="22"/>
          <w:szCs w:val="22"/>
        </w:rPr>
        <w:t>288</w:t>
      </w:r>
      <w:r w:rsidR="007D65E0" w:rsidRPr="00186FF2">
        <w:rPr>
          <w:rFonts w:ascii="Arial" w:hAnsi="Arial" w:cs="Arial"/>
          <w:b/>
          <w:bCs/>
          <w:sz w:val="22"/>
          <w:szCs w:val="22"/>
        </w:rPr>
        <w:t>,</w:t>
      </w:r>
      <w:r w:rsidR="007D65E0">
        <w:rPr>
          <w:rFonts w:ascii="Arial" w:hAnsi="Arial" w:cs="Arial"/>
          <w:b/>
          <w:bCs/>
          <w:sz w:val="22"/>
          <w:szCs w:val="22"/>
        </w:rPr>
        <w:t>06</w:t>
      </w:r>
      <w:r w:rsidR="007D65E0" w:rsidRPr="00C308F7">
        <w:rPr>
          <w:rFonts w:ascii="Arial" w:hAnsi="Arial" w:cs="Arial"/>
          <w:b/>
          <w:bCs/>
          <w:sz w:val="22"/>
          <w:szCs w:val="22"/>
        </w:rPr>
        <w:t xml:space="preserve"> Kč</w:t>
      </w:r>
      <w:r w:rsidR="007D65E0" w:rsidRPr="00C308F7">
        <w:rPr>
          <w:rFonts w:ascii="Arial" w:hAnsi="Arial" w:cs="Arial"/>
          <w:bCs/>
          <w:sz w:val="22"/>
          <w:szCs w:val="22"/>
        </w:rPr>
        <w:t xml:space="preserve"> (slovy: </w:t>
      </w:r>
      <w:r w:rsidR="007D65E0">
        <w:rPr>
          <w:rFonts w:ascii="Arial" w:hAnsi="Arial" w:cs="Arial"/>
          <w:bCs/>
          <w:sz w:val="22"/>
          <w:szCs w:val="22"/>
        </w:rPr>
        <w:t xml:space="preserve">jedno sto šedesát osm tisíc </w:t>
      </w:r>
      <w:r w:rsidR="002476D0">
        <w:rPr>
          <w:rFonts w:ascii="Arial" w:hAnsi="Arial" w:cs="Arial"/>
          <w:bCs/>
          <w:sz w:val="22"/>
          <w:szCs w:val="22"/>
        </w:rPr>
        <w:t>dvě stě osmdesát osm</w:t>
      </w:r>
      <w:r w:rsidR="007D65E0">
        <w:rPr>
          <w:rFonts w:ascii="Arial" w:hAnsi="Arial" w:cs="Arial"/>
          <w:bCs/>
          <w:sz w:val="22"/>
          <w:szCs w:val="22"/>
        </w:rPr>
        <w:t xml:space="preserve"> </w:t>
      </w:r>
      <w:r w:rsidR="007D65E0" w:rsidRPr="00C308F7">
        <w:rPr>
          <w:rFonts w:ascii="Arial" w:hAnsi="Arial" w:cs="Arial"/>
          <w:bCs/>
          <w:sz w:val="22"/>
          <w:szCs w:val="22"/>
        </w:rPr>
        <w:t>korun českých</w:t>
      </w:r>
      <w:r w:rsidR="007D65E0">
        <w:rPr>
          <w:rFonts w:ascii="Arial" w:hAnsi="Arial" w:cs="Arial"/>
          <w:bCs/>
          <w:sz w:val="22"/>
          <w:szCs w:val="22"/>
        </w:rPr>
        <w:t xml:space="preserve"> šest haléřů</w:t>
      </w:r>
      <w:r w:rsidR="007D65E0" w:rsidRPr="00C308F7">
        <w:rPr>
          <w:rFonts w:ascii="Arial" w:hAnsi="Arial" w:cs="Arial"/>
          <w:bCs/>
          <w:sz w:val="22"/>
          <w:szCs w:val="22"/>
        </w:rPr>
        <w:t>).</w:t>
      </w:r>
    </w:p>
    <w:p w14:paraId="2795FC1D" w14:textId="1D725562"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Cena je stanovena podle </w:t>
      </w:r>
      <w:r w:rsidR="003C4526">
        <w:rPr>
          <w:rFonts w:ascii="Arial" w:hAnsi="Arial"/>
          <w:bCs/>
          <w:sz w:val="22"/>
          <w:szCs w:val="22"/>
        </w:rPr>
        <w:t>Položkového rozpočtu</w:t>
      </w:r>
      <w:r>
        <w:rPr>
          <w:rFonts w:ascii="Arial" w:hAnsi="Arial"/>
          <w:bCs/>
          <w:sz w:val="22"/>
          <w:szCs w:val="22"/>
        </w:rPr>
        <w:t xml:space="preserve"> předložené zhotovitelem v rámci zadávacího řízení na předmět plnění veřejné zakázky. Zhotovitel prohlašuje, že </w:t>
      </w:r>
      <w:r w:rsidR="003C4526">
        <w:rPr>
          <w:rFonts w:ascii="Arial" w:hAnsi="Arial"/>
          <w:bCs/>
          <w:sz w:val="22"/>
          <w:szCs w:val="22"/>
        </w:rPr>
        <w:t xml:space="preserve">Položkový rozpočet je </w:t>
      </w:r>
      <w:r>
        <w:rPr>
          <w:rFonts w:ascii="Arial" w:hAnsi="Arial"/>
          <w:bCs/>
          <w:sz w:val="22"/>
          <w:szCs w:val="22"/>
        </w:rPr>
        <w:t>správn</w:t>
      </w:r>
      <w:r w:rsidR="003C4526">
        <w:rPr>
          <w:rFonts w:ascii="Arial" w:hAnsi="Arial"/>
          <w:bCs/>
          <w:sz w:val="22"/>
          <w:szCs w:val="22"/>
        </w:rPr>
        <w:t>ý</w:t>
      </w:r>
      <w:r>
        <w:rPr>
          <w:rFonts w:ascii="Arial" w:hAnsi="Arial"/>
          <w:bCs/>
          <w:sz w:val="22"/>
          <w:szCs w:val="22"/>
        </w:rPr>
        <w:t xml:space="preserve"> a úpln</w:t>
      </w:r>
      <w:r w:rsidR="003C4526">
        <w:rPr>
          <w:rFonts w:ascii="Arial" w:hAnsi="Arial"/>
          <w:bCs/>
          <w:sz w:val="22"/>
          <w:szCs w:val="22"/>
        </w:rPr>
        <w:t>ý</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02BB4CD7"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3C4526">
        <w:rPr>
          <w:rFonts w:ascii="Arial" w:hAnsi="Arial"/>
          <w:sz w:val="22"/>
          <w:szCs w:val="22"/>
        </w:rPr>
        <w:t>Položkového rozpočtu</w:t>
      </w:r>
      <w:r>
        <w:rPr>
          <w:rFonts w:ascii="Arial" w:hAnsi="Arial"/>
          <w:sz w:val="22"/>
          <w:szCs w:val="22"/>
        </w:rPr>
        <w:t>, kter</w:t>
      </w:r>
      <w:r w:rsidR="003C4526">
        <w:rPr>
          <w:rFonts w:ascii="Arial" w:hAnsi="Arial"/>
          <w:sz w:val="22"/>
          <w:szCs w:val="22"/>
        </w:rPr>
        <w:t>ý</w:t>
      </w:r>
      <w:r>
        <w:rPr>
          <w:rFonts w:ascii="Arial" w:hAnsi="Arial"/>
          <w:sz w:val="22"/>
          <w:szCs w:val="22"/>
        </w:rPr>
        <w:t xml:space="preserve"> je přílohou této smlouvy,</w:t>
      </w:r>
    </w:p>
    <w:p w14:paraId="03D23DBC" w14:textId="48E056A3"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3C4526">
        <w:rPr>
          <w:rFonts w:ascii="Arial" w:hAnsi="Arial"/>
          <w:bCs/>
          <w:sz w:val="22"/>
          <w:szCs w:val="22"/>
        </w:rPr>
        <w:t>Položkového rozpočtu</w:t>
      </w:r>
      <w:r>
        <w:rPr>
          <w:rFonts w:ascii="Arial" w:hAnsi="Arial"/>
          <w:bCs/>
          <w:sz w:val="22"/>
          <w:szCs w:val="22"/>
        </w:rPr>
        <w:t>. Vícepráce, u nichž není možno použít pro ocenění položkových cen uvedených v</w:t>
      </w:r>
      <w:r w:rsidR="003C4526">
        <w:rPr>
          <w:rFonts w:ascii="Arial" w:hAnsi="Arial"/>
          <w:bCs/>
          <w:sz w:val="22"/>
          <w:szCs w:val="22"/>
        </w:rPr>
        <w:t> Položkovém rozpočtu</w:t>
      </w:r>
      <w:r>
        <w:rPr>
          <w:rFonts w:ascii="Arial" w:hAnsi="Arial"/>
          <w:bCs/>
          <w:sz w:val="22"/>
          <w:szCs w:val="22"/>
        </w:rPr>
        <w:t xml:space="preserve">,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7FBE302C"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3C4526" w:rsidRPr="00DF173C">
        <w:rPr>
          <w:rFonts w:ascii="Arial" w:hAnsi="Arial" w:cs="Arial"/>
          <w:sz w:val="22"/>
          <w:szCs w:val="22"/>
        </w:rPr>
        <w:t>„</w:t>
      </w:r>
      <w:r w:rsidR="003C4526" w:rsidRPr="0051594F">
        <w:rPr>
          <w:rFonts w:ascii="Arial" w:hAnsi="Arial" w:cs="Arial"/>
          <w:sz w:val="22"/>
          <w:szCs w:val="22"/>
        </w:rPr>
        <w:t xml:space="preserve">Oprava sociálního zázemí bývalé prodejny v objektu Kojetín </w:t>
      </w:r>
      <w:proofErr w:type="gramStart"/>
      <w:r w:rsidR="003C4526" w:rsidRPr="0051594F">
        <w:rPr>
          <w:rFonts w:ascii="Arial" w:hAnsi="Arial" w:cs="Arial"/>
          <w:sz w:val="22"/>
          <w:szCs w:val="22"/>
        </w:rPr>
        <w:t>č.p.</w:t>
      </w:r>
      <w:proofErr w:type="gramEnd"/>
      <w:r w:rsidR="003C4526" w:rsidRPr="0051594F">
        <w:rPr>
          <w:rFonts w:ascii="Arial" w:hAnsi="Arial" w:cs="Arial"/>
          <w:sz w:val="22"/>
          <w:szCs w:val="22"/>
        </w:rPr>
        <w:t xml:space="preserve"> 7, Nový Jičín</w:t>
      </w:r>
      <w:r w:rsidR="003C4526" w:rsidRPr="00BA1061">
        <w:rPr>
          <w:rFonts w:ascii="Arial" w:hAnsi="Arial" w:cs="Arial"/>
          <w:sz w:val="22"/>
          <w:szCs w:val="22"/>
        </w:rPr>
        <w:t>“</w:t>
      </w:r>
      <w:r>
        <w:rPr>
          <w:rFonts w:ascii="Arial" w:hAnsi="Arial"/>
          <w:sz w:val="22"/>
          <w:szCs w:val="22"/>
        </w:rPr>
        <w:t xml:space="preserve"> 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lastRenderedPageBreak/>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lastRenderedPageBreak/>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36304C81"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971A0A">
        <w:rPr>
          <w:rFonts w:ascii="Arial" w:hAnsi="Arial"/>
          <w:b/>
          <w:bCs/>
          <w:sz w:val="22"/>
          <w:szCs w:val="22"/>
        </w:rPr>
        <w:t>21</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lastRenderedPageBreak/>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lastRenderedPageBreak/>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lastRenderedPageBreak/>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lastRenderedPageBreak/>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F798E4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367D4C">
        <w:rPr>
          <w:rFonts w:ascii="Arial" w:hAnsi="Arial"/>
          <w:sz w:val="22"/>
          <w:szCs w:val="22"/>
        </w:rPr>
        <w:t>Položkový rozpočet</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w:t>
      </w:r>
      <w:r>
        <w:rPr>
          <w:rFonts w:ascii="Arial" w:hAnsi="Arial"/>
          <w:sz w:val="22"/>
          <w:szCs w:val="22"/>
        </w:rPr>
        <w:lastRenderedPageBreak/>
        <w:t xml:space="preserve">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5A9D63D6"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367D4C">
        <w:rPr>
          <w:rFonts w:ascii="Arial" w:hAnsi="Arial"/>
          <w:sz w:val="22"/>
          <w:szCs w:val="22"/>
        </w:rPr>
        <w:t>Položkový rozpočet</w:t>
      </w:r>
    </w:p>
    <w:p w14:paraId="21756567" w14:textId="77777777" w:rsidR="00E9681B" w:rsidRDefault="00E9681B">
      <w:pPr>
        <w:ind w:left="540" w:hanging="540"/>
        <w:rPr>
          <w:rFonts w:ascii="Arial" w:hAnsi="Arial"/>
          <w:b/>
          <w:bCs/>
          <w:sz w:val="22"/>
          <w:szCs w:val="22"/>
        </w:rPr>
      </w:pPr>
    </w:p>
    <w:p w14:paraId="2FBFE2CE" w14:textId="1A5E36A6"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96644F">
        <w:rPr>
          <w:rFonts w:ascii="Arial" w:hAnsi="Arial"/>
          <w:b/>
          <w:bCs/>
          <w:sz w:val="22"/>
          <w:szCs w:val="22"/>
        </w:rPr>
        <w:t>05.02.2024</w:t>
      </w:r>
      <w:r>
        <w:rPr>
          <w:rFonts w:ascii="Arial" w:hAnsi="Arial"/>
          <w:b/>
          <w:bCs/>
          <w:sz w:val="22"/>
          <w:szCs w:val="22"/>
        </w:rPr>
        <w:tab/>
        <w:t>Nový Jičín dne</w:t>
      </w:r>
      <w:r w:rsidR="0096644F">
        <w:rPr>
          <w:rFonts w:ascii="Arial" w:hAnsi="Arial"/>
          <w:b/>
          <w:bCs/>
          <w:sz w:val="22"/>
          <w:szCs w:val="22"/>
        </w:rPr>
        <w:t xml:space="preserve"> 07.02.2024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18C136A1"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proofErr w:type="spellStart"/>
      <w:r w:rsidR="00327E94">
        <w:rPr>
          <w:rFonts w:ascii="Arial" w:hAnsi="Arial" w:cs="Arial"/>
          <w:bCs/>
          <w:sz w:val="22"/>
          <w:szCs w:val="22"/>
        </w:rPr>
        <w:t>Herold’s</w:t>
      </w:r>
      <w:proofErr w:type="spellEnd"/>
      <w:r w:rsidR="00327E94">
        <w:rPr>
          <w:rFonts w:ascii="Arial" w:hAnsi="Arial" w:cs="Arial"/>
          <w:bCs/>
          <w:sz w:val="22"/>
          <w:szCs w:val="22"/>
        </w:rPr>
        <w:t xml:space="preserve"> </w:t>
      </w:r>
      <w:proofErr w:type="spellStart"/>
      <w:r w:rsidR="00327E94">
        <w:rPr>
          <w:rFonts w:ascii="Arial" w:hAnsi="Arial" w:cs="Arial"/>
          <w:bCs/>
          <w:sz w:val="22"/>
          <w:szCs w:val="22"/>
        </w:rPr>
        <w:t>Construction</w:t>
      </w:r>
      <w:proofErr w:type="spellEnd"/>
      <w:r w:rsidR="00327E94">
        <w:rPr>
          <w:rFonts w:ascii="Arial" w:hAnsi="Arial" w:cs="Arial"/>
          <w:bCs/>
          <w:sz w:val="22"/>
          <w:szCs w:val="22"/>
        </w:rPr>
        <w:t xml:space="preserve"> s.r.o.:</w:t>
      </w:r>
    </w:p>
    <w:p w14:paraId="264BE14A" w14:textId="57924EF5"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327E94">
        <w:rPr>
          <w:rFonts w:ascii="Arial" w:hAnsi="Arial" w:cs="Arial"/>
          <w:bCs/>
          <w:sz w:val="22"/>
          <w:szCs w:val="22"/>
        </w:rPr>
        <w:t>Václav Herold,</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CA3F9" w14:textId="77777777" w:rsidR="00603D84" w:rsidRDefault="00603D84">
      <w:r>
        <w:separator/>
      </w:r>
    </w:p>
  </w:endnote>
  <w:endnote w:type="continuationSeparator" w:id="0">
    <w:p w14:paraId="4A93584D" w14:textId="77777777" w:rsidR="00603D84" w:rsidRDefault="0060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6644F">
      <w:rPr>
        <w:rStyle w:val="slostrnky"/>
        <w:noProof/>
      </w:rPr>
      <w:t>10</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B626" w14:textId="77777777" w:rsidR="00603D84" w:rsidRDefault="00603D84">
      <w:r>
        <w:separator/>
      </w:r>
    </w:p>
  </w:footnote>
  <w:footnote w:type="continuationSeparator" w:id="0">
    <w:p w14:paraId="6A5A279D" w14:textId="77777777" w:rsidR="00603D84" w:rsidRDefault="00603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5CF6B236"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FC7A72">
      <w:rPr>
        <w:rFonts w:ascii="Arial" w:hAnsi="Arial"/>
        <w:b/>
      </w:rPr>
      <w:t>055</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15:restartNumberingAfterBreak="0">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15:restartNumberingAfterBreak="0">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15:restartNumberingAfterBreak="0">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15:restartNumberingAfterBreak="0">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15:restartNumberingAfterBreak="0">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15:restartNumberingAfterBreak="0">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15:restartNumberingAfterBreak="0">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15:restartNumberingAfterBreak="0">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15:restartNumberingAfterBreak="0">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15:restartNumberingAfterBreak="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15:restartNumberingAfterBreak="0">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15:restartNumberingAfterBreak="0">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15:restartNumberingAfterBreak="0">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15:restartNumberingAfterBreak="0">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15:restartNumberingAfterBreak="0">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15:restartNumberingAfterBreak="0">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15:restartNumberingAfterBreak="0">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15:restartNumberingAfterBreak="0">
    <w:nsid w:val="1F140280"/>
    <w:multiLevelType w:val="hybridMultilevel"/>
    <w:tmpl w:val="21702D58"/>
    <w:lvl w:ilvl="0" w:tplc="F24C0522">
      <w:start w:val="1"/>
      <w:numFmt w:val="ordinal"/>
      <w:lvlText w:val="5.4.%1"/>
      <w:lvlJc w:val="left"/>
      <w:pPr>
        <w:ind w:left="1428" w:hanging="360"/>
      </w:pPr>
      <w:rPr>
        <w:b w:val="0"/>
      </w:rPr>
    </w:lvl>
    <w:lvl w:ilvl="1" w:tplc="30BAA34A">
      <w:start w:val="1"/>
      <w:numFmt w:val="lowerLetter"/>
      <w:lvlText w:val="%2."/>
      <w:lvlJc w:val="left"/>
      <w:pPr>
        <w:ind w:left="2148" w:hanging="360"/>
      </w:pPr>
    </w:lvl>
    <w:lvl w:ilvl="2" w:tplc="E57A19C6">
      <w:start w:val="1"/>
      <w:numFmt w:val="lowerRoman"/>
      <w:lvlText w:val="%3."/>
      <w:lvlJc w:val="right"/>
      <w:pPr>
        <w:ind w:left="2868" w:hanging="180"/>
      </w:pPr>
    </w:lvl>
    <w:lvl w:ilvl="3" w:tplc="15B4194A">
      <w:start w:val="1"/>
      <w:numFmt w:val="decimal"/>
      <w:lvlText w:val="%4."/>
      <w:lvlJc w:val="left"/>
      <w:pPr>
        <w:ind w:left="3588" w:hanging="360"/>
      </w:pPr>
    </w:lvl>
    <w:lvl w:ilvl="4" w:tplc="72AEDC92">
      <w:start w:val="1"/>
      <w:numFmt w:val="lowerLetter"/>
      <w:lvlText w:val="%5."/>
      <w:lvlJc w:val="left"/>
      <w:pPr>
        <w:ind w:left="4308" w:hanging="360"/>
      </w:pPr>
    </w:lvl>
    <w:lvl w:ilvl="5" w:tplc="74E280EA">
      <w:start w:val="1"/>
      <w:numFmt w:val="lowerRoman"/>
      <w:lvlText w:val="%6."/>
      <w:lvlJc w:val="right"/>
      <w:pPr>
        <w:ind w:left="5028" w:hanging="180"/>
      </w:pPr>
    </w:lvl>
    <w:lvl w:ilvl="6" w:tplc="2410BDFA">
      <w:start w:val="1"/>
      <w:numFmt w:val="decimal"/>
      <w:lvlText w:val="%7."/>
      <w:lvlJc w:val="left"/>
      <w:pPr>
        <w:ind w:left="5748" w:hanging="360"/>
      </w:pPr>
    </w:lvl>
    <w:lvl w:ilvl="7" w:tplc="CB3A1410">
      <w:start w:val="1"/>
      <w:numFmt w:val="lowerLetter"/>
      <w:lvlText w:val="%8."/>
      <w:lvlJc w:val="left"/>
      <w:pPr>
        <w:ind w:left="6468" w:hanging="360"/>
      </w:pPr>
    </w:lvl>
    <w:lvl w:ilvl="8" w:tplc="EEF4AA02">
      <w:start w:val="1"/>
      <w:numFmt w:val="lowerRoman"/>
      <w:lvlText w:val="%9."/>
      <w:lvlJc w:val="right"/>
      <w:pPr>
        <w:ind w:left="7188" w:hanging="180"/>
      </w:pPr>
    </w:lvl>
  </w:abstractNum>
  <w:abstractNum w:abstractNumId="19" w15:restartNumberingAfterBreak="0">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15:restartNumberingAfterBreak="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15:restartNumberingAfterBreak="0">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15:restartNumberingAfterBreak="0">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15:restartNumberingAfterBreak="0">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15:restartNumberingAfterBreak="0">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15:restartNumberingAfterBreak="0">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15:restartNumberingAfterBreak="0">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15:restartNumberingAfterBreak="0">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15:restartNumberingAfterBreak="0">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15:restartNumberingAfterBreak="0">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15:restartNumberingAfterBreak="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15:restartNumberingAfterBreak="0">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15:restartNumberingAfterBreak="0">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15:restartNumberingAfterBreak="0">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15:restartNumberingAfterBreak="0">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15:restartNumberingAfterBreak="0">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15:restartNumberingAfterBreak="0">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15:restartNumberingAfterBreak="0">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15:restartNumberingAfterBreak="0">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15:restartNumberingAfterBreak="0">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15:restartNumberingAfterBreak="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15:restartNumberingAfterBreak="0">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15:restartNumberingAfterBreak="0">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15:restartNumberingAfterBreak="0">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15:restartNumberingAfterBreak="0">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15:restartNumberingAfterBreak="0">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15:restartNumberingAfterBreak="0">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15:restartNumberingAfterBreak="0">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15:restartNumberingAfterBreak="0">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15:restartNumberingAfterBreak="0">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15:restartNumberingAfterBreak="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15:restartNumberingAfterBreak="0">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15:restartNumberingAfterBreak="0">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15:restartNumberingAfterBreak="0">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15:restartNumberingAfterBreak="0">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15:restartNumberingAfterBreak="0">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15:restartNumberingAfterBreak="0">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15:restartNumberingAfterBreak="0">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15:restartNumberingAfterBreak="0">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15:restartNumberingAfterBreak="0">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15:restartNumberingAfterBreak="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15:restartNumberingAfterBreak="0">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15:restartNumberingAfterBreak="0">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15:restartNumberingAfterBreak="0">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15:restartNumberingAfterBreak="0">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15:restartNumberingAfterBreak="0">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15:restartNumberingAfterBreak="0">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15:restartNumberingAfterBreak="0">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15:restartNumberingAfterBreak="0">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15:restartNumberingAfterBreak="0">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15:restartNumberingAfterBreak="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15:restartNumberingAfterBreak="0">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15:restartNumberingAfterBreak="0">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15:restartNumberingAfterBreak="0">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444D"/>
    <w:rsid w:val="000850E9"/>
    <w:rsid w:val="000C07C8"/>
    <w:rsid w:val="000C0871"/>
    <w:rsid w:val="000E5059"/>
    <w:rsid w:val="00131E3E"/>
    <w:rsid w:val="00135423"/>
    <w:rsid w:val="001C5279"/>
    <w:rsid w:val="00214394"/>
    <w:rsid w:val="00242887"/>
    <w:rsid w:val="002476D0"/>
    <w:rsid w:val="00274A90"/>
    <w:rsid w:val="002763CE"/>
    <w:rsid w:val="002804E2"/>
    <w:rsid w:val="00290663"/>
    <w:rsid w:val="002B2C6F"/>
    <w:rsid w:val="002B786E"/>
    <w:rsid w:val="002D6D43"/>
    <w:rsid w:val="002F435C"/>
    <w:rsid w:val="00327E94"/>
    <w:rsid w:val="003430CF"/>
    <w:rsid w:val="00367D4C"/>
    <w:rsid w:val="00383B55"/>
    <w:rsid w:val="003C4526"/>
    <w:rsid w:val="003E2BB7"/>
    <w:rsid w:val="003E32A0"/>
    <w:rsid w:val="00455681"/>
    <w:rsid w:val="00496EF4"/>
    <w:rsid w:val="004D02DF"/>
    <w:rsid w:val="004E0EED"/>
    <w:rsid w:val="005542CB"/>
    <w:rsid w:val="005C4BE0"/>
    <w:rsid w:val="00603D84"/>
    <w:rsid w:val="00642AEC"/>
    <w:rsid w:val="006B27D3"/>
    <w:rsid w:val="007153BC"/>
    <w:rsid w:val="007161C2"/>
    <w:rsid w:val="0074485D"/>
    <w:rsid w:val="007C200D"/>
    <w:rsid w:val="007D65E0"/>
    <w:rsid w:val="008B637F"/>
    <w:rsid w:val="009041A3"/>
    <w:rsid w:val="00955DEC"/>
    <w:rsid w:val="0096644F"/>
    <w:rsid w:val="00971A0A"/>
    <w:rsid w:val="009E0E16"/>
    <w:rsid w:val="00A24CE0"/>
    <w:rsid w:val="00A60A80"/>
    <w:rsid w:val="00AB5C8A"/>
    <w:rsid w:val="00AD66B6"/>
    <w:rsid w:val="00AF3712"/>
    <w:rsid w:val="00B04AB5"/>
    <w:rsid w:val="00B060C1"/>
    <w:rsid w:val="00B859B9"/>
    <w:rsid w:val="00CF5791"/>
    <w:rsid w:val="00D24D37"/>
    <w:rsid w:val="00D5040B"/>
    <w:rsid w:val="00D7616D"/>
    <w:rsid w:val="00E25BEA"/>
    <w:rsid w:val="00E81EAE"/>
    <w:rsid w:val="00E852CB"/>
    <w:rsid w:val="00E9681B"/>
    <w:rsid w:val="00F426A8"/>
    <w:rsid w:val="00F81A93"/>
    <w:rsid w:val="00FB36F5"/>
    <w:rsid w:val="00FC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5095</Words>
  <Characters>30064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Marek Pavelka</cp:lastModifiedBy>
  <cp:revision>4</cp:revision>
  <cp:lastPrinted>2023-08-30T14:39:00Z</cp:lastPrinted>
  <dcterms:created xsi:type="dcterms:W3CDTF">2024-02-12T12:18:00Z</dcterms:created>
  <dcterms:modified xsi:type="dcterms:W3CDTF">2024-02-12T15:01:00Z</dcterms:modified>
</cp:coreProperties>
</file>