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7C91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DODATEK č. 1 ke SMLOUVĚ O MARKETINGOVÉ SPOLUPRÁCI</w:t>
      </w:r>
    </w:p>
    <w:p w14:paraId="6DC396C6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ze dne 16.02.2021</w:t>
      </w:r>
    </w:p>
    <w:p w14:paraId="037C0A71" w14:textId="77777777" w:rsidR="00D224A0" w:rsidRDefault="00D224A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</w:p>
    <w:p w14:paraId="48A942BA" w14:textId="77777777" w:rsidR="00D224A0" w:rsidRDefault="00000000">
      <w:pPr>
        <w:keepNext/>
        <w:keepLines/>
        <w:spacing w:after="120" w:line="25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Centrum experimentálního divadla, </w:t>
      </w:r>
      <w:proofErr w:type="spellStart"/>
      <w:r>
        <w:rPr>
          <w:b/>
          <w:color w:val="000000"/>
        </w:rPr>
        <w:t>p.o</w:t>
      </w:r>
      <w:proofErr w:type="spellEnd"/>
      <w:r>
        <w:rPr>
          <w:b/>
          <w:color w:val="000000"/>
        </w:rPr>
        <w:t>.</w:t>
      </w:r>
    </w:p>
    <w:p w14:paraId="2071C3D2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Divadlo Husa na provázku</w:t>
      </w:r>
    </w:p>
    <w:p w14:paraId="4772187E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 sídlem Zelný trh 294/9, 602 00 Brno</w:t>
      </w:r>
    </w:p>
    <w:p w14:paraId="7F22855E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>: 00400921 DIČ: CZ00400921</w:t>
      </w:r>
    </w:p>
    <w:p w14:paraId="6A63610E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OR: spis. značka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. 29, Krajský soud v Brně</w:t>
      </w:r>
    </w:p>
    <w:p w14:paraId="018F444F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zastoupená Miroslavem </w:t>
      </w:r>
      <w:proofErr w:type="spellStart"/>
      <w:r>
        <w:rPr>
          <w:color w:val="000000"/>
        </w:rPr>
        <w:t>Oščatkou</w:t>
      </w:r>
      <w:proofErr w:type="spellEnd"/>
      <w:r>
        <w:rPr>
          <w:color w:val="000000"/>
        </w:rPr>
        <w:t xml:space="preserve">, ředitel CED, </w:t>
      </w:r>
      <w:proofErr w:type="spell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</w:p>
    <w:p w14:paraId="703C4597" w14:textId="5D3D1BFE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Číslo účtu: </w:t>
      </w:r>
      <w:r w:rsidR="008D545D">
        <w:rPr>
          <w:color w:val="000000"/>
        </w:rPr>
        <w:t>XXX</w:t>
      </w:r>
    </w:p>
    <w:p w14:paraId="5346A937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Plátce DPH: ANO</w:t>
      </w:r>
    </w:p>
    <w:p w14:paraId="58D695FF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Divadlo</w:t>
      </w:r>
      <w:r>
        <w:rPr>
          <w:color w:val="000000"/>
        </w:rPr>
        <w:t>”)</w:t>
      </w:r>
    </w:p>
    <w:p w14:paraId="3B452A82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a</w:t>
      </w:r>
    </w:p>
    <w:p w14:paraId="677C9304" w14:textId="77777777" w:rsidR="00D224A0" w:rsidRDefault="00D224A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</w:p>
    <w:p w14:paraId="3120FFD5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Dramox</w:t>
      </w:r>
      <w:proofErr w:type="spellEnd"/>
      <w:r>
        <w:rPr>
          <w:b/>
          <w:color w:val="000000"/>
        </w:rPr>
        <w:t xml:space="preserve"> s.r.o.</w:t>
      </w:r>
    </w:p>
    <w:p w14:paraId="5A036020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>
        <w:rPr>
          <w:color w:val="000000"/>
        </w:rPr>
        <w:t>se sídlem Bucharova 2928/</w:t>
      </w:r>
      <w:proofErr w:type="gramStart"/>
      <w:r>
        <w:rPr>
          <w:color w:val="000000"/>
        </w:rPr>
        <w:t>14a</w:t>
      </w:r>
      <w:proofErr w:type="gramEnd"/>
      <w:r>
        <w:rPr>
          <w:color w:val="000000"/>
        </w:rPr>
        <w:t xml:space="preserve">, Stodůlky, 158 00 Praha 5, </w:t>
      </w:r>
      <w:proofErr w:type="spellStart"/>
      <w:r>
        <w:rPr>
          <w:color w:val="000000"/>
        </w:rPr>
        <w:t>Aspira</w:t>
      </w:r>
      <w:proofErr w:type="spellEnd"/>
      <w:r>
        <w:rPr>
          <w:color w:val="000000"/>
        </w:rPr>
        <w:t xml:space="preserve"> Business Centre</w:t>
      </w:r>
    </w:p>
    <w:p w14:paraId="4E8B8BFB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>: 09222103</w:t>
      </w:r>
    </w:p>
    <w:p w14:paraId="5A860CA6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společnost zapsaná v obchodním rejstříku vedeném Městským soudem v Praze, oddíl C, vložka 332337</w:t>
      </w:r>
    </w:p>
    <w:p w14:paraId="63A02ECB" w14:textId="129BE828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zastoupená </w:t>
      </w:r>
      <w:r w:rsidR="008D545D">
        <w:rPr>
          <w:color w:val="000000"/>
        </w:rPr>
        <w:t>XXX</w:t>
      </w:r>
      <w:r>
        <w:rPr>
          <w:color w:val="000000"/>
        </w:rPr>
        <w:t>, prokuristou</w:t>
      </w:r>
    </w:p>
    <w:p w14:paraId="13301091" w14:textId="74AADB40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plátce DPH: </w:t>
      </w:r>
      <w:r w:rsidR="008D545D">
        <w:rPr>
          <w:color w:val="000000"/>
        </w:rPr>
        <w:t>XXXX</w:t>
      </w:r>
    </w:p>
    <w:p w14:paraId="35F856F4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proofErr w:type="spellStart"/>
      <w:r>
        <w:rPr>
          <w:b/>
          <w:color w:val="000000"/>
        </w:rPr>
        <w:t>Dramox</w:t>
      </w:r>
      <w:proofErr w:type="spellEnd"/>
      <w:r>
        <w:rPr>
          <w:color w:val="000000"/>
        </w:rPr>
        <w:t>”)</w:t>
      </w:r>
    </w:p>
    <w:p w14:paraId="132CA509" w14:textId="77777777" w:rsidR="00D224A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(Divadlo 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dále </w:t>
      </w:r>
      <w:r>
        <w:t>společně</w:t>
      </w:r>
      <w:r>
        <w:rPr>
          <w:color w:val="000000"/>
        </w:rPr>
        <w:t xml:space="preserve"> též jako „</w:t>
      </w:r>
      <w:r>
        <w:rPr>
          <w:b/>
          <w:color w:val="000000"/>
        </w:rPr>
        <w:t>Smluvní strany</w:t>
      </w:r>
      <w:r>
        <w:rPr>
          <w:color w:val="000000"/>
        </w:rPr>
        <w:t>“, každý samostatně jako „</w:t>
      </w:r>
      <w:r>
        <w:rPr>
          <w:b/>
          <w:color w:val="000000"/>
        </w:rPr>
        <w:t>Smluvní strana</w:t>
      </w:r>
      <w:r>
        <w:rPr>
          <w:color w:val="000000"/>
        </w:rPr>
        <w:t>“)</w:t>
      </w:r>
    </w:p>
    <w:p w14:paraId="32C40E4E" w14:textId="77777777" w:rsidR="00D224A0" w:rsidRDefault="00D224A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</w:p>
    <w:p w14:paraId="26659D7B" w14:textId="77777777" w:rsidR="00D224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PŘEDMĚT DODATKU</w:t>
      </w:r>
    </w:p>
    <w:p w14:paraId="235734AD" w14:textId="77777777" w:rsidR="00D224A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Smluvní strany uzavřely dne </w:t>
      </w:r>
      <w:r>
        <w:t>16.02.2021</w:t>
      </w:r>
      <w:r>
        <w:rPr>
          <w:color w:val="000000"/>
        </w:rPr>
        <w:t xml:space="preserve"> smlouvu o marketingové spolupráci (dále jen „Smlouva“). Smluvní strany uzavírají </w:t>
      </w:r>
      <w:r>
        <w:t>D</w:t>
      </w:r>
      <w:r>
        <w:rPr>
          <w:color w:val="000000"/>
        </w:rPr>
        <w:t xml:space="preserve">odatek č. </w:t>
      </w:r>
      <w:r>
        <w:t xml:space="preserve">1 </w:t>
      </w:r>
      <w:r>
        <w:rPr>
          <w:color w:val="000000"/>
        </w:rPr>
        <w:t xml:space="preserve">ke Smlouvě, aby rozšířili znění článku 4. Smlouvy. </w:t>
      </w:r>
    </w:p>
    <w:p w14:paraId="638CA524" w14:textId="77777777" w:rsidR="00D224A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</w:rPr>
      </w:pPr>
      <w:r>
        <w:rPr>
          <w:color w:val="000000"/>
        </w:rPr>
        <w:t>S ohledem na stávající znění článku 4. se smluvní strany dohodly na doplnění bodů 4.9. tohoto článku, a to v tomto znění:</w:t>
      </w:r>
    </w:p>
    <w:p w14:paraId="25A83D2E" w14:textId="77777777" w:rsidR="00D224A0" w:rsidRDefault="00D224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423FE527" w14:textId="77777777" w:rsidR="00D224A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4.9. Smluvní strany se dále dohodly, že </w:t>
      </w:r>
      <w:proofErr w:type="spellStart"/>
      <w:r>
        <w:rPr>
          <w:i/>
          <w:color w:val="000000"/>
          <w:highlight w:val="white"/>
        </w:rPr>
        <w:t>Dramox</w:t>
      </w:r>
      <w:proofErr w:type="spellEnd"/>
      <w:r>
        <w:rPr>
          <w:i/>
          <w:color w:val="000000"/>
          <w:highlight w:val="white"/>
        </w:rPr>
        <w:t xml:space="preserve"> je oprávněn jednostranně odečíst od licenční odměny náklady vynaložené na zakoupení licenčních práv pro užití záznamu představení oproti nároku Divadla na zaplacení odměny dle čl. 4 Smlouvy. Strany se dohodly, že náklady na zakoupení licenčních práv </w:t>
      </w:r>
      <w:proofErr w:type="gramStart"/>
      <w:r>
        <w:rPr>
          <w:i/>
          <w:color w:val="000000"/>
          <w:highlight w:val="white"/>
        </w:rPr>
        <w:t>nepřekročí</w:t>
      </w:r>
      <w:proofErr w:type="gramEnd"/>
      <w:r>
        <w:rPr>
          <w:i/>
          <w:color w:val="000000"/>
          <w:highlight w:val="white"/>
        </w:rPr>
        <w:t xml:space="preserve"> 40.000, - ročně. Tato suma bude zohledněna ve vyúčtování, které bude zasíláno divadlu dle bodu 4.3. smlouvy. Nárok Divadla na vyplacení odměny vznikne Divadlu poté, kdy jsou náklady dle tohoto článku uhrazeny v plné výši.</w:t>
      </w:r>
    </w:p>
    <w:p w14:paraId="2846E209" w14:textId="77777777" w:rsidR="00D224A0" w:rsidRDefault="00D224A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</w:rPr>
      </w:pPr>
    </w:p>
    <w:p w14:paraId="425A3714" w14:textId="77777777" w:rsidR="00D224A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Výše uvedená změna se považuje za účinnou od </w:t>
      </w:r>
      <w:r>
        <w:t>06.02.2024</w:t>
      </w:r>
      <w:r>
        <w:rPr>
          <w:color w:val="000000"/>
        </w:rPr>
        <w:t>.</w:t>
      </w:r>
    </w:p>
    <w:p w14:paraId="19FFE2DE" w14:textId="77777777" w:rsidR="00D224A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1.4.    Tato změna nemá vliv na žádná jiná ustanovení uzavřené smlouvy.</w:t>
      </w:r>
    </w:p>
    <w:p w14:paraId="08AF2802" w14:textId="77777777" w:rsidR="00D224A0" w:rsidRDefault="00D224A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</w:rPr>
      </w:pPr>
    </w:p>
    <w:p w14:paraId="429E8189" w14:textId="77777777" w:rsidR="00D224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55DC3012" w14:textId="77777777" w:rsidR="00D224A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Tento dodatek je podepsán ve dvou originálních stejnopisech. Každá Smluvní strana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jeden stejnopis tohoto dodatku.</w:t>
      </w:r>
    </w:p>
    <w:p w14:paraId="7B2D116E" w14:textId="77777777" w:rsidR="00D224A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Tento Dodatek nabude platnosti dnem podpisu oběma Smluvními stranami a účinnosti dnem následujícím po dni zveřejnění Dodatku podle zvláštního předpisu (zákon č. 211/2000 Z. z.).  </w:t>
      </w:r>
    </w:p>
    <w:p w14:paraId="0B02A293" w14:textId="77777777" w:rsidR="00D224A0" w:rsidRDefault="00D224A0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D224A0" w14:paraId="1D4F0183" w14:textId="77777777">
        <w:tc>
          <w:tcPr>
            <w:tcW w:w="4530" w:type="dxa"/>
          </w:tcPr>
          <w:p w14:paraId="7F238D62" w14:textId="77777777" w:rsidR="00D224A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 [____] dne [__/__] 2024</w:t>
            </w:r>
          </w:p>
          <w:p w14:paraId="11F3DA59" w14:textId="77777777" w:rsidR="00D224A0" w:rsidRDefault="00000000">
            <w:pPr>
              <w:keepNext/>
              <w:keepLines/>
              <w:spacing w:after="120" w:line="25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Centrum experimentálního divadla,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p.o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530C319E" w14:textId="77777777" w:rsidR="00D224A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Divadlo Husa na provázku</w:t>
            </w:r>
          </w:p>
          <w:p w14:paraId="15D85776" w14:textId="77777777" w:rsidR="00D224A0" w:rsidRDefault="00D224A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7A01446" w14:textId="77777777" w:rsidR="00D224A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Praze dne [__/__] 2024</w:t>
            </w:r>
          </w:p>
          <w:p w14:paraId="43368311" w14:textId="77777777" w:rsidR="00D224A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Dramox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s.r.o.</w:t>
            </w:r>
          </w:p>
        </w:tc>
      </w:tr>
    </w:tbl>
    <w:p w14:paraId="7AF9CC5D" w14:textId="77777777" w:rsidR="00D224A0" w:rsidRDefault="00D224A0">
      <w:pPr>
        <w:keepNext/>
        <w:keepLines/>
        <w:spacing w:line="240" w:lineRule="auto"/>
      </w:pPr>
    </w:p>
    <w:tbl>
      <w:tblPr>
        <w:tblStyle w:val="a0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D224A0" w14:paraId="09F245A3" w14:textId="77777777">
        <w:tc>
          <w:tcPr>
            <w:tcW w:w="4530" w:type="dxa"/>
          </w:tcPr>
          <w:p w14:paraId="5C21FA74" w14:textId="77777777" w:rsidR="00D224A0" w:rsidRDefault="00D224A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9218EC" w14:textId="77777777" w:rsidR="00D224A0" w:rsidRDefault="00D224A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D2D4F9" w14:textId="77777777" w:rsidR="00D224A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644139FC" w14:textId="77777777" w:rsidR="00D224A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Miroslav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Oščatka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ředitel CED,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p.o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355A571B" w14:textId="77777777" w:rsidR="00D224A0" w:rsidRDefault="00D224A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CC897D" w14:textId="77777777" w:rsidR="00D224A0" w:rsidRDefault="00D224A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C362B7" w14:textId="77777777" w:rsidR="00D224A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4CAEEC4F" w14:textId="0B23E27D" w:rsidR="00D224A0" w:rsidRDefault="008D545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XXX</w:t>
            </w:r>
            <w:r w:rsidR="000000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prokurista</w:t>
            </w:r>
          </w:p>
          <w:p w14:paraId="6DAC66D7" w14:textId="77777777" w:rsidR="00D224A0" w:rsidRDefault="00D224A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E6637B0" w14:textId="77777777" w:rsidR="00D224A0" w:rsidRDefault="00D224A0">
      <w:pPr>
        <w:keepNext/>
        <w:keepLines/>
        <w:spacing w:line="240" w:lineRule="auto"/>
      </w:pPr>
    </w:p>
    <w:p w14:paraId="22731AA1" w14:textId="77777777" w:rsidR="00D224A0" w:rsidRDefault="00D224A0"/>
    <w:sectPr w:rsidR="00D224A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1F4F" w14:textId="77777777" w:rsidR="006D02F4" w:rsidRDefault="006D02F4">
      <w:pPr>
        <w:spacing w:after="0" w:line="240" w:lineRule="auto"/>
      </w:pPr>
      <w:r>
        <w:separator/>
      </w:r>
    </w:p>
  </w:endnote>
  <w:endnote w:type="continuationSeparator" w:id="0">
    <w:p w14:paraId="2F0E22F1" w14:textId="77777777" w:rsidR="006D02F4" w:rsidRDefault="006D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7E50" w14:textId="77777777" w:rsidR="00D224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545D">
      <w:rPr>
        <w:noProof/>
        <w:color w:val="000000"/>
      </w:rPr>
      <w:t>1</w:t>
    </w:r>
    <w:r>
      <w:rPr>
        <w:color w:val="000000"/>
      </w:rPr>
      <w:fldChar w:fldCharType="end"/>
    </w:r>
  </w:p>
  <w:p w14:paraId="360EAD63" w14:textId="77777777" w:rsidR="00D224A0" w:rsidRDefault="00D224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8ADE" w14:textId="77777777" w:rsidR="006D02F4" w:rsidRDefault="006D02F4">
      <w:pPr>
        <w:spacing w:after="0" w:line="240" w:lineRule="auto"/>
      </w:pPr>
      <w:r>
        <w:separator/>
      </w:r>
    </w:p>
  </w:footnote>
  <w:footnote w:type="continuationSeparator" w:id="0">
    <w:p w14:paraId="1DC13D4A" w14:textId="77777777" w:rsidR="006D02F4" w:rsidRDefault="006D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265EA"/>
    <w:multiLevelType w:val="multilevel"/>
    <w:tmpl w:val="38708674"/>
    <w:lvl w:ilvl="0">
      <w:start w:val="1"/>
      <w:numFmt w:val="decimal"/>
      <w:pStyle w:val="PartiesCtrlShift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903C13"/>
    <w:multiLevelType w:val="multilevel"/>
    <w:tmpl w:val="C77C6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1041025">
    <w:abstractNumId w:val="1"/>
  </w:num>
  <w:num w:numId="2" w16cid:durableId="941454996">
    <w:abstractNumId w:val="0"/>
  </w:num>
  <w:num w:numId="3" w16cid:durableId="1651710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152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A0"/>
    <w:rsid w:val="006D02F4"/>
    <w:rsid w:val="008D545D"/>
    <w:rsid w:val="00D2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7D6A"/>
  <w15:docId w15:val="{0004510B-0CDF-4FCD-9371-3E0A7A99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uiPriority w:val="99"/>
    <w:qFormat/>
    <w:rsid w:val="00611767"/>
    <w:pPr>
      <w:keepNext/>
      <w:keepLines/>
      <w:tabs>
        <w:tab w:val="num" w:pos="720"/>
      </w:tabs>
      <w:spacing w:before="240"/>
      <w:ind w:left="720" w:hanging="72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uiPriority w:val="99"/>
    <w:qFormat/>
    <w:rsid w:val="00611767"/>
    <w:pPr>
      <w:numPr>
        <w:ilvl w:val="1"/>
      </w:numPr>
      <w:tabs>
        <w:tab w:val="num" w:pos="720"/>
      </w:tabs>
      <w:ind w:left="720" w:hanging="720"/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uiPriority w:val="99"/>
    <w:rsid w:val="00611767"/>
    <w:rPr>
      <w:rFonts w:ascii="Futura T OT" w:eastAsiaTheme="majorEastAsia" w:hAnsi="Futura T OT" w:cstheme="majorBidi"/>
      <w:b/>
      <w:bCs/>
      <w:sz w:val="20"/>
      <w:szCs w:val="28"/>
    </w:rPr>
  </w:style>
  <w:style w:type="paragraph" w:customStyle="1" w:styleId="Level3CtrlShiftL3">
    <w:name w:val="Level 3 (CtrlShift + L3)"/>
    <w:basedOn w:val="Level2CtrlShiftL2"/>
    <w:link w:val="Level3CtrlShiftL3Char"/>
    <w:uiPriority w:val="99"/>
    <w:qFormat/>
    <w:rsid w:val="00611767"/>
    <w:pPr>
      <w:numPr>
        <w:ilvl w:val="2"/>
      </w:numPr>
      <w:tabs>
        <w:tab w:val="num" w:pos="720"/>
      </w:tabs>
      <w:ind w:left="720" w:hanging="720"/>
      <w:outlineLvl w:val="2"/>
    </w:pPr>
    <w:rPr>
      <w:bCs/>
    </w:rPr>
  </w:style>
  <w:style w:type="paragraph" w:customStyle="1" w:styleId="Level4CtrlShiftL4">
    <w:name w:val="Level 4 (CtrlShift + L4)"/>
    <w:basedOn w:val="Level3CtrlShiftL3"/>
    <w:uiPriority w:val="99"/>
    <w:qFormat/>
    <w:rsid w:val="00611767"/>
    <w:pPr>
      <w:numPr>
        <w:ilvl w:val="3"/>
      </w:numPr>
      <w:tabs>
        <w:tab w:val="num" w:pos="360"/>
        <w:tab w:val="num" w:pos="720"/>
      </w:tabs>
      <w:ind w:left="720" w:hanging="720"/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</w:rPr>
  </w:style>
  <w:style w:type="numbering" w:customStyle="1" w:styleId="PartiesList">
    <w:name w:val="Parties List"/>
    <w:uiPriority w:val="99"/>
    <w:rsid w:val="00611767"/>
  </w:style>
  <w:style w:type="numbering" w:customStyle="1" w:styleId="LevelList">
    <w:name w:val="Level List"/>
    <w:rsid w:val="00611767"/>
  </w:style>
  <w:style w:type="character" w:customStyle="1" w:styleId="Level2CtrlShiftL2Char">
    <w:name w:val="Level 2 (CtrlShift + L2) Char"/>
    <w:basedOn w:val="Standardnpsmoodstavce"/>
    <w:link w:val="Level2CtrlShiftL2"/>
    <w:uiPriority w:val="99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0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uiPriority w:val="99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Normlnweb">
    <w:name w:val="Normal (Web)"/>
    <w:basedOn w:val="Normln"/>
    <w:uiPriority w:val="99"/>
    <w:semiHidden/>
    <w:unhideWhenUsed/>
    <w:rsid w:val="000A5BC1"/>
    <w:rPr>
      <w:rFonts w:ascii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1XQmq/qgLs2dL/0urXWy4M9MA==">CgMxLjA4AHIhMXYybWM3UHdUNkhoQ2xOZFZRS3NyckFrZnpLVFV0UEla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Petr</dc:creator>
  <cp:lastModifiedBy>Ondřej Petr</cp:lastModifiedBy>
  <cp:revision>2</cp:revision>
  <dcterms:created xsi:type="dcterms:W3CDTF">2024-02-12T08:34:00Z</dcterms:created>
  <dcterms:modified xsi:type="dcterms:W3CDTF">2024-02-12T08:34:00Z</dcterms:modified>
</cp:coreProperties>
</file>