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2BD9" w14:textId="0787E034" w:rsidR="00F81C12" w:rsidRDefault="006F78C1">
      <w:pPr>
        <w:spacing w:line="1" w:lineRule="exact"/>
      </w:pPr>
      <w:r>
        <w:rPr>
          <w:noProof/>
        </w:rPr>
        <w:drawing>
          <wp:anchor distT="0" distB="0" distL="2240280" distR="0" simplePos="0" relativeHeight="125829378" behindDoc="0" locked="0" layoutInCell="1" allowOverlap="1" wp14:anchorId="6A07133C" wp14:editId="2C79C947">
            <wp:simplePos x="0" y="0"/>
            <wp:positionH relativeFrom="page">
              <wp:posOffset>5195570</wp:posOffset>
            </wp:positionH>
            <wp:positionV relativeFrom="paragraph">
              <wp:posOffset>12700</wp:posOffset>
            </wp:positionV>
            <wp:extent cx="1969135" cy="99377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69135" cy="993775"/>
                    </a:xfrm>
                    <a:prstGeom prst="rect">
                      <a:avLst/>
                    </a:prstGeom>
                  </pic:spPr>
                </pic:pic>
              </a:graphicData>
            </a:graphic>
          </wp:anchor>
        </w:drawing>
      </w:r>
    </w:p>
    <w:p w14:paraId="3E2F2CFE" w14:textId="77777777" w:rsidR="006F78C1" w:rsidRDefault="006F78C1" w:rsidP="006F78C1">
      <w:pPr>
        <w:pStyle w:val="Nadpis10"/>
        <w:keepNext/>
        <w:keepLines/>
        <w:framePr w:w="595" w:h="869" w:wrap="none" w:vAnchor="text" w:hAnchor="page" w:x="6998" w:y="177"/>
        <w:shd w:val="clear" w:color="auto" w:fill="auto"/>
      </w:pPr>
      <w:bookmarkStart w:id="0" w:name="bookmark0"/>
      <w:bookmarkStart w:id="1" w:name="bookmark1"/>
      <w:bookmarkStart w:id="2" w:name="bookmark2"/>
      <w:bookmarkStart w:id="3" w:name="bookmark3"/>
      <w:r>
        <w:t>lili</w:t>
      </w:r>
      <w:bookmarkEnd w:id="2"/>
      <w:bookmarkEnd w:id="3"/>
    </w:p>
    <w:p w14:paraId="468677DD" w14:textId="77777777" w:rsidR="00F81C12" w:rsidRDefault="006F78C1">
      <w:pPr>
        <w:pStyle w:val="Nadpis30"/>
        <w:keepNext/>
        <w:keepLines/>
        <w:shd w:val="clear" w:color="auto" w:fill="auto"/>
      </w:pPr>
      <w:r>
        <w:t xml:space="preserve">Making our world more </w:t>
      </w:r>
      <w:r>
        <w:t>productive</w:t>
      </w:r>
      <w:bookmarkEnd w:id="0"/>
      <w:bookmarkEnd w:id="1"/>
    </w:p>
    <w:p w14:paraId="3A98F498" w14:textId="77777777" w:rsidR="006F78C1" w:rsidRDefault="006F78C1">
      <w:pPr>
        <w:pStyle w:val="Nadpis30"/>
        <w:keepNext/>
        <w:keepLines/>
        <w:shd w:val="clear" w:color="auto" w:fill="auto"/>
      </w:pPr>
    </w:p>
    <w:p w14:paraId="61BACDCA" w14:textId="77777777" w:rsidR="006F78C1" w:rsidRDefault="006F78C1">
      <w:pPr>
        <w:pStyle w:val="Nadpis30"/>
        <w:keepNext/>
        <w:keepLines/>
        <w:shd w:val="clear" w:color="auto" w:fill="auto"/>
        <w:sectPr w:rsidR="006F78C1">
          <w:headerReference w:type="even" r:id="rId8"/>
          <w:headerReference w:type="default" r:id="rId9"/>
          <w:pgSz w:w="11900" w:h="16840"/>
          <w:pgMar w:top="193" w:right="7280" w:bottom="315" w:left="843" w:header="0" w:footer="3" w:gutter="0"/>
          <w:pgNumType w:start="1"/>
          <w:cols w:space="720"/>
          <w:noEndnote/>
          <w:docGrid w:linePitch="360"/>
        </w:sectPr>
      </w:pPr>
    </w:p>
    <w:p w14:paraId="5675B3CB" w14:textId="3864C1AD" w:rsidR="00F81C12" w:rsidRDefault="006F78C1">
      <w:pPr>
        <w:pStyle w:val="Zkladntext30"/>
        <w:framePr w:w="1104" w:h="211" w:wrap="none" w:vAnchor="text" w:hAnchor="page" w:x="940" w:y="21"/>
        <w:shd w:val="clear" w:color="auto" w:fill="auto"/>
      </w:pPr>
      <w:r>
        <w:rPr>
          <w:b/>
          <w:bCs/>
        </w:rPr>
        <w:t>Linde</w:t>
      </w:r>
      <w:r>
        <w:rPr>
          <w:b/>
          <w:bCs/>
        </w:rPr>
        <w:t xml:space="preserve"> Gas a.s.</w:t>
      </w:r>
    </w:p>
    <w:p w14:paraId="7C7F64C9" w14:textId="77777777" w:rsidR="00F81C12" w:rsidRDefault="006F78C1">
      <w:pPr>
        <w:pStyle w:val="Zkladntext20"/>
        <w:framePr w:w="998" w:h="254" w:wrap="none" w:vAnchor="text" w:hAnchor="page" w:x="930" w:y="683"/>
        <w:shd w:val="clear" w:color="auto" w:fill="auto"/>
        <w:spacing w:line="240" w:lineRule="auto"/>
        <w:ind w:left="0" w:firstLine="0"/>
        <w:rPr>
          <w:sz w:val="19"/>
          <w:szCs w:val="19"/>
        </w:rPr>
      </w:pPr>
      <w:r>
        <w:rPr>
          <w:sz w:val="19"/>
          <w:szCs w:val="19"/>
        </w:rPr>
        <w:t>a zákazník</w:t>
      </w:r>
    </w:p>
    <w:p w14:paraId="46140768" w14:textId="77777777" w:rsidR="00F81C12" w:rsidRDefault="006F78C1">
      <w:pPr>
        <w:pStyle w:val="Titulekobrzku0"/>
        <w:framePr w:w="701" w:h="173" w:wrap="none" w:vAnchor="text" w:hAnchor="page" w:x="8106" w:y="740"/>
        <w:shd w:val="clear" w:color="auto" w:fill="auto"/>
        <w:spacing w:line="240" w:lineRule="auto"/>
        <w:rPr>
          <w:sz w:val="12"/>
          <w:szCs w:val="12"/>
        </w:rPr>
      </w:pPr>
      <w:r>
        <w:rPr>
          <w:rFonts w:ascii="Arial" w:eastAsia="Arial" w:hAnsi="Arial" w:cs="Arial"/>
          <w:sz w:val="12"/>
          <w:szCs w:val="12"/>
        </w:rPr>
        <w:t>0363758271</w:t>
      </w:r>
    </w:p>
    <w:p w14:paraId="096CFBE6" w14:textId="02B0DD3F" w:rsidR="00F81C12" w:rsidRDefault="006F78C1">
      <w:pPr>
        <w:spacing w:line="360" w:lineRule="exact"/>
      </w:pPr>
      <w:r>
        <w:rPr>
          <w:noProof/>
        </w:rPr>
        <mc:AlternateContent>
          <mc:Choice Requires="wps">
            <w:drawing>
              <wp:anchor distT="0" distB="0" distL="0" distR="0" simplePos="0" relativeHeight="251658240" behindDoc="0" locked="0" layoutInCell="1" allowOverlap="1" wp14:anchorId="572B7285" wp14:editId="14B253FA">
                <wp:simplePos x="0" y="0"/>
                <wp:positionH relativeFrom="page">
                  <wp:posOffset>2374265</wp:posOffset>
                </wp:positionH>
                <wp:positionV relativeFrom="paragraph">
                  <wp:posOffset>54610</wp:posOffset>
                </wp:positionV>
                <wp:extent cx="2070735" cy="565150"/>
                <wp:effectExtent l="0" t="0" r="0" b="0"/>
                <wp:wrapNone/>
                <wp:docPr id="3" name="Shape 3"/>
                <wp:cNvGraphicFramePr/>
                <a:graphic xmlns:a="http://schemas.openxmlformats.org/drawingml/2006/main">
                  <a:graphicData uri="http://schemas.microsoft.com/office/word/2010/wordprocessingShape">
                    <wps:wsp>
                      <wps:cNvSpPr txBox="1"/>
                      <wps:spPr>
                        <a:xfrm>
                          <a:off x="0" y="0"/>
                          <a:ext cx="2070735" cy="565150"/>
                        </a:xfrm>
                        <a:prstGeom prst="rect">
                          <a:avLst/>
                        </a:prstGeom>
                        <a:noFill/>
                      </wps:spPr>
                      <wps:txbx>
                        <w:txbxContent>
                          <w:p w14:paraId="234B96E9" w14:textId="77777777" w:rsidR="00F81C12" w:rsidRDefault="006F78C1">
                            <w:pPr>
                              <w:pStyle w:val="Titulekobrzku0"/>
                              <w:shd w:val="clear" w:color="auto" w:fill="auto"/>
                            </w:pPr>
                            <w:r>
                              <w:t>KRAJSKÁ SPRÁVA A ÚDRŽBA SILNIC VYSOČINY příspěvková organizace</w:t>
                            </w:r>
                          </w:p>
                          <w:p w14:paraId="25E93526" w14:textId="77777777" w:rsidR="00F81C12" w:rsidRDefault="006F78C1">
                            <w:pPr>
                              <w:pStyle w:val="Titulekobrzku0"/>
                              <w:shd w:val="clear" w:color="auto" w:fill="auto"/>
                              <w:spacing w:after="200"/>
                            </w:pPr>
                            <w:r>
                              <w:t>SMLOUVA REGISTROVÁNA</w:t>
                            </w:r>
                          </w:p>
                          <w:p w14:paraId="7EA8B7BC" w14:textId="77777777" w:rsidR="00F81C12" w:rsidRDefault="006F78C1">
                            <w:pPr>
                              <w:pStyle w:val="Titulekobrzku0"/>
                              <w:shd w:val="clear" w:color="auto" w:fill="auto"/>
                              <w:rPr>
                                <w:sz w:val="17"/>
                                <w:szCs w:val="17"/>
                              </w:rPr>
                            </w:pPr>
                            <w:r>
                              <w:rPr>
                                <w:rFonts w:ascii="Arial" w:eastAsia="Arial" w:hAnsi="Arial" w:cs="Arial"/>
                                <w:b/>
                                <w:bCs/>
                                <w:w w:val="80"/>
                                <w:sz w:val="17"/>
                                <w:szCs w:val="17"/>
                              </w:rPr>
                              <w:t>pod číslem:</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2B7285" id="_x0000_t202" coordsize="21600,21600" o:spt="202" path="m,l,21600r21600,l21600,xe">
                <v:stroke joinstyle="miter"/>
                <v:path gradientshapeok="t" o:connecttype="rect"/>
              </v:shapetype>
              <v:shape id="Shape 3" o:spid="_x0000_s1026" type="#_x0000_t202" style="position:absolute;margin-left:186.95pt;margin-top:4.3pt;width:163.05pt;height:4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" filled="f" stroked="f">
                <v:textbox inset="0,0,0,0">
                  <w:txbxContent>
                    <w:p w14:paraId="234B96E9" w14:textId="77777777" w:rsidR="00F81C12" w:rsidRDefault="006F78C1">
                      <w:pPr>
                        <w:pStyle w:val="Titulekobrzku0"/>
                        <w:shd w:val="clear" w:color="auto" w:fill="auto"/>
                      </w:pPr>
                      <w:r>
                        <w:t>KRAJSKÁ SPRÁVA A ÚDRŽBA SILNIC VYSOČINY příspěvková organizace</w:t>
                      </w:r>
                    </w:p>
                    <w:p w14:paraId="25E93526" w14:textId="77777777" w:rsidR="00F81C12" w:rsidRDefault="006F78C1">
                      <w:pPr>
                        <w:pStyle w:val="Titulekobrzku0"/>
                        <w:shd w:val="clear" w:color="auto" w:fill="auto"/>
                        <w:spacing w:after="200"/>
                      </w:pPr>
                      <w:r>
                        <w:t>SMLOUVA REGISTROVÁNA</w:t>
                      </w:r>
                    </w:p>
                    <w:p w14:paraId="7EA8B7BC" w14:textId="77777777" w:rsidR="00F81C12" w:rsidRDefault="006F78C1">
                      <w:pPr>
                        <w:pStyle w:val="Titulekobrzku0"/>
                        <w:shd w:val="clear" w:color="auto" w:fill="auto"/>
                        <w:rPr>
                          <w:sz w:val="17"/>
                          <w:szCs w:val="17"/>
                        </w:rPr>
                      </w:pPr>
                      <w:r>
                        <w:rPr>
                          <w:rFonts w:ascii="Arial" w:eastAsia="Arial" w:hAnsi="Arial" w:cs="Arial"/>
                          <w:b/>
                          <w:bCs/>
                          <w:w w:val="80"/>
                          <w:sz w:val="17"/>
                          <w:szCs w:val="17"/>
                        </w:rPr>
                        <w:t>pod číslem:</w:t>
                      </w:r>
                    </w:p>
                  </w:txbxContent>
                </v:textbox>
                <w10:wrap anchorx="page"/>
              </v:shape>
            </w:pict>
          </mc:Fallback>
        </mc:AlternateContent>
      </w:r>
      <w:r>
        <w:rPr>
          <w:noProof/>
        </w:rPr>
        <w:drawing>
          <wp:anchor distT="0" distB="0" distL="0" distR="0" simplePos="0" relativeHeight="62914692" behindDoc="1" locked="0" layoutInCell="1" allowOverlap="1" wp14:anchorId="6A2AC993" wp14:editId="0683FD2C">
            <wp:simplePos x="0" y="0"/>
            <wp:positionH relativeFrom="page">
              <wp:posOffset>4445635</wp:posOffset>
            </wp:positionH>
            <wp:positionV relativeFrom="paragraph">
              <wp:posOffset>73025</wp:posOffset>
            </wp:positionV>
            <wp:extent cx="189230" cy="438785"/>
            <wp:effectExtent l="0" t="0" r="0" b="0"/>
            <wp:wrapNone/>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189230" cy="438785"/>
                    </a:xfrm>
                    <a:prstGeom prst="rect">
                      <a:avLst/>
                    </a:prstGeom>
                  </pic:spPr>
                </pic:pic>
              </a:graphicData>
            </a:graphic>
          </wp:anchor>
        </w:drawing>
      </w:r>
      <w:r>
        <w:rPr>
          <w:noProof/>
        </w:rPr>
        <w:drawing>
          <wp:anchor distT="0" distB="88265" distL="0" distR="0" simplePos="0" relativeHeight="62914693" behindDoc="1" locked="0" layoutInCell="1" allowOverlap="1" wp14:anchorId="109442A0" wp14:editId="22CCAC19">
            <wp:simplePos x="0" y="0"/>
            <wp:positionH relativeFrom="page">
              <wp:posOffset>5058410</wp:posOffset>
            </wp:positionH>
            <wp:positionV relativeFrom="paragraph">
              <wp:posOffset>88265</wp:posOffset>
            </wp:positionV>
            <wp:extent cx="542290" cy="402590"/>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1"/>
                    <a:stretch/>
                  </pic:blipFill>
                  <pic:spPr>
                    <a:xfrm>
                      <a:off x="0" y="0"/>
                      <a:ext cx="542290" cy="402590"/>
                    </a:xfrm>
                    <a:prstGeom prst="rect">
                      <a:avLst/>
                    </a:prstGeom>
                  </pic:spPr>
                </pic:pic>
              </a:graphicData>
            </a:graphic>
          </wp:anchor>
        </w:drawing>
      </w:r>
    </w:p>
    <w:p w14:paraId="3508553C" w14:textId="77777777" w:rsidR="00F81C12" w:rsidRDefault="00F81C12">
      <w:pPr>
        <w:spacing w:after="575" w:line="1" w:lineRule="exact"/>
      </w:pPr>
    </w:p>
    <w:p w14:paraId="04A9A588" w14:textId="77777777" w:rsidR="00F81C12" w:rsidRDefault="00F81C12">
      <w:pPr>
        <w:spacing w:line="1" w:lineRule="exact"/>
      </w:pPr>
    </w:p>
    <w:p w14:paraId="627C1D48" w14:textId="77777777" w:rsidR="006F78C1" w:rsidRDefault="006F78C1">
      <w:pPr>
        <w:spacing w:line="1" w:lineRule="exact"/>
      </w:pPr>
    </w:p>
    <w:p w14:paraId="1BBABEDC" w14:textId="77777777" w:rsidR="006F78C1" w:rsidRDefault="006F78C1">
      <w:pPr>
        <w:spacing w:line="1" w:lineRule="exact"/>
        <w:sectPr w:rsidR="006F78C1">
          <w:type w:val="continuous"/>
          <w:pgSz w:w="11900" w:h="16840"/>
          <w:pgMar w:top="193" w:right="623" w:bottom="315" w:left="819" w:header="0" w:footer="3" w:gutter="0"/>
          <w:cols w:space="720"/>
          <w:noEndnote/>
          <w:docGrid w:linePitch="360"/>
        </w:sectPr>
      </w:pPr>
    </w:p>
    <w:p w14:paraId="6638AC27" w14:textId="77777777" w:rsidR="00F81C12" w:rsidRDefault="00F81C12">
      <w:pPr>
        <w:spacing w:line="52" w:lineRule="exact"/>
        <w:rPr>
          <w:sz w:val="4"/>
          <w:szCs w:val="4"/>
        </w:rPr>
      </w:pPr>
    </w:p>
    <w:p w14:paraId="273130C8" w14:textId="77777777" w:rsidR="00F81C12" w:rsidRDefault="00F81C12">
      <w:pPr>
        <w:spacing w:line="1" w:lineRule="exact"/>
        <w:sectPr w:rsidR="00F81C12">
          <w:type w:val="continuous"/>
          <w:pgSz w:w="11900" w:h="16840"/>
          <w:pgMar w:top="692" w:right="0" w:bottom="150" w:left="0" w:header="0" w:footer="3" w:gutter="0"/>
          <w:cols w:space="720"/>
          <w:noEndnote/>
          <w:docGrid w:linePitch="360"/>
        </w:sectPr>
      </w:pPr>
    </w:p>
    <w:p w14:paraId="25292F9E" w14:textId="77777777" w:rsidR="00F81C12" w:rsidRDefault="006F78C1">
      <w:pPr>
        <w:pStyle w:val="Nadpis20"/>
        <w:keepNext/>
        <w:keepLines/>
        <w:shd w:val="clear" w:color="auto" w:fill="auto"/>
      </w:pPr>
      <w:bookmarkStart w:id="4" w:name="bookmark8"/>
      <w:bookmarkStart w:id="5" w:name="bookmark9"/>
      <w:r>
        <w:t>Smlouva o dlouhodobém pronájmu</w:t>
      </w:r>
      <w:bookmarkEnd w:id="4"/>
      <w:bookmarkEnd w:id="5"/>
    </w:p>
    <w:p w14:paraId="38147466" w14:textId="54CA5E11" w:rsidR="00F81C12" w:rsidRDefault="006F78C1">
      <w:pPr>
        <w:pStyle w:val="Zkladntext20"/>
        <w:shd w:val="clear" w:color="auto" w:fill="auto"/>
        <w:spacing w:line="264" w:lineRule="auto"/>
        <w:ind w:left="0" w:firstLine="0"/>
        <w:rPr>
          <w:sz w:val="19"/>
          <w:szCs w:val="19"/>
        </w:rPr>
      </w:pPr>
      <w:r>
        <w:rPr>
          <w:noProof/>
        </w:rPr>
        <mc:AlternateContent>
          <mc:Choice Requires="wps">
            <w:drawing>
              <wp:anchor distT="0" distB="0" distL="114300" distR="114300" simplePos="0" relativeHeight="125829379" behindDoc="0" locked="0" layoutInCell="1" allowOverlap="1" wp14:anchorId="20F308DC" wp14:editId="26A7A83B">
                <wp:simplePos x="0" y="0"/>
                <wp:positionH relativeFrom="page">
                  <wp:posOffset>3814445</wp:posOffset>
                </wp:positionH>
                <wp:positionV relativeFrom="paragraph">
                  <wp:posOffset>190500</wp:posOffset>
                </wp:positionV>
                <wp:extent cx="3121025" cy="30480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3121025" cy="304800"/>
                        </a:xfrm>
                        <a:prstGeom prst="rect">
                          <a:avLst/>
                        </a:prstGeom>
                        <a:noFill/>
                      </wps:spPr>
                      <wps:txbx>
                        <w:txbxContent>
                          <w:p w14:paraId="20D0A402" w14:textId="77777777" w:rsidR="00F81C12" w:rsidRDefault="006F78C1">
                            <w:pPr>
                              <w:pStyle w:val="Zkladntext30"/>
                              <w:shd w:val="clear" w:color="auto" w:fill="auto"/>
                              <w:tabs>
                                <w:tab w:val="left" w:pos="1829"/>
                                <w:tab w:val="left" w:pos="3734"/>
                              </w:tabs>
                            </w:pPr>
                            <w:r>
                              <w:t>Číslo smlouvy</w:t>
                            </w:r>
                            <w:r>
                              <w:tab/>
                              <w:t>Datum vystavení</w:t>
                            </w:r>
                            <w:r>
                              <w:tab/>
                              <w:t>Číslo zákazníka</w:t>
                            </w:r>
                          </w:p>
                          <w:p w14:paraId="7F309A1E" w14:textId="77777777" w:rsidR="00F81C12" w:rsidRDefault="006F78C1">
                            <w:pPr>
                              <w:pStyle w:val="Zkladntext20"/>
                              <w:shd w:val="clear" w:color="auto" w:fill="auto"/>
                              <w:tabs>
                                <w:tab w:val="left" w:pos="1925"/>
                                <w:tab w:val="left" w:pos="3869"/>
                              </w:tabs>
                              <w:spacing w:line="240" w:lineRule="auto"/>
                              <w:ind w:left="0" w:firstLine="0"/>
                              <w:rPr>
                                <w:sz w:val="19"/>
                                <w:szCs w:val="19"/>
                              </w:rPr>
                            </w:pPr>
                            <w:r>
                              <w:rPr>
                                <w:sz w:val="19"/>
                                <w:szCs w:val="19"/>
                              </w:rPr>
                              <w:t>363758271</w:t>
                            </w:r>
                            <w:r>
                              <w:rPr>
                                <w:sz w:val="19"/>
                                <w:szCs w:val="19"/>
                              </w:rPr>
                              <w:tab/>
                              <w:t>26.01.2024</w:t>
                            </w:r>
                            <w:r>
                              <w:rPr>
                                <w:sz w:val="19"/>
                                <w:szCs w:val="19"/>
                              </w:rPr>
                              <w:tab/>
                              <w:t>571413570</w:t>
                            </w:r>
                          </w:p>
                        </w:txbxContent>
                      </wps:txbx>
                      <wps:bodyPr lIns="0" tIns="0" rIns="0" bIns="0"/>
                    </wps:wsp>
                  </a:graphicData>
                </a:graphic>
              </wp:anchor>
            </w:drawing>
          </mc:Choice>
          <mc:Fallback>
            <w:pict>
              <v:shape w14:anchorId="20F308DC" id="Shape 12" o:spid="_x0000_s1027" type="#_x0000_t202" style="position:absolute;margin-left:300.35pt;margin-top:15pt;width:245.75pt;height:24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" filled="f" stroked="f">
                <v:textbox inset="0,0,0,0">
                  <w:txbxContent>
                    <w:p w14:paraId="20D0A402" w14:textId="77777777" w:rsidR="00F81C12" w:rsidRDefault="006F78C1">
                      <w:pPr>
                        <w:pStyle w:val="Zkladntext30"/>
                        <w:shd w:val="clear" w:color="auto" w:fill="auto"/>
                        <w:tabs>
                          <w:tab w:val="left" w:pos="1829"/>
                          <w:tab w:val="left" w:pos="3734"/>
                        </w:tabs>
                      </w:pPr>
                      <w:r>
                        <w:t>Číslo smlouvy</w:t>
                      </w:r>
                      <w:r>
                        <w:tab/>
                        <w:t>Datum vystavení</w:t>
                      </w:r>
                      <w:r>
                        <w:tab/>
                        <w:t>Číslo zákazníka</w:t>
                      </w:r>
                    </w:p>
                    <w:p w14:paraId="7F309A1E" w14:textId="77777777" w:rsidR="00F81C12" w:rsidRDefault="006F78C1">
                      <w:pPr>
                        <w:pStyle w:val="Zkladntext20"/>
                        <w:shd w:val="clear" w:color="auto" w:fill="auto"/>
                        <w:tabs>
                          <w:tab w:val="left" w:pos="1925"/>
                          <w:tab w:val="left" w:pos="3869"/>
                        </w:tabs>
                        <w:spacing w:line="240" w:lineRule="auto"/>
                        <w:ind w:left="0" w:firstLine="0"/>
                        <w:rPr>
                          <w:sz w:val="19"/>
                          <w:szCs w:val="19"/>
                        </w:rPr>
                      </w:pPr>
                      <w:r>
                        <w:rPr>
                          <w:sz w:val="19"/>
                          <w:szCs w:val="19"/>
                        </w:rPr>
                        <w:t>363758271</w:t>
                      </w:r>
                      <w:r>
                        <w:rPr>
                          <w:sz w:val="19"/>
                          <w:szCs w:val="19"/>
                        </w:rPr>
                        <w:tab/>
                        <w:t>26.01.2024</w:t>
                      </w:r>
                      <w:r>
                        <w:rPr>
                          <w:sz w:val="19"/>
                          <w:szCs w:val="19"/>
                        </w:rPr>
                        <w:tab/>
                        <w:t>571413570</w:t>
                      </w:r>
                    </w:p>
                  </w:txbxContent>
                </v:textbox>
                <w10:wrap type="square" anchorx="page"/>
              </v:shape>
            </w:pict>
          </mc:Fallback>
        </mc:AlternateContent>
      </w:r>
      <w:r>
        <w:rPr>
          <w:sz w:val="19"/>
          <w:szCs w:val="19"/>
        </w:rPr>
        <w:t xml:space="preserve">Krajská správa a </w:t>
      </w:r>
      <w:r>
        <w:rPr>
          <w:sz w:val="19"/>
          <w:szCs w:val="19"/>
        </w:rPr>
        <w:t xml:space="preserve">údržba </w:t>
      </w:r>
      <w:r>
        <w:rPr>
          <w:sz w:val="19"/>
          <w:szCs w:val="19"/>
        </w:rPr>
        <w:t xml:space="preserve">silnic Vysočiny,                                                                                                                             </w:t>
      </w:r>
      <w:r>
        <w:rPr>
          <w:sz w:val="19"/>
          <w:szCs w:val="19"/>
        </w:rPr>
        <w:t xml:space="preserve"> příspěvková organizace Jihlavská 1, pr.Ždár nad Sázavou 591 14 Ždár nad Sázavou</w:t>
      </w:r>
    </w:p>
    <w:p w14:paraId="03C24925" w14:textId="77777777" w:rsidR="00F81C12" w:rsidRDefault="006F78C1">
      <w:pPr>
        <w:pStyle w:val="Zkladntext20"/>
        <w:shd w:val="clear" w:color="auto" w:fill="auto"/>
        <w:spacing w:line="264" w:lineRule="auto"/>
        <w:ind w:left="0" w:firstLine="0"/>
        <w:jc w:val="both"/>
        <w:rPr>
          <w:sz w:val="19"/>
          <w:szCs w:val="19"/>
        </w:rPr>
      </w:pPr>
      <w:r>
        <w:rPr>
          <w:sz w:val="19"/>
          <w:szCs w:val="19"/>
        </w:rPr>
        <w:t>Krajská správa a údržba silnic Vysočiny, příspěvková organizace Kosovská 16</w:t>
      </w:r>
    </w:p>
    <w:p w14:paraId="4F7CCCFC" w14:textId="77777777" w:rsidR="00F81C12" w:rsidRDefault="006F78C1">
      <w:pPr>
        <w:pStyle w:val="Zkladntext20"/>
        <w:shd w:val="clear" w:color="auto" w:fill="auto"/>
        <w:spacing w:after="980" w:line="264" w:lineRule="auto"/>
        <w:ind w:left="0" w:firstLine="0"/>
        <w:jc w:val="both"/>
        <w:rPr>
          <w:sz w:val="19"/>
          <w:szCs w:val="19"/>
        </w:rPr>
      </w:pPr>
      <w:r>
        <w:rPr>
          <w:sz w:val="19"/>
          <w:szCs w:val="19"/>
        </w:rPr>
        <w:t>586 01 Jihlava</w:t>
      </w:r>
    </w:p>
    <w:p w14:paraId="01D0B066" w14:textId="77777777" w:rsidR="00F81C12" w:rsidRDefault="006F78C1">
      <w:pPr>
        <w:pStyle w:val="Nadpis40"/>
        <w:keepNext/>
        <w:keepLines/>
        <w:shd w:val="clear" w:color="auto" w:fill="auto"/>
        <w:spacing w:after="260" w:line="259" w:lineRule="auto"/>
        <w:ind w:firstLine="0"/>
        <w:jc w:val="both"/>
      </w:pPr>
      <w:bookmarkStart w:id="6" w:name="bookmark10"/>
      <w:bookmarkStart w:id="7" w:name="bookmark11"/>
      <w:r>
        <w:t>uzavírají tuto smlouvu o dlouhodobém pronájmu lahví a dalších distribučních prostředků na technické plyny:</w:t>
      </w:r>
      <w:bookmarkEnd w:id="6"/>
      <w:bookmarkEnd w:id="7"/>
    </w:p>
    <w:p w14:paraId="3E0BEC28" w14:textId="77777777" w:rsidR="00F81C12" w:rsidRDefault="006F78C1">
      <w:pPr>
        <w:pStyle w:val="Zkladntext20"/>
        <w:numPr>
          <w:ilvl w:val="0"/>
          <w:numId w:val="1"/>
        </w:numPr>
        <w:shd w:val="clear" w:color="auto" w:fill="auto"/>
        <w:tabs>
          <w:tab w:val="left" w:pos="443"/>
        </w:tabs>
        <w:jc w:val="both"/>
      </w:pPr>
      <w:r>
        <w:t>Nájemce získává jednorázovým zaplacením níže uvedeného nájemného právo užívat typ Lahve či jiného Distribučního prostředku pronajímatele v počtu a po dobu určené níže v článku 14.</w:t>
      </w:r>
    </w:p>
    <w:p w14:paraId="6A6F8FBA" w14:textId="77777777" w:rsidR="00F81C12" w:rsidRDefault="006F78C1">
      <w:pPr>
        <w:pStyle w:val="Zkladntext20"/>
        <w:numPr>
          <w:ilvl w:val="0"/>
          <w:numId w:val="1"/>
        </w:numPr>
        <w:shd w:val="clear" w:color="auto" w:fill="auto"/>
        <w:tabs>
          <w:tab w:val="left" w:pos="443"/>
        </w:tabs>
        <w:jc w:val="both"/>
      </w:pPr>
      <w:r>
        <w:t xml:space="preserve">Nájemné uhradí zákazník v </w:t>
      </w:r>
      <w:r>
        <w:t>hotovosti, kartou na platebním terminálu v Prodejním místě Lindě nebo bezhotovostním převodem v den splatnosti uvedeném na faktuře, a to předem na celou dobu nájmu.</w:t>
      </w:r>
    </w:p>
    <w:p w14:paraId="54E9B134" w14:textId="77777777" w:rsidR="00F81C12" w:rsidRDefault="006F78C1">
      <w:pPr>
        <w:pStyle w:val="Zkladntext20"/>
        <w:numPr>
          <w:ilvl w:val="0"/>
          <w:numId w:val="1"/>
        </w:numPr>
        <w:shd w:val="clear" w:color="auto" w:fill="auto"/>
        <w:tabs>
          <w:tab w:val="left" w:pos="443"/>
        </w:tabs>
        <w:jc w:val="both"/>
      </w:pPr>
      <w:r>
        <w:t>Pronajaté Distribuční prostředky mohou být použity jen k odběru Plynů od pronajímatele, popřípadě od dodavatele pověřeného pronajímatelem.</w:t>
      </w:r>
    </w:p>
    <w:p w14:paraId="2440018B" w14:textId="77777777" w:rsidR="00F81C12" w:rsidRDefault="006F78C1">
      <w:pPr>
        <w:pStyle w:val="Zkladntext20"/>
        <w:numPr>
          <w:ilvl w:val="0"/>
          <w:numId w:val="1"/>
        </w:numPr>
        <w:shd w:val="clear" w:color="auto" w:fill="auto"/>
        <w:tabs>
          <w:tab w:val="left" w:pos="443"/>
        </w:tabs>
        <w:jc w:val="both"/>
      </w:pPr>
      <w:r>
        <w:t>Náklady na obsluhu při plnění Plynem, údržbu, servis, předepsané tlakové zkoušky Distribučních prostředků nese pronajímatel.</w:t>
      </w:r>
    </w:p>
    <w:p w14:paraId="4687E951" w14:textId="77777777" w:rsidR="00F81C12" w:rsidRDefault="006F78C1">
      <w:pPr>
        <w:pStyle w:val="Zkladntext20"/>
        <w:numPr>
          <w:ilvl w:val="0"/>
          <w:numId w:val="1"/>
        </w:numPr>
        <w:shd w:val="clear" w:color="auto" w:fill="auto"/>
        <w:tabs>
          <w:tab w:val="left" w:pos="443"/>
        </w:tabs>
        <w:jc w:val="both"/>
      </w:pPr>
      <w:r>
        <w:t>Po skončení Smlouvy (nebude-li uzavřena nová smlouva) bude účtováno nájemné a dodatkové nájemné podle právě platných sazeb pronajímatele, dokud Distribuční prostředky nebudou vráceny příslušnému Prodejnímu místu Lindě. Období pro výpočet a vznik nároku a účtování dodatkového nájemného, tj. užívání Lahví bez tzv. obrátky, počíná běžet 3 měsíce před skončením Smlouvy.</w:t>
      </w:r>
    </w:p>
    <w:p w14:paraId="670EAEA0" w14:textId="77777777" w:rsidR="00F81C12" w:rsidRDefault="006F78C1">
      <w:pPr>
        <w:pStyle w:val="Zkladntext20"/>
        <w:numPr>
          <w:ilvl w:val="0"/>
          <w:numId w:val="1"/>
        </w:numPr>
        <w:shd w:val="clear" w:color="auto" w:fill="auto"/>
        <w:tabs>
          <w:tab w:val="left" w:pos="443"/>
        </w:tabs>
        <w:jc w:val="both"/>
      </w:pPr>
      <w:r>
        <w:t>V případě ukončení Smlouvy během doby, za kterou je uhrazeno dlouhodobé nájemné, není pronajímatel povinen uhradit nájemci jakoukoliv částku ze zaplaceného nájemného.</w:t>
      </w:r>
    </w:p>
    <w:p w14:paraId="394E2709" w14:textId="77777777" w:rsidR="00F81C12" w:rsidRDefault="006F78C1">
      <w:pPr>
        <w:pStyle w:val="Zkladntext20"/>
        <w:numPr>
          <w:ilvl w:val="0"/>
          <w:numId w:val="1"/>
        </w:numPr>
        <w:shd w:val="clear" w:color="auto" w:fill="auto"/>
        <w:tabs>
          <w:tab w:val="left" w:pos="443"/>
        </w:tabs>
        <w:jc w:val="both"/>
      </w:pPr>
      <w:r>
        <w:t>Pronajímatel je oprávněn odstoupit od této Smlouvy, pokud nájemce umožní třetí osobě užívat pronajaté Distribuční prostředky bez předchozího písemného souhlasu pronajímatele nebo jej plní jinými Plyny než od pronajímatele, nebo nájemce přes upozornění pronajímatele užívá pronajaté Distribuční prostředky v rozporu s touto Smlouvou, nebo je-li nájemce v prodlení s úhradou nájemného delší než 10 dní.</w:t>
      </w:r>
    </w:p>
    <w:p w14:paraId="063C683A" w14:textId="77777777" w:rsidR="00F81C12" w:rsidRDefault="006F78C1">
      <w:pPr>
        <w:pStyle w:val="Zkladntext20"/>
        <w:numPr>
          <w:ilvl w:val="0"/>
          <w:numId w:val="1"/>
        </w:numPr>
        <w:shd w:val="clear" w:color="auto" w:fill="auto"/>
        <w:tabs>
          <w:tab w:val="left" w:pos="443"/>
        </w:tabs>
        <w:jc w:val="both"/>
      </w:pPr>
      <w:r>
        <w:t>Každá smluvní strana má právo odstoupit od této Smlouvy v případě úpadku druhé smluvní strany, nebo při rušení druhé smluvní strany s likvidaci.</w:t>
      </w:r>
    </w:p>
    <w:p w14:paraId="56773862" w14:textId="77777777" w:rsidR="00F81C12" w:rsidRDefault="006F78C1">
      <w:pPr>
        <w:pStyle w:val="Zkladntext20"/>
        <w:numPr>
          <w:ilvl w:val="0"/>
          <w:numId w:val="1"/>
        </w:numPr>
        <w:shd w:val="clear" w:color="auto" w:fill="auto"/>
        <w:tabs>
          <w:tab w:val="left" w:pos="443"/>
        </w:tabs>
        <w:jc w:val="both"/>
      </w:pPr>
      <w:r>
        <w:t>Nájemce se zavazuje, že bude utajovat, nevyužije pro sebe, nesdělí či nezpřístupní (např. předložením části Smlouvy, faktury, předávacího protokolu aj.) třetí osobě výši nájemného, specifikaci předmětu nájmu a veškeré ostatní konkurenčně určitelné, ocenitelné a běžně nedostupné skutečnosti týkající se pronajímatele („Důvěrné informace“), které získána základě plnění této Smlouvy. V případě porušení tohoto závazku mlčenlivosti má pronajímateli právo okamžitě odstoupit od Smlouvy. Závazek mlčenlivosti se náje</w:t>
      </w:r>
      <w:r>
        <w:t>mce zavazuje zachovávat i po dobu 12 měsíců od skončení Smlouvy.</w:t>
      </w:r>
    </w:p>
    <w:p w14:paraId="36BAF419" w14:textId="77777777" w:rsidR="00F81C12" w:rsidRDefault="006F78C1">
      <w:pPr>
        <w:pStyle w:val="Zkladntext20"/>
        <w:numPr>
          <w:ilvl w:val="0"/>
          <w:numId w:val="1"/>
        </w:numPr>
        <w:shd w:val="clear" w:color="auto" w:fill="auto"/>
        <w:tabs>
          <w:tab w:val="left" w:pos="443"/>
        </w:tabs>
        <w:jc w:val="both"/>
      </w:pPr>
      <w:r>
        <w:t>Součástí této Smlouvy jsou níže uvedené Všeobecné obchodní podmínky Lindě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14:paraId="635EDB6B" w14:textId="77777777" w:rsidR="006F78C1" w:rsidRPr="006F78C1" w:rsidRDefault="006F78C1">
      <w:pPr>
        <w:pStyle w:val="Zkladntext1"/>
        <w:numPr>
          <w:ilvl w:val="0"/>
          <w:numId w:val="1"/>
        </w:numPr>
        <w:shd w:val="clear" w:color="auto" w:fill="auto"/>
        <w:tabs>
          <w:tab w:val="left" w:pos="443"/>
        </w:tabs>
        <w:spacing w:after="100"/>
        <w:jc w:val="both"/>
      </w:pPr>
      <w:r>
        <w:rPr>
          <w:sz w:val="18"/>
          <w:szCs w:val="18"/>
        </w:rPr>
        <w:t>Tato Smlouva se řídí českým právem; spory z této Smlouvy bude rozhodovat věcně příslušný soud místně příslušný dle</w:t>
      </w:r>
    </w:p>
    <w:p w14:paraId="308922B9" w14:textId="77777777" w:rsidR="006F78C1" w:rsidRPr="006F78C1" w:rsidRDefault="006F78C1" w:rsidP="006F78C1">
      <w:pPr>
        <w:pStyle w:val="Zkladntext1"/>
        <w:shd w:val="clear" w:color="auto" w:fill="auto"/>
        <w:tabs>
          <w:tab w:val="left" w:pos="443"/>
        </w:tabs>
        <w:spacing w:after="100"/>
        <w:jc w:val="both"/>
      </w:pPr>
    </w:p>
    <w:p w14:paraId="3D333D85" w14:textId="491472E9" w:rsidR="00F81C12" w:rsidRDefault="006F78C1" w:rsidP="006F78C1">
      <w:pPr>
        <w:pStyle w:val="Zkladntext1"/>
        <w:shd w:val="clear" w:color="auto" w:fill="auto"/>
        <w:tabs>
          <w:tab w:val="left" w:pos="443"/>
        </w:tabs>
        <w:spacing w:after="100"/>
        <w:jc w:val="both"/>
      </w:pPr>
      <w:r>
        <w:rPr>
          <w:sz w:val="18"/>
          <w:szCs w:val="18"/>
        </w:rPr>
        <w:t xml:space="preserve"> </w:t>
      </w:r>
      <w:r>
        <w:t xml:space="preserve">Zákazník svým podpisern projevuje souhlas s tím, že na jakýkoliv smluvní vztah mezi ním a společností Lindě Gas a.s. se aplikují "Všeobecné obchodní podmínky Lindě pro prodej Plynů a nájem distribučních prostředků", zveřejněné na Prodejních místech Lindě a na webových stránkách </w:t>
      </w:r>
      <w:hyperlink r:id="rId12" w:history="1">
        <w:r>
          <w:rPr>
            <w:lang w:val="en-US" w:eastAsia="en-US" w:bidi="en-US"/>
          </w:rPr>
          <w:t>https://www.linde-gas.cz/cs/footer/legalnotice</w:t>
        </w:r>
      </w:hyperlink>
      <w:r>
        <w:rPr>
          <w:lang w:val="en-US" w:eastAsia="en-US" w:bidi="en-US"/>
        </w:rPr>
        <w:t xml:space="preserve">, </w:t>
      </w:r>
      <w:r>
        <w:t>přičemž zároveň prohlašuje, že se s jejich zněním obeznámil.</w:t>
      </w:r>
    </w:p>
    <w:p w14:paraId="71CBFA5E" w14:textId="77777777" w:rsidR="00F81C12" w:rsidRDefault="006F78C1">
      <w:pPr>
        <w:pStyle w:val="Zkladntext1"/>
        <w:shd w:val="clear" w:color="auto" w:fill="auto"/>
        <w:tabs>
          <w:tab w:val="left" w:pos="1548"/>
          <w:tab w:val="left" w:pos="4956"/>
          <w:tab w:val="left" w:pos="7202"/>
          <w:tab w:val="left" w:pos="8933"/>
        </w:tabs>
        <w:jc w:val="both"/>
      </w:pPr>
      <w:r>
        <w:t>Lindě Gas a.s.</w:t>
      </w:r>
      <w:r>
        <w:tab/>
        <w:t>IČ:_00011754 Bankovní spojení pro platby v CZK:</w:t>
      </w:r>
      <w:r>
        <w:tab/>
        <w:t>Bankovní spojení pro platby v EUR:</w:t>
      </w:r>
      <w:r>
        <w:tab/>
        <w:t>Zákaznické centrum</w:t>
      </w:r>
      <w:r>
        <w:tab/>
      </w:r>
      <w:hyperlink r:id="rId13" w:history="1">
        <w:r>
          <w:rPr>
            <w:lang w:val="en-US" w:eastAsia="en-US" w:bidi="en-US"/>
          </w:rPr>
          <w:t>www.linde-gas.cz</w:t>
        </w:r>
      </w:hyperlink>
    </w:p>
    <w:p w14:paraId="3950ED4C" w14:textId="77777777" w:rsidR="00F81C12" w:rsidRDefault="006F78C1">
      <w:pPr>
        <w:pStyle w:val="Zkladntext1"/>
        <w:shd w:val="clear" w:color="auto" w:fill="auto"/>
        <w:tabs>
          <w:tab w:val="left" w:pos="1548"/>
          <w:tab w:val="left" w:pos="7202"/>
          <w:tab w:val="left" w:pos="9278"/>
        </w:tabs>
        <w:spacing w:line="199" w:lineRule="auto"/>
        <w:jc w:val="both"/>
      </w:pPr>
      <w:r>
        <w:t>UTechnoplynu 1324</w:t>
      </w:r>
      <w:r>
        <w:tab/>
        <w:t>DIC: CZ00011754</w:t>
      </w:r>
      <w:r>
        <w:tab/>
        <w:t>Telefon:</w:t>
      </w:r>
      <w:r>
        <w:tab/>
        <w:t>(®linde com</w:t>
      </w:r>
    </w:p>
    <w:p w14:paraId="70AC4DE7" w14:textId="77777777" w:rsidR="00F81C12" w:rsidRDefault="006F78C1">
      <w:pPr>
        <w:pStyle w:val="Zkladntext1"/>
        <w:shd w:val="clear" w:color="auto" w:fill="auto"/>
        <w:tabs>
          <w:tab w:val="left" w:pos="4956"/>
          <w:tab w:val="center" w:pos="7344"/>
        </w:tabs>
        <w:spacing w:line="199" w:lineRule="auto"/>
        <w:jc w:val="both"/>
      </w:pPr>
      <w:r>
        <w:t>198 00 Praha 9</w:t>
      </w:r>
      <w:r>
        <w:tab/>
        <w:t>C.účtu:</w:t>
      </w:r>
      <w:r>
        <w:tab/>
        <w:t>Fax:</w:t>
      </w:r>
    </w:p>
    <w:p w14:paraId="1D359A32" w14:textId="77777777" w:rsidR="00F81C12" w:rsidRDefault="006F78C1">
      <w:pPr>
        <w:pStyle w:val="Zkladntext1"/>
        <w:shd w:val="clear" w:color="auto" w:fill="auto"/>
        <w:tabs>
          <w:tab w:val="left" w:pos="4956"/>
        </w:tabs>
        <w:spacing w:line="216" w:lineRule="auto"/>
        <w:ind w:left="2760"/>
        <w:jc w:val="both"/>
      </w:pPr>
      <w:r>
        <w:t>C.účtu:</w:t>
      </w:r>
      <w:r>
        <w:tab/>
        <w:t>BLZ:</w:t>
      </w:r>
    </w:p>
    <w:p w14:paraId="2C692CA2" w14:textId="77777777" w:rsidR="00F81C12" w:rsidRDefault="006F78C1">
      <w:pPr>
        <w:pStyle w:val="Zkladntext1"/>
        <w:shd w:val="clear" w:color="auto" w:fill="auto"/>
        <w:tabs>
          <w:tab w:val="left" w:pos="4956"/>
        </w:tabs>
        <w:spacing w:line="209" w:lineRule="auto"/>
        <w:ind w:left="2760"/>
        <w:jc w:val="both"/>
      </w:pPr>
      <w:r>
        <w:t>IBAN: CZ.</w:t>
      </w:r>
      <w:r>
        <w:tab/>
        <w:t>IBAN: DE</w:t>
      </w:r>
    </w:p>
    <w:p w14:paraId="59E20CBB" w14:textId="77777777" w:rsidR="00F81C12" w:rsidRDefault="006F78C1">
      <w:pPr>
        <w:pStyle w:val="Zkladntext1"/>
        <w:shd w:val="clear" w:color="auto" w:fill="auto"/>
        <w:tabs>
          <w:tab w:val="left" w:pos="4956"/>
        </w:tabs>
        <w:spacing w:line="209" w:lineRule="auto"/>
        <w:ind w:left="2760"/>
        <w:jc w:val="both"/>
      </w:pPr>
      <w:r>
        <w:t>BIO:</w:t>
      </w:r>
      <w:r>
        <w:tab/>
        <w:t>BIC/SWIFT:l</w:t>
      </w:r>
    </w:p>
    <w:p w14:paraId="500F3F85" w14:textId="77777777" w:rsidR="00F81C12" w:rsidRDefault="006F78C1">
      <w:pPr>
        <w:pStyle w:val="Zkladntext1"/>
        <w:shd w:val="clear" w:color="auto" w:fill="auto"/>
        <w:spacing w:line="209" w:lineRule="auto"/>
        <w:jc w:val="both"/>
      </w:pPr>
      <w:r>
        <w:t xml:space="preserve">Spol. je zapsaná u Městského soudu v Praze v Obchodním rejstříku oddíl B. </w:t>
      </w:r>
      <w:r>
        <w:t>vložka 411. Spol. je certifikovaná dle ISO 9001. ISO 14001 a je držitelem osvědčení Responsible Care.</w:t>
      </w:r>
      <w:r>
        <w:br w:type="page"/>
      </w:r>
    </w:p>
    <w:p w14:paraId="7404A622" w14:textId="77777777" w:rsidR="00F81C12" w:rsidRDefault="006F78C1">
      <w:pPr>
        <w:spacing w:line="1" w:lineRule="exact"/>
      </w:pPr>
      <w:r>
        <w:rPr>
          <w:noProof/>
        </w:rPr>
        <w:lastRenderedPageBreak/>
        <mc:AlternateContent>
          <mc:Choice Requires="wps">
            <w:drawing>
              <wp:anchor distT="6350" distB="203200" distL="0" distR="0" simplePos="0" relativeHeight="125829381" behindDoc="0" locked="0" layoutInCell="1" allowOverlap="1" wp14:anchorId="08ED9DC7" wp14:editId="1ECA9391">
                <wp:simplePos x="0" y="0"/>
                <wp:positionH relativeFrom="page">
                  <wp:posOffset>3747770</wp:posOffset>
                </wp:positionH>
                <wp:positionV relativeFrom="paragraph">
                  <wp:posOffset>6350</wp:posOffset>
                </wp:positionV>
                <wp:extent cx="646430" cy="16129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646430" cy="161290"/>
                        </a:xfrm>
                        <a:prstGeom prst="rect">
                          <a:avLst/>
                        </a:prstGeom>
                        <a:noFill/>
                      </wps:spPr>
                      <wps:txbx>
                        <w:txbxContent>
                          <w:p w14:paraId="2EE9FB24" w14:textId="77777777" w:rsidR="00F81C12" w:rsidRDefault="006F78C1">
                            <w:pPr>
                              <w:pStyle w:val="Nadpis50"/>
                              <w:keepNext/>
                              <w:keepLines/>
                              <w:shd w:val="clear" w:color="auto" w:fill="auto"/>
                              <w:spacing w:after="0" w:line="240" w:lineRule="auto"/>
                              <w:ind w:left="0" w:firstLine="0"/>
                            </w:pPr>
                            <w:bookmarkStart w:id="8" w:name="bookmark4"/>
                            <w:bookmarkStart w:id="9" w:name="bookmark5"/>
                            <w:r>
                              <w:t>363758271</w:t>
                            </w:r>
                            <w:bookmarkEnd w:id="8"/>
                            <w:bookmarkEnd w:id="9"/>
                          </w:p>
                        </w:txbxContent>
                      </wps:txbx>
                      <wps:bodyPr wrap="none" lIns="0" tIns="0" rIns="0" bIns="0"/>
                    </wps:wsp>
                  </a:graphicData>
                </a:graphic>
              </wp:anchor>
            </w:drawing>
          </mc:Choice>
          <mc:Fallback>
            <w:pict>
              <v:shape w14:anchorId="08ED9DC7" id="Shape 14" o:spid="_x0000_s1028" type="#_x0000_t202" style="position:absolute;margin-left:295.1pt;margin-top:.5pt;width:50.9pt;height:12.7pt;z-index:125829381;visibility:visible;mso-wrap-style:none;mso-wrap-distance-left:0;mso-wrap-distance-top:.5pt;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" filled="f" stroked="f">
                <v:textbox inset="0,0,0,0">
                  <w:txbxContent>
                    <w:p w14:paraId="2EE9FB24" w14:textId="77777777" w:rsidR="00F81C12" w:rsidRDefault="006F78C1">
                      <w:pPr>
                        <w:pStyle w:val="Nadpis50"/>
                        <w:keepNext/>
                        <w:keepLines/>
                        <w:shd w:val="clear" w:color="auto" w:fill="auto"/>
                        <w:spacing w:after="0" w:line="240" w:lineRule="auto"/>
                        <w:ind w:left="0" w:firstLine="0"/>
                      </w:pPr>
                      <w:bookmarkStart w:id="10" w:name="bookmark4"/>
                      <w:bookmarkStart w:id="11" w:name="bookmark5"/>
                      <w:r>
                        <w:t>363758271</w:t>
                      </w:r>
                      <w:bookmarkEnd w:id="10"/>
                      <w:bookmarkEnd w:id="11"/>
                    </w:p>
                  </w:txbxContent>
                </v:textbox>
                <w10:wrap type="topAndBottom" anchorx="page"/>
              </v:shape>
            </w:pict>
          </mc:Fallback>
        </mc:AlternateContent>
      </w:r>
      <w:r>
        <w:rPr>
          <w:noProof/>
        </w:rPr>
        <mc:AlternateContent>
          <mc:Choice Requires="wps">
            <w:drawing>
              <wp:anchor distT="0" distB="209550" distL="0" distR="0" simplePos="0" relativeHeight="125829383" behindDoc="0" locked="0" layoutInCell="1" allowOverlap="1" wp14:anchorId="5C8BE4F6" wp14:editId="7DDB8F8C">
                <wp:simplePos x="0" y="0"/>
                <wp:positionH relativeFrom="page">
                  <wp:posOffset>5006340</wp:posOffset>
                </wp:positionH>
                <wp:positionV relativeFrom="paragraph">
                  <wp:posOffset>0</wp:posOffset>
                </wp:positionV>
                <wp:extent cx="1359535" cy="1612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359535" cy="161290"/>
                        </a:xfrm>
                        <a:prstGeom prst="rect">
                          <a:avLst/>
                        </a:prstGeom>
                        <a:noFill/>
                      </wps:spPr>
                      <wps:txbx>
                        <w:txbxContent>
                          <w:p w14:paraId="7D071930" w14:textId="77777777" w:rsidR="00F81C12" w:rsidRDefault="006F78C1">
                            <w:pPr>
                              <w:pStyle w:val="Nadpis50"/>
                              <w:keepNext/>
                              <w:keepLines/>
                              <w:shd w:val="clear" w:color="auto" w:fill="auto"/>
                              <w:tabs>
                                <w:tab w:val="left" w:pos="1694"/>
                              </w:tabs>
                              <w:spacing w:after="0" w:line="240" w:lineRule="auto"/>
                              <w:ind w:left="0" w:firstLine="0"/>
                            </w:pPr>
                            <w:bookmarkStart w:id="12" w:name="bookmark6"/>
                            <w:bookmarkStart w:id="13" w:name="bookmark7"/>
                            <w:r>
                              <w:t>26.01.2024</w:t>
                            </w:r>
                            <w:r>
                              <w:tab/>
                              <w:t>2/2</w:t>
                            </w:r>
                            <w:bookmarkEnd w:id="12"/>
                            <w:bookmarkEnd w:id="13"/>
                          </w:p>
                        </w:txbxContent>
                      </wps:txbx>
                      <wps:bodyPr wrap="none" lIns="0" tIns="0" rIns="0" bIns="0"/>
                    </wps:wsp>
                  </a:graphicData>
                </a:graphic>
              </wp:anchor>
            </w:drawing>
          </mc:Choice>
          <mc:Fallback>
            <w:pict>
              <v:shape w14:anchorId="5C8BE4F6" id="Shape 16" o:spid="_x0000_s1029" type="#_x0000_t202" style="position:absolute;margin-left:394.2pt;margin-top:0;width:107.05pt;height:12.7pt;z-index:125829383;visibility:visible;mso-wrap-style:none;mso-wrap-distance-left:0;mso-wrap-distance-top:0;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" filled="f" stroked="f">
                <v:textbox inset="0,0,0,0">
                  <w:txbxContent>
                    <w:p w14:paraId="7D071930" w14:textId="77777777" w:rsidR="00F81C12" w:rsidRDefault="006F78C1">
                      <w:pPr>
                        <w:pStyle w:val="Nadpis50"/>
                        <w:keepNext/>
                        <w:keepLines/>
                        <w:shd w:val="clear" w:color="auto" w:fill="auto"/>
                        <w:tabs>
                          <w:tab w:val="left" w:pos="1694"/>
                        </w:tabs>
                        <w:spacing w:after="0" w:line="240" w:lineRule="auto"/>
                        <w:ind w:left="0" w:firstLine="0"/>
                      </w:pPr>
                      <w:bookmarkStart w:id="14" w:name="bookmark6"/>
                      <w:bookmarkStart w:id="15" w:name="bookmark7"/>
                      <w:r>
                        <w:t>26.01.2024</w:t>
                      </w:r>
                      <w:r>
                        <w:tab/>
                        <w:t>2/2</w:t>
                      </w:r>
                      <w:bookmarkEnd w:id="14"/>
                      <w:bookmarkEnd w:id="15"/>
                    </w:p>
                  </w:txbxContent>
                </v:textbox>
                <w10:wrap type="topAndBottom" anchorx="page"/>
              </v:shape>
            </w:pict>
          </mc:Fallback>
        </mc:AlternateContent>
      </w:r>
    </w:p>
    <w:p w14:paraId="716657DE" w14:textId="77777777" w:rsidR="00F81C12" w:rsidRDefault="006F78C1">
      <w:pPr>
        <w:pStyle w:val="Zkladntext20"/>
        <w:shd w:val="clear" w:color="auto" w:fill="auto"/>
        <w:ind w:left="640" w:firstLine="20"/>
      </w:pPr>
      <w:r>
        <w:t xml:space="preserve">sídla pronajímatele. Tato Smlouva je nezávislá na jiných smlouvách uzavřených mezi smluvními stranami, strany </w:t>
      </w:r>
      <w:r>
        <w:t>vylučují aplikaci § 1727 Občanského zákoníku.</w:t>
      </w:r>
    </w:p>
    <w:p w14:paraId="7E45C0AD" w14:textId="77777777" w:rsidR="00F81C12" w:rsidRDefault="006F78C1">
      <w:pPr>
        <w:pStyle w:val="Zkladntext20"/>
        <w:numPr>
          <w:ilvl w:val="0"/>
          <w:numId w:val="1"/>
        </w:numPr>
        <w:shd w:val="clear" w:color="auto" w:fill="auto"/>
        <w:tabs>
          <w:tab w:val="left" w:pos="620"/>
        </w:tabs>
        <w:ind w:left="640"/>
      </w:pPr>
      <w:r>
        <w:t xml:space="preserve">Smluvní strany se dohodly, že má-li být tato Smlouva nebo dohoda jí měnící či doplňující v souladu se zákonem č. 340/2015 Sb., o registru smluv („ZRS"), uveřejněna prostřednictvím registru smluv, pak její </w:t>
      </w:r>
      <w:r>
        <w:t>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představují výjimku z povinnosti uveřejnění podle §3 odst. 1,2 ZRS, a to jmenovitě výše nájemného a osobní údaje, vč. podpisových vzorů zástupců smluvních stran.</w:t>
      </w:r>
    </w:p>
    <w:p w14:paraId="54FDB5BE" w14:textId="77777777" w:rsidR="00F81C12" w:rsidRDefault="006F78C1">
      <w:pPr>
        <w:pStyle w:val="Zkladntext20"/>
        <w:numPr>
          <w:ilvl w:val="0"/>
          <w:numId w:val="1"/>
        </w:numPr>
        <w:shd w:val="clear" w:color="auto" w:fill="auto"/>
        <w:tabs>
          <w:tab w:val="left" w:pos="620"/>
        </w:tabs>
        <w:ind w:left="640"/>
      </w:pPr>
      <w: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§1799 a § 1800 Občanského zákoníku o smlouvách uzavíraných adhezním způsobem.</w:t>
      </w:r>
    </w:p>
    <w:p w14:paraId="24320E78" w14:textId="77777777" w:rsidR="00F81C12" w:rsidRDefault="006F78C1">
      <w:pPr>
        <w:pStyle w:val="Zkladntext20"/>
        <w:numPr>
          <w:ilvl w:val="0"/>
          <w:numId w:val="1"/>
        </w:numPr>
        <w:pBdr>
          <w:bottom w:val="single" w:sz="4" w:space="0" w:color="auto"/>
        </w:pBdr>
        <w:shd w:val="clear" w:color="auto" w:fill="auto"/>
        <w:tabs>
          <w:tab w:val="left" w:pos="620"/>
        </w:tabs>
        <w:spacing w:after="220"/>
        <w:ind w:left="0" w:firstLine="160"/>
      </w:pPr>
      <w:r>
        <w:t>Specifikace typu pronajímaných Distribučních prostředků, délka pronájmu a výška nájemného:</w:t>
      </w:r>
    </w:p>
    <w:p w14:paraId="2F61E045" w14:textId="77777777" w:rsidR="00F81C12" w:rsidRDefault="006F78C1">
      <w:pPr>
        <w:pStyle w:val="Nadpis40"/>
        <w:keepNext/>
        <w:keepLines/>
        <w:shd w:val="clear" w:color="auto" w:fill="auto"/>
        <w:tabs>
          <w:tab w:val="left" w:pos="1211"/>
          <w:tab w:val="left" w:pos="4895"/>
          <w:tab w:val="left" w:pos="5811"/>
          <w:tab w:val="left" w:pos="8850"/>
        </w:tabs>
        <w:spacing w:after="0" w:line="266" w:lineRule="auto"/>
        <w:ind w:firstLine="160"/>
      </w:pPr>
      <w:bookmarkStart w:id="16" w:name="bookmark12"/>
      <w:bookmarkStart w:id="17" w:name="bookmark13"/>
      <w:r>
        <w:t>Číslo</w:t>
      </w:r>
      <w:r>
        <w:tab/>
        <w:t>Název produktu/</w:t>
      </w:r>
      <w:r>
        <w:tab/>
        <w:t>Počet</w:t>
      </w:r>
      <w:r>
        <w:tab/>
        <w:t>Počátek Konec</w:t>
      </w:r>
      <w:r>
        <w:tab/>
        <w:t>Nájemné/kus</w:t>
      </w:r>
      <w:bookmarkEnd w:id="16"/>
      <w:bookmarkEnd w:id="17"/>
    </w:p>
    <w:p w14:paraId="58E58644" w14:textId="77777777" w:rsidR="00F81C12" w:rsidRDefault="006F78C1">
      <w:pPr>
        <w:pStyle w:val="Nadpis40"/>
        <w:keepNext/>
        <w:keepLines/>
        <w:shd w:val="clear" w:color="auto" w:fill="auto"/>
        <w:tabs>
          <w:tab w:val="left" w:pos="1211"/>
          <w:tab w:val="left" w:pos="4504"/>
          <w:tab w:val="left" w:pos="5824"/>
          <w:tab w:val="left" w:pos="6952"/>
        </w:tabs>
        <w:spacing w:after="0" w:line="266" w:lineRule="auto"/>
        <w:ind w:firstLine="160"/>
      </w:pPr>
      <w:bookmarkStart w:id="18" w:name="bookmark14"/>
      <w:bookmarkStart w:id="19" w:name="bookmark15"/>
      <w:r>
        <w:t>produktu</w:t>
      </w:r>
      <w:r>
        <w:tab/>
        <w:t>SKP/Taric No.</w:t>
      </w:r>
      <w:r>
        <w:tab/>
        <w:t>pronajatých</w:t>
      </w:r>
      <w:r>
        <w:tab/>
        <w:t>smlouvy</w:t>
      </w:r>
      <w:r>
        <w:tab/>
        <w:t>smlouvy</w:t>
      </w:r>
      <w:bookmarkEnd w:id="18"/>
      <w:bookmarkEnd w:id="19"/>
    </w:p>
    <w:p w14:paraId="785CB850" w14:textId="1805D107" w:rsidR="00F81C12" w:rsidRDefault="006F78C1">
      <w:pPr>
        <w:pStyle w:val="Nadpis50"/>
        <w:keepNext/>
        <w:keepLines/>
        <w:pBdr>
          <w:top w:val="single" w:sz="4" w:space="0" w:color="auto"/>
        </w:pBdr>
        <w:shd w:val="clear" w:color="auto" w:fill="auto"/>
        <w:tabs>
          <w:tab w:val="left" w:pos="5109"/>
          <w:tab w:val="left" w:leader="underscore" w:pos="5812"/>
          <w:tab w:val="left" w:pos="5812"/>
          <w:tab w:val="left" w:pos="8850"/>
          <w:tab w:val="left" w:leader="underscore" w:pos="10173"/>
        </w:tabs>
        <w:spacing w:after="1600" w:line="312" w:lineRule="auto"/>
        <w:ind w:left="160"/>
      </w:pPr>
      <w:bookmarkStart w:id="20" w:name="bookmark16"/>
      <w:bookmarkStart w:id="21" w:name="bookmark17"/>
      <w:r>
        <w:rPr>
          <w:b/>
          <w:bCs/>
        </w:rPr>
        <w:tab/>
      </w:r>
      <w:r>
        <w:rPr>
          <w:b/>
          <w:bCs/>
          <w:u w:val="single"/>
        </w:rPr>
        <w:t>kusů</w:t>
      </w:r>
      <w:r>
        <w:rPr>
          <w:b/>
          <w:bCs/>
        </w:rPr>
        <w:tab/>
        <w:t xml:space="preserve"> </w:t>
      </w:r>
      <w:r>
        <w:t>7450000 NÁJEM LAHVE TG-1 ROK</w:t>
      </w:r>
      <w:r>
        <w:tab/>
        <w:t>1</w:t>
      </w:r>
      <w:r>
        <w:tab/>
        <w:t>01.01.2024 31.12.2024</w:t>
      </w:r>
      <w:r>
        <w:tab/>
      </w:r>
      <w:r>
        <w:t>,00 CZK</w:t>
      </w:r>
      <w:bookmarkEnd w:id="20"/>
      <w:bookmarkEnd w:id="21"/>
    </w:p>
    <w:p w14:paraId="1817DE8F" w14:textId="77777777" w:rsidR="00F81C12" w:rsidRDefault="006F78C1">
      <w:pPr>
        <w:pStyle w:val="Nadpis50"/>
        <w:keepNext/>
        <w:keepLines/>
        <w:shd w:val="clear" w:color="auto" w:fill="auto"/>
        <w:spacing w:after="880" w:line="240" w:lineRule="auto"/>
        <w:ind w:left="0" w:firstLine="160"/>
      </w:pPr>
      <w:bookmarkStart w:id="22" w:name="bookmark18"/>
      <w:bookmarkStart w:id="23" w:name="bookmark19"/>
      <w:r>
        <w:t>Datum 26.01.2024</w:t>
      </w:r>
      <w:bookmarkEnd w:id="22"/>
      <w:bookmarkEnd w:id="23"/>
    </w:p>
    <w:p w14:paraId="66C1D369" w14:textId="0EE31101" w:rsidR="00F81C12" w:rsidRDefault="006F78C1">
      <w:pPr>
        <w:pStyle w:val="Zkladntext30"/>
        <w:pBdr>
          <w:top w:val="single" w:sz="4" w:space="0" w:color="auto"/>
        </w:pBdr>
        <w:shd w:val="clear" w:color="auto" w:fill="auto"/>
        <w:ind w:left="2120"/>
      </w:pPr>
      <w:r>
        <w:rPr>
          <w:noProof/>
        </w:rPr>
        <mc:AlternateContent>
          <mc:Choice Requires="wps">
            <w:drawing>
              <wp:anchor distT="0" distB="0" distL="114300" distR="114300" simplePos="0" relativeHeight="125829385" behindDoc="0" locked="0" layoutInCell="1" allowOverlap="1" wp14:anchorId="6B1EFA6C" wp14:editId="1E79F826">
                <wp:simplePos x="0" y="0"/>
                <wp:positionH relativeFrom="page">
                  <wp:posOffset>4848225</wp:posOffset>
                </wp:positionH>
                <wp:positionV relativeFrom="paragraph">
                  <wp:posOffset>12700</wp:posOffset>
                </wp:positionV>
                <wp:extent cx="704215" cy="259080"/>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704215" cy="259080"/>
                        </a:xfrm>
                        <a:prstGeom prst="rect">
                          <a:avLst/>
                        </a:prstGeom>
                        <a:noFill/>
                      </wps:spPr>
                      <wps:txbx>
                        <w:txbxContent>
                          <w:p w14:paraId="0107E50C" w14:textId="77777777" w:rsidR="00F81C12" w:rsidRDefault="006F78C1">
                            <w:pPr>
                              <w:pStyle w:val="Zkladntext30"/>
                              <w:shd w:val="clear" w:color="auto" w:fill="auto"/>
                              <w:jc w:val="center"/>
                            </w:pPr>
                            <w:r>
                              <w:t>za zákazníků</w:t>
                            </w:r>
                          </w:p>
                          <w:p w14:paraId="26EAC13F" w14:textId="77777777" w:rsidR="00F81C12" w:rsidRDefault="006F78C1">
                            <w:pPr>
                              <w:pStyle w:val="Zkladntext30"/>
                              <w:shd w:val="clear" w:color="auto" w:fill="auto"/>
                            </w:pPr>
                            <w:r>
                              <w:t>(jméno/podpip)</w:t>
                            </w:r>
                          </w:p>
                        </w:txbxContent>
                      </wps:txbx>
                      <wps:bodyPr lIns="0" tIns="0" rIns="0" bIns="0"/>
                    </wps:wsp>
                  </a:graphicData>
                </a:graphic>
              </wp:anchor>
            </w:drawing>
          </mc:Choice>
          <mc:Fallback>
            <w:pict>
              <v:shape w14:anchorId="6B1EFA6C" id="Shape 18" o:spid="_x0000_s1030" type="#_x0000_t202" style="position:absolute;left:0;text-align:left;margin-left:381.75pt;margin-top:1pt;width:55.45pt;height:20.4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" filled="f" stroked="f">
                <v:textbox inset="0,0,0,0">
                  <w:txbxContent>
                    <w:p w14:paraId="0107E50C" w14:textId="77777777" w:rsidR="00F81C12" w:rsidRDefault="006F78C1">
                      <w:pPr>
                        <w:pStyle w:val="Zkladntext30"/>
                        <w:shd w:val="clear" w:color="auto" w:fill="auto"/>
                        <w:jc w:val="center"/>
                      </w:pPr>
                      <w:r>
                        <w:t>za zákazníků</w:t>
                      </w:r>
                    </w:p>
                    <w:p w14:paraId="26EAC13F" w14:textId="77777777" w:rsidR="00F81C12" w:rsidRDefault="006F78C1">
                      <w:pPr>
                        <w:pStyle w:val="Zkladntext30"/>
                        <w:shd w:val="clear" w:color="auto" w:fill="auto"/>
                      </w:pPr>
                      <w:r>
                        <w:t>(jméno/podpip)</w:t>
                      </w:r>
                    </w:p>
                  </w:txbxContent>
                </v:textbox>
                <w10:wrap type="square" side="left" anchorx="page"/>
              </v:shape>
            </w:pict>
          </mc:Fallback>
        </mc:AlternateContent>
      </w:r>
      <w:r>
        <w:t>za L</w:t>
      </w:r>
      <w:r>
        <w:t>inde G</w:t>
      </w:r>
      <w:r>
        <w:t>as a.s.</w:t>
      </w:r>
    </w:p>
    <w:p w14:paraId="34D85D94" w14:textId="77777777" w:rsidR="00F81C12" w:rsidRDefault="006F78C1">
      <w:pPr>
        <w:pStyle w:val="Zkladntext30"/>
        <w:shd w:val="clear" w:color="auto" w:fill="auto"/>
        <w:ind w:left="2220"/>
        <w:sectPr w:rsidR="00F81C12">
          <w:type w:val="continuous"/>
          <w:pgSz w:w="11900" w:h="16840"/>
          <w:pgMar w:top="692" w:right="560" w:bottom="150" w:left="617" w:header="0" w:footer="3" w:gutter="0"/>
          <w:cols w:space="720"/>
          <w:noEndnote/>
          <w:docGrid w:linePitch="360"/>
        </w:sectPr>
      </w:pPr>
      <w:r>
        <w:t>(iméno/pbdpis)</w:t>
      </w:r>
    </w:p>
    <w:p w14:paraId="6B8AC8F6" w14:textId="77777777" w:rsidR="00F81C12" w:rsidRDefault="006F78C1">
      <w:pPr>
        <w:pStyle w:val="Zkladntext1"/>
        <w:shd w:val="clear" w:color="auto" w:fill="auto"/>
        <w:tabs>
          <w:tab w:val="left" w:pos="7858"/>
        </w:tabs>
        <w:spacing w:before="80"/>
        <w:jc w:val="both"/>
      </w:pPr>
      <w:r>
        <w:rPr>
          <w:b/>
          <w:bCs/>
        </w:rPr>
        <w:lastRenderedPageBreak/>
        <w:t>VŠEOBECNÉ OBCHODNÍ PODMÍNKY LINDĚ PRO PRODEJ PLYNŮ A NÁJEM DISTRIBUČNÍCH PROSTŘEDKŮ</w:t>
      </w:r>
      <w:r>
        <w:rPr>
          <w:b/>
          <w:bCs/>
        </w:rPr>
        <w:tab/>
      </w:r>
      <w:r>
        <w:t>H1O|.n;&gt;</w:t>
      </w:r>
    </w:p>
    <w:p w14:paraId="464C692C" w14:textId="77777777" w:rsidR="00F81C12" w:rsidRDefault="006F78C1">
      <w:pPr>
        <w:pStyle w:val="Zkladntext1"/>
        <w:shd w:val="clear" w:color="auto" w:fill="auto"/>
        <w:ind w:left="2800"/>
        <w:jc w:val="both"/>
      </w:pPr>
      <w:r>
        <w:t>(dále jen „Podmínky“)</w:t>
      </w:r>
    </w:p>
    <w:p w14:paraId="7C6B94B9" w14:textId="77777777" w:rsidR="00F81C12" w:rsidRDefault="006F78C1">
      <w:pPr>
        <w:pStyle w:val="Nadpis60"/>
        <w:keepNext/>
        <w:keepLines/>
        <w:numPr>
          <w:ilvl w:val="0"/>
          <w:numId w:val="2"/>
        </w:numPr>
        <w:shd w:val="clear" w:color="auto" w:fill="auto"/>
        <w:tabs>
          <w:tab w:val="left" w:pos="226"/>
        </w:tabs>
        <w:jc w:val="both"/>
      </w:pPr>
      <w:bookmarkStart w:id="24" w:name="bookmark20"/>
      <w:bookmarkStart w:id="25" w:name="bookmark21"/>
      <w:r>
        <w:t>ZÁKLADNÍ USTANOVENÍ</w:t>
      </w:r>
      <w:bookmarkEnd w:id="24"/>
      <w:bookmarkEnd w:id="25"/>
    </w:p>
    <w:p w14:paraId="463571F2" w14:textId="77777777" w:rsidR="00F81C12" w:rsidRDefault="006F78C1">
      <w:pPr>
        <w:pStyle w:val="Zkladntext1"/>
        <w:shd w:val="clear" w:color="auto" w:fill="auto"/>
        <w:jc w:val="both"/>
      </w:pPr>
      <w:r>
        <w:t xml:space="preserve">Tylo </w:t>
      </w:r>
      <w:r>
        <w:t>Podmínky jsou integrální součástí každé smlouvy, na základě které se Lindě zavazuje dodávat zákazníkovi technický, medicinální či speciální plyn/y v jakémkoliv skupenství v Distribučním prostředku nebo prostřednictvím Technického zařízení (dále jen „Plyn/y“) a/nebo mu pronajmout Distribuční prostředek či Technické zařízení Lindě.</w:t>
      </w:r>
    </w:p>
    <w:p w14:paraId="0B612AC2" w14:textId="77777777" w:rsidR="00F81C12" w:rsidRDefault="006F78C1">
      <w:pPr>
        <w:pStyle w:val="Zkladntext1"/>
        <w:shd w:val="clear" w:color="auto" w:fill="auto"/>
        <w:jc w:val="both"/>
      </w:pPr>
      <w:r>
        <w:t>Jednotlivé smlouvy vznikají akceptací nabídky Lindě zákazníkem, a to prostřednictvím smluv, objednávek zákazníka potvrzených ze strany Lindě, a/nebo pouhým převzetím Distribučního prostředku Lindě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w:t>
      </w:r>
      <w:r>
        <w:t>né dle sídla Lindě.</w:t>
      </w:r>
    </w:p>
    <w:p w14:paraId="29B1FFC9" w14:textId="77777777" w:rsidR="00F81C12" w:rsidRDefault="006F78C1">
      <w:pPr>
        <w:pStyle w:val="Zkladntext1"/>
        <w:shd w:val="clear" w:color="auto" w:fill="auto"/>
        <w:jc w:val="both"/>
      </w:pPr>
      <w:r>
        <w:t>Právní jednání směřující ke změně či ukončení Smlouvy vyžadují písemnou formu, pokud není stanoveno jinak. Vedle mechanismu změny cen stanoveného ve Smlouvě, je Lindě oprávněna kdykoliv navrhnout zákazníkovi změnu cen Plynů, dalších produktů či nájemného, a to osobně, elektronickou zprávou či dopisem. Pokud zákazník do 30 dnů písemně odmítne změnu cen navrženou Lindě, nové ceny se na zákazníka neuplatní, ale Lindě bude mít v takovém případě právo vypovědět Smlouvu (i) na dodávku plynů v lahvích a jiných Dis</w:t>
      </w:r>
      <w:r>
        <w:t>tribučních prostředcích s jednoměsíční výpovědní dobou a (ii) smlouvu na dodávku kapalných technických plynů s tříměsíční výpovědní dobou.</w:t>
      </w:r>
    </w:p>
    <w:p w14:paraId="2CAE9B69" w14:textId="77777777" w:rsidR="00F81C12" w:rsidRDefault="006F78C1">
      <w:pPr>
        <w:pStyle w:val="Zkladntext1"/>
        <w:shd w:val="clear" w:color="auto" w:fill="auto"/>
        <w:jc w:val="both"/>
      </w:pPr>
      <w:r>
        <w:t>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w:t>
      </w:r>
    </w:p>
    <w:p w14:paraId="418CD95F" w14:textId="77777777" w:rsidR="00F81C12" w:rsidRDefault="006F78C1">
      <w:pPr>
        <w:pStyle w:val="Nadpis60"/>
        <w:keepNext/>
        <w:keepLines/>
        <w:numPr>
          <w:ilvl w:val="0"/>
          <w:numId w:val="2"/>
        </w:numPr>
        <w:shd w:val="clear" w:color="auto" w:fill="auto"/>
        <w:tabs>
          <w:tab w:val="left" w:pos="231"/>
        </w:tabs>
        <w:jc w:val="both"/>
      </w:pPr>
      <w:bookmarkStart w:id="26" w:name="bookmark22"/>
      <w:bookmarkStart w:id="27" w:name="bookmark23"/>
      <w:r>
        <w:t>DODÁVKY PLYNŮ V DISTRIBUČNÍCH PROSTŘEDCÍCH</w:t>
      </w:r>
      <w:bookmarkEnd w:id="26"/>
      <w:bookmarkEnd w:id="27"/>
    </w:p>
    <w:p w14:paraId="537BDD43" w14:textId="77777777" w:rsidR="00F81C12" w:rsidRDefault="006F78C1">
      <w:pPr>
        <w:pStyle w:val="Zkladntext1"/>
        <w:shd w:val="clear" w:color="auto" w:fill="auto"/>
        <w:jc w:val="both"/>
      </w:pPr>
      <w:r>
        <w:t xml:space="preserve">„Distribučním prostředkem“ se rozumí přenosná tlaková nádoba či zařízení k zásobování Plynem v podobě Lahví, Palet, Pevných svazků lahví, Kontejnerů a Trajferů. „Lahví" se </w:t>
      </w:r>
      <w:r>
        <w:t>rozumí kovová tlaková nádoba pro přepravu Plynů do 90 I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I. „Trajlerem“ se rozumí silniční vůz přepravující Pevné svazky lahví, které jsou navzájem propojeny. „Kryonádobou“ tepelně izolovaná tlaková nádoba pro hluboce zchlazený Plyn. „Kontejnerem n</w:t>
      </w:r>
      <w:r>
        <w:t>a suchý led“ se rozumí isotermický plastový kontejner na suchý led.</w:t>
      </w:r>
    </w:p>
    <w:p w14:paraId="51E445AE" w14:textId="77777777" w:rsidR="00F81C12" w:rsidRDefault="006F78C1">
      <w:pPr>
        <w:pStyle w:val="Zkladntext1"/>
        <w:shd w:val="clear" w:color="auto" w:fill="auto"/>
        <w:jc w:val="both"/>
      </w:pPr>
      <w: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Lindě. Pokud nebyl dohodnut termín dodání, dodá Lindě Plyny v Lahvích, Paletách, Pevných svazcích lahví či Kontejnerech do dvou pracovních dnů, Plyny v Trajlerech do tří pracovních dnů, speciální či kalibrační plyny v Distribučního</w:t>
      </w:r>
      <w:r>
        <w:t xml:space="preserve"> prostředcích v přiměřené Ihútě s přihlédnutím k velikost objednávky a náročností jejího provedení, zpravidla do 60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w:t>
      </w:r>
      <w:r>
        <w:t>je povinen dodržovat předpisy týkající se přepravy Plynu, zvláště pravidla bezpečnosti práce a provozní pravidla včetně ČSN 078304. Při převzetí Distribučního prostředku (či jiného produktu Lindě) je zástupce zákazníka povinen prokázat své zmocnění, zejm. zákaznickou kartou Lindě. U Plynu podléhajícího spotřební dani (LPG) je zákazník povinen sdělit Lindě účel jeho použití.</w:t>
      </w:r>
    </w:p>
    <w:p w14:paraId="3D520518" w14:textId="77777777" w:rsidR="00F81C12" w:rsidRDefault="006F78C1">
      <w:pPr>
        <w:pStyle w:val="Nadpis60"/>
        <w:keepNext/>
        <w:keepLines/>
        <w:numPr>
          <w:ilvl w:val="0"/>
          <w:numId w:val="2"/>
        </w:numPr>
        <w:shd w:val="clear" w:color="auto" w:fill="auto"/>
        <w:tabs>
          <w:tab w:val="left" w:pos="231"/>
        </w:tabs>
        <w:jc w:val="both"/>
      </w:pPr>
      <w:bookmarkStart w:id="28" w:name="bookmark24"/>
      <w:bookmarkStart w:id="29" w:name="bookmark25"/>
      <w:r>
        <w:t>DODÁVKY PLYNŮ DO TECHNICKÝCH ZAŘÍZENÍ</w:t>
      </w:r>
      <w:bookmarkEnd w:id="28"/>
      <w:bookmarkEnd w:id="29"/>
    </w:p>
    <w:p w14:paraId="0E9A3E3E" w14:textId="77777777" w:rsidR="00F81C12" w:rsidRDefault="006F78C1">
      <w:pPr>
        <w:pStyle w:val="Zkladntext1"/>
        <w:shd w:val="clear" w:color="auto" w:fill="auto"/>
        <w:jc w:val="both"/>
      </w:pPr>
      <w:r>
        <w:t xml:space="preserve">Zákazníci, kteří </w:t>
      </w:r>
      <w:r>
        <w:t>odebírají od Lindě Plyn ve větších objemech si od Lindě mohou pronajmout „Technická zařízení", které slouží pro skladování či distribuci Plynu u zákazníka. Technické zařízení, které Lindě na základě samostatné Smlouvy pronajalo zákazníkovi, se nestává součástí nemovitosti, na které je postaveno, i když je s ní pevně spojeno.</w:t>
      </w:r>
    </w:p>
    <w:p w14:paraId="4E527FCD" w14:textId="77777777" w:rsidR="00F81C12" w:rsidRDefault="006F78C1">
      <w:pPr>
        <w:pStyle w:val="Zkladntext1"/>
        <w:shd w:val="clear" w:color="auto" w:fill="auto"/>
        <w:jc w:val="both"/>
      </w:pPr>
      <w:r>
        <w:t>„Zásobovacím zařízením“ se rozumí typ Technického zařízení skládající se zpravidla ze zásobníku, odpařovače, směšovací stanice, plnících potrubí a armatur, do kterého Lindě dodává zpravidla kapalné Plyny. Pokud si zákazník objedná u Lindě službu dálkového sledování, Lindě bude dodávat Plyn do Zásobovacího zařízení průběžně tak, aby měl zákazník v Zásobovacím zařízení dostatečnou zásobu Plynu, s přihlédnutím k jeho obvyklé spotřebě. I v případě služby dálkového sledování je zákazník povinen provádět kontrolu</w:t>
      </w:r>
      <w:r>
        <w:t xml:space="preserve"> stavu manometru ukazujícího stav náplně Zásobovacího zařízení, zapisovat stavy manometru do provozního deníku a oznámit Lindě nenadálý pokles náplně či její pokles pod 15% kapacity Zásobovacího zařízení. V ostatních případech dodává Lindě Plyn do Zásobovacího zařízení na základě dílčích objednávek zákazníka, kdy každá objednávka specifikuje jednu dodávku Plynu. Objednávka musí obsahovat alespoň druh Plynu, jeho množství, požadovaný termín a místo dodání a je třeba ji zaslat Lindě nejméně tri pracovní dny p</w:t>
      </w:r>
      <w:r>
        <w:t>řed požadovaným dnem dodání. U LPG zajistí Lindě dodávku do 15 dnů od potvrzení objednávky. Dodané množství Plynu se určí dle kalibrovaného průtokoměru namontovaného na silniční cisterně, pokud není ve Smlouvě sjednáno jinak.</w:t>
      </w:r>
    </w:p>
    <w:p w14:paraId="4DFDCCEA" w14:textId="77777777" w:rsidR="00F81C12" w:rsidRDefault="006F78C1">
      <w:pPr>
        <w:pStyle w:val="Zkladntext1"/>
        <w:shd w:val="clear" w:color="auto" w:fill="auto"/>
        <w:jc w:val="both"/>
      </w:pPr>
      <w:r>
        <w:t>Zákazník zajistí bezplatně vhodný a bezpečný přístup Lindě k Zásobovacímu zařízení 24 hod. denně a umožní Lindě užívat příjezdovou cestu k Zásobovacímu zařízení pro vozidla do 48 tun. Zákazník se zavazuje umožnit Lindě řádné a včasné plnění Zásobovacího zařízení Plynem, zejména udržovat Zásobovací zařízení v řádném a provozuschopném stavu, bez vnitřních nečistot, a neprodleně hlásit Lindě skutečnosti, které mohou mít vliv na plnění závazků Lindě ze Smlouvy. Pokud Lindě nemůže provést dodávku Plynu do Zásobo</w:t>
      </w:r>
      <w:r>
        <w:t>vacího zařízení kvůli nesoučinnosti zákazníka, může vyúčtovat zákazníkovi neúspěšnou jízdu a náklady na uskladnění Plynu až do okamžiku jeho dodání.</w:t>
      </w:r>
    </w:p>
    <w:p w14:paraId="1CAB0700" w14:textId="77777777" w:rsidR="00F81C12" w:rsidRDefault="006F78C1">
      <w:pPr>
        <w:pStyle w:val="Zkladntext1"/>
        <w:shd w:val="clear" w:color="auto" w:fill="auto"/>
        <w:jc w:val="both"/>
      </w:pPr>
      <w: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Lindě písemně sdělit, nejpozději 24 hodin předem s uvedením důvodu a doby trvání takové situace.</w:t>
      </w:r>
    </w:p>
    <w:p w14:paraId="6838443E" w14:textId="77777777" w:rsidR="00F81C12" w:rsidRDefault="006F78C1">
      <w:pPr>
        <w:pStyle w:val="Nadpis60"/>
        <w:keepNext/>
        <w:keepLines/>
        <w:numPr>
          <w:ilvl w:val="0"/>
          <w:numId w:val="2"/>
        </w:numPr>
        <w:shd w:val="clear" w:color="auto" w:fill="auto"/>
        <w:tabs>
          <w:tab w:val="left" w:pos="231"/>
        </w:tabs>
        <w:jc w:val="both"/>
      </w:pPr>
      <w:bookmarkStart w:id="30" w:name="bookmark26"/>
      <w:bookmarkStart w:id="31" w:name="bookmark27"/>
      <w:r>
        <w:t>PRONÁJEM DISTRIBUČNÍCH PROSTŘEDKŮ</w:t>
      </w:r>
      <w:bookmarkEnd w:id="30"/>
      <w:bookmarkEnd w:id="31"/>
    </w:p>
    <w:p w14:paraId="519EF609" w14:textId="77777777" w:rsidR="00F81C12" w:rsidRDefault="006F78C1">
      <w:pPr>
        <w:pStyle w:val="Zkladntext1"/>
        <w:shd w:val="clear" w:color="auto" w:fill="auto"/>
        <w:jc w:val="both"/>
      </w:pPr>
      <w:r>
        <w:t>Nájemní vztah mezi Lindě a zákazníkem vzniká podpisem Smlouvy, dodacího či přepravního listu k Distribučnímu prostředku zákazníkem či jeho zástupcem.</w:t>
      </w:r>
    </w:p>
    <w:p w14:paraId="5A51863E" w14:textId="77777777" w:rsidR="00F81C12" w:rsidRDefault="006F78C1">
      <w:pPr>
        <w:pStyle w:val="Zkladntext1"/>
        <w:shd w:val="clear" w:color="auto" w:fill="auto"/>
        <w:jc w:val="both"/>
      </w:pPr>
      <w:r>
        <w:t>Za užívání Distribučních prostředků Lindě je zákazník povinen platit denní nájemné, které bude účtováno ze strany Lindě při převzetí Distribučního prostředku a/nebo nejméně jednou měsíčně. U dlouhodobého nájmu Distribučního prostředku je nájemné za celou dobu nájmu vyúčtováno ihned po uzavření Smlouvy. U Distribučních prostředků Lindě, které má zákazník v držení déle než tři měsíce bez obrátky (tzn. výměny prázdných za plné), je Lindě oprávněna účtovat zákazníkovi dodatkové nájemné. U kontejnerů na suchý le</w:t>
      </w:r>
      <w:r>
        <w:t>d je Lindě oprávněna účtovat zákazníkovi dodatkové nájemné po 1 měsíci, kdy je má zákazník v držení bez obrátky. Výše denního nájemného a dodatkového nájemného se řídí dle ceníku Lindě zveřejněného v Prodejních místech Lindě. Lindě je oprávněna sazby nájemného upravovat i v průběhu nájemního vztahu, a to doručením oznámeni o zvýšení nájemného zákazníkovi, a to alespoň 15 dní před jeho účinností. Lindě je oprávněna požadovat po zákazníkovi neúročenou kauci až do výše pořizovací ceny Distribučního prostředku.</w:t>
      </w:r>
      <w:r>
        <w:t xml:space="preserve"> Lindě vrátí kauci zákazníkovi po předání Distribučního prostředku a kaučního lístku Prodejnímu místu Lindě, přičemž je oprávněna započíst si proti kauci své pohledávky za zákazníkem, zejména náklady na odstraňování škod na Distribučním prostředku vč. vnitřního znečištění.</w:t>
      </w:r>
    </w:p>
    <w:p w14:paraId="0497E39A" w14:textId="77777777" w:rsidR="00F81C12" w:rsidRDefault="006F78C1">
      <w:pPr>
        <w:pStyle w:val="Zkladntext1"/>
        <w:shd w:val="clear" w:color="auto" w:fill="auto"/>
        <w:jc w:val="both"/>
      </w:pPr>
      <w:r>
        <w:t>Distribuční prostředky zákazník vrací na své náklady v Prodejním místě Lindě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Lindě za zcizení, ztrátu, znečištění, poškození, zničení nebo včasné nevrácení Distribučního prostředku, jeho příslušenství či čárového kódu a jiných označení na n</w:t>
      </w:r>
      <w:r>
        <w:t>ěm umístěných. Přenechání Distribučních prostředků třetí osobě není dovoleno. Distribuční prostředky Lindě se mohou používat pouze pro Plyn dodaný Lindě.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w:t>
      </w:r>
      <w:r>
        <w:t>lo zákazníkem uznáno za správné a počet Distribučních prostředků zde uvedených je podkladem pro vyúčtování nájemného v následujícím zúčtovacím období.</w:t>
      </w:r>
    </w:p>
    <w:p w14:paraId="52032DB6" w14:textId="77777777" w:rsidR="00F81C12" w:rsidRDefault="006F78C1">
      <w:pPr>
        <w:pStyle w:val="Nadpis60"/>
        <w:keepNext/>
        <w:keepLines/>
        <w:numPr>
          <w:ilvl w:val="0"/>
          <w:numId w:val="2"/>
        </w:numPr>
        <w:shd w:val="clear" w:color="auto" w:fill="auto"/>
        <w:tabs>
          <w:tab w:val="left" w:pos="231"/>
        </w:tabs>
        <w:jc w:val="both"/>
      </w:pPr>
      <w:bookmarkStart w:id="32" w:name="bookmark28"/>
      <w:bookmarkStart w:id="33" w:name="bookmark29"/>
      <w:r>
        <w:t>DISTRIBUČNÍ PROSTŘEDKY ZÁKAZNÍKŮ</w:t>
      </w:r>
      <w:bookmarkEnd w:id="32"/>
      <w:bookmarkEnd w:id="33"/>
    </w:p>
    <w:p w14:paraId="5EFD83BF" w14:textId="77777777" w:rsidR="00F81C12" w:rsidRDefault="006F78C1">
      <w:pPr>
        <w:pStyle w:val="Zkladntext1"/>
        <w:numPr>
          <w:ilvl w:val="0"/>
          <w:numId w:val="3"/>
        </w:numPr>
        <w:shd w:val="clear" w:color="auto" w:fill="auto"/>
        <w:tabs>
          <w:tab w:val="left" w:pos="217"/>
        </w:tabs>
        <w:jc w:val="both"/>
      </w:pPr>
      <w:r>
        <w:t>případě dohody se zákazníkem bude Lindě plnit Plynem i Distribuční prostředky vlastněné zákazníkem, které jsou svým označením odlišitelné od Distribučních prostředků Lindě. Zákazník souhlasí s tím, že součástí plnění Lindě bude vždy i přezkoušení Distribučního prostředku podle platných předpisů před jeho naplněním, a zavazuje se uhradit Lindě cenu tohoto přezkoušení.</w:t>
      </w:r>
    </w:p>
    <w:p w14:paraId="3EB40E0E" w14:textId="77777777" w:rsidR="00F81C12" w:rsidRDefault="006F78C1">
      <w:pPr>
        <w:pStyle w:val="Nadpis60"/>
        <w:keepNext/>
        <w:keepLines/>
        <w:numPr>
          <w:ilvl w:val="0"/>
          <w:numId w:val="2"/>
        </w:numPr>
        <w:shd w:val="clear" w:color="auto" w:fill="auto"/>
        <w:tabs>
          <w:tab w:val="left" w:pos="231"/>
        </w:tabs>
        <w:jc w:val="both"/>
      </w:pPr>
      <w:bookmarkStart w:id="34" w:name="bookmark30"/>
      <w:bookmarkStart w:id="35" w:name="bookmark31"/>
      <w:r>
        <w:t>CENY A PLATEBNÍ PODMÍNKY</w:t>
      </w:r>
      <w:bookmarkEnd w:id="34"/>
      <w:bookmarkEnd w:id="35"/>
    </w:p>
    <w:p w14:paraId="1C8BF67F" w14:textId="77777777" w:rsidR="00F81C12" w:rsidRDefault="006F78C1">
      <w:pPr>
        <w:pStyle w:val="Zkladntext1"/>
        <w:shd w:val="clear" w:color="auto" w:fill="auto"/>
        <w:jc w:val="both"/>
      </w:pPr>
      <w:r>
        <w:t>Pokud není cena Plynů či ostatních plnění uvedena ve Smlouvě, řídí se dle aktuálního ceníku Lindě, který je k dispozici v Prodejních místech Lindě. Pokud zákazník po dobu 12 po sobě jdoucích měsíců neodebere od Lindě Plyn, k jehož odběru se zavázal ve Smlouvě, ruší se platnost dohody o výši ceny pro tento Plyn obsažená ve Smlouvě a cena Plynu se řídí aktuálním ceníkem Lindě zveřejněným na Prodejních místech Lindě. Pokud dojde k zavedení nové daně, poplatku či obdobné povinnosti (daň na skleníkové plyny aj.)</w:t>
      </w:r>
      <w:r>
        <w:t xml:space="preserve"> nebo dojde ke změně daně či poplatku (mýto, recyklační poplatek, environmentální či infrastrukturální poplatek aj.), v jehož důsledku dojde ke zvýšení ceny Plynu nebo nákladů Lindě na výrobu či distribuci Plynů, je Lindě oprávněna promítnout toto zvýšení do ceny dodávaných Plynů, jakož i dalších plnění. Při nedostatku Plynu způsobeného zejm. poruchami či odstávkami výrobních zdrojů, je Lindě oprávněna snížit smluvené množství dodávek nebo aplikovat měsíční či týdenní limit dodávek Plynu odvozený od smluven</w:t>
      </w:r>
      <w:r>
        <w:t>ého množství s tím, že pokud zákazník odebere Plyn nad určený limit, je Lindě oprávněna vyúčtovat mu poplatek určený Lindě R</w:t>
      </w:r>
      <w:r>
        <w:rPr>
          <w:vertAlign w:val="superscript"/>
        </w:rPr>
        <w:t>r0</w:t>
      </w:r>
      <w:r>
        <w:t>.!</w:t>
      </w:r>
      <w:r>
        <w:rPr>
          <w:vertAlign w:val="superscript"/>
        </w:rPr>
        <w:t>u</w:t>
      </w:r>
      <w:r>
        <w:t xml:space="preserve">!° </w:t>
      </w:r>
      <w:r>
        <w:rPr>
          <w:vertAlign w:val="superscript"/>
        </w:rPr>
        <w:t>s</w:t>
      </w:r>
      <w:r>
        <w:t>^</w:t>
      </w:r>
      <w:r>
        <w:rPr>
          <w:vertAlign w:val="superscript"/>
        </w:rPr>
        <w:t>uac</w:t>
      </w:r>
      <w:r>
        <w:t>’- Společně scénou dodaného Plynu je Lindě oprávněna zákazníkovi účtovat poplatky dle platného ceníku Lindě zveřejněného v Prodejních místech Lindě, zejména poplatek ADR, silniční a energetický poplatek za každý Distribuční prostředek a dodávku kapalných Plynů do Technického zařízení, sezónní příplatek, poplatek za upomínku a/nebo poplatek za příslušný atest.</w:t>
      </w:r>
    </w:p>
    <w:p w14:paraId="407C1D95" w14:textId="77777777" w:rsidR="00F81C12" w:rsidRDefault="006F78C1">
      <w:pPr>
        <w:pStyle w:val="Zkladntext1"/>
        <w:shd w:val="clear" w:color="auto" w:fill="auto"/>
        <w:jc w:val="both"/>
      </w:pPr>
      <w:r>
        <w:t>Je-li tak stanoveno Smlouvou či právními předpisy, bude Lindě vystavovat zákazníkovi po dodání produktu (Plyn, zboží, služba) 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w:t>
      </w:r>
      <w:r>
        <w:t xml:space="preserve"> vyúčtované ze strany Lindě je zákazník oprávněn vznést pouze do 30 dnů od doručení vyúčtování. Lindě má právo vystavovat faktury, výzvy k úhradě dlužných plateb, jakož i další oznámení či doklady (dodací list) v elektronické podobě a zasílat je e- mailem. Vystavování papírových dokladů může být společností Lindě zpoplatněno. V případě prodlení zákazníka se zaplacením splatné platby vyúčtované mu ze strany Lindě, je Lindě oprávněna požadovat smluvní pokutu ve výši 0,03 % z dlužné částky za každý den prodlen</w:t>
      </w:r>
      <w:r>
        <w:t>í a dále náhradu způsobené škody. U zákazníků, kteří Lindě neprokáží spolehlivě svou platební schopnost nebo platební morálku, může Lindě požadovat zálohovou platbu s tím, že tuto zálohovou platbu je Lindě oprávněna vyúčtovat proti svým pohledávkám za zákazníkem. Až do úplného uhrazení kupní ceny produktu ze strany zákazníka zůstává dodaný produkt ve vlastnictví Lindě.</w:t>
      </w:r>
    </w:p>
    <w:p w14:paraId="7487C6DA" w14:textId="77777777" w:rsidR="00F81C12" w:rsidRDefault="006F78C1">
      <w:pPr>
        <w:pStyle w:val="Nadpis60"/>
        <w:keepNext/>
        <w:keepLines/>
        <w:numPr>
          <w:ilvl w:val="0"/>
          <w:numId w:val="2"/>
        </w:numPr>
        <w:shd w:val="clear" w:color="auto" w:fill="auto"/>
        <w:tabs>
          <w:tab w:val="left" w:pos="231"/>
        </w:tabs>
        <w:jc w:val="both"/>
      </w:pPr>
      <w:bookmarkStart w:id="36" w:name="bookmark32"/>
      <w:bookmarkStart w:id="37" w:name="bookmark33"/>
      <w:r>
        <w:t>ODPOVĚDNOST ZA VADY A ŠKODY</w:t>
      </w:r>
      <w:bookmarkEnd w:id="36"/>
      <w:bookmarkEnd w:id="37"/>
    </w:p>
    <w:p w14:paraId="17E47E5A" w14:textId="77777777" w:rsidR="00F81C12" w:rsidRDefault="006F78C1">
      <w:pPr>
        <w:pStyle w:val="Zkladntext1"/>
        <w:shd w:val="clear" w:color="auto" w:fill="auto"/>
        <w:jc w:val="both"/>
      </w:pPr>
      <w:r>
        <w:t>Lindě zaručuje, že Plyn vyhovuje specifikaci v příslušném datovém listu, popř. atestu, avšak neposkytuje žádnou záruku vhodnosti Plynu pro určitý účel. Pokud Lindě přenechá (prodá) zákazníkovi použitý Distribuční prostředek nebo Technické zařízení, pak Lindě neodpovídá za jeho vady a škody jím způsobené. Jestliže je ve Smlouvě na dodávku Plynu v Distribučních prostředcích smluvené množství Plynu určeno v "m</w:t>
      </w:r>
      <w:r>
        <w:rPr>
          <w:vertAlign w:val="superscript"/>
        </w:rPr>
        <w:t>3</w:t>
      </w:r>
      <w:r>
        <w:t>", pak se vztahuje na stav Plynu při 15 °C a tlaku 0,1 MPa. Pokud je Plyn dodaný zákazníkovi vadný nebo neodpovídá množství dodaného Plynu, má zákazník právo uplatnit neprodleně po zjištění vady reklamaci, která se řídí reklamačním řádem Lindě, který je k dispozici na webových stránkách Lindě. Pro reklamaci kvality Plynů nesmí být spotřebováno více než 50 % náplně, a to z důvodu možného provedení kontrolních analýz. Distribuční prostředky s vadným Plynem nesmějí být dále používány a po nápadném označení mu</w:t>
      </w:r>
      <w:r>
        <w:t>sí být vráceny Prodejnímu místu Lindě. V případě opožděných dodávek nebo výpadku v dodávkách Plynu může zákazník, pokud Lindě nesplní dodávku v dodatečné lhůtě po výzvě zákazníka, odstoupit od Smlouvy.</w:t>
      </w:r>
    </w:p>
    <w:p w14:paraId="33CFFE90" w14:textId="77777777" w:rsidR="00F81C12" w:rsidRDefault="006F78C1">
      <w:pPr>
        <w:pStyle w:val="Zkladntext1"/>
        <w:numPr>
          <w:ilvl w:val="0"/>
          <w:numId w:val="3"/>
        </w:numPr>
        <w:shd w:val="clear" w:color="auto" w:fill="auto"/>
        <w:tabs>
          <w:tab w:val="left" w:pos="217"/>
        </w:tabs>
        <w:jc w:val="both"/>
      </w:pPr>
      <w:r>
        <w:t xml:space="preserve">případě, že je zákazník spotřebitelem, je subjektem příslušným pro mimosoudní řešení sporu zákazníka s Lindě Česká obchodní inspekce, bližší informace na </w:t>
      </w:r>
      <w:hyperlink r:id="rId14" w:history="1">
        <w:r>
          <w:rPr>
            <w:lang w:val="en-US" w:eastAsia="en-US" w:bidi="en-US"/>
          </w:rPr>
          <w:t>www.coi.cz</w:t>
        </w:r>
      </w:hyperlink>
      <w:r>
        <w:rPr>
          <w:lang w:val="en-US" w:eastAsia="en-US" w:bidi="en-US"/>
        </w:rPr>
        <w:t>.</w:t>
      </w:r>
    </w:p>
    <w:p w14:paraId="4D65B92C" w14:textId="77777777" w:rsidR="00F81C12" w:rsidRDefault="006F78C1">
      <w:pPr>
        <w:pStyle w:val="Zkladntext1"/>
        <w:shd w:val="clear" w:color="auto" w:fill="auto"/>
        <w:jc w:val="both"/>
      </w:pPr>
      <w:r>
        <w:t>Je-li zákazník v prodlení s úhradou jakékoli platby vyúčtované mu ze strany Lindě, je Lindě oprávněna zaslavit dodávky Plynu, další nájem Distribučních prostředků či prodej jiných produktů (zboží, služeb) zákazníkovi, a to až do úplného zaplacení dlužné částky. Při zcizení, poškození, nebo nevrácení Distribučního prostředku je zákazník povinen uhradit Lindě smluvní pokutu za každou Láhev 4.000 Kč, za každou Paletu 5.000 Kč, za každý Pevný svazek lahví 80.000 Kč a za každý Kontejner či Trajler 100.000 Kč, za</w:t>
      </w:r>
      <w:r>
        <w:t xml:space="preserve"> každou kryonádobu 250.000 Kč, a vedle toho je Lindě oprávněna požadovat po zákazníkovi způsobenou škodu.</w:t>
      </w:r>
    </w:p>
    <w:p w14:paraId="527DA52D" w14:textId="77777777" w:rsidR="00F81C12" w:rsidRDefault="006F78C1">
      <w:pPr>
        <w:pStyle w:val="Zkladntext1"/>
        <w:shd w:val="clear" w:color="auto" w:fill="auto"/>
        <w:jc w:val="both"/>
      </w:pPr>
      <w: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w:t>
      </w:r>
      <w:r>
        <w:t>né škodné události je omezena na částku deset milionů Kč. Právo na náhradu újmy a vydání bezdůvodného obohacení se promlčuje v tříleté promlčecí době, která běží od okamžiku vzniku škody.</w:t>
      </w:r>
    </w:p>
    <w:p w14:paraId="3936812C" w14:textId="77777777" w:rsidR="00F81C12" w:rsidRDefault="006F78C1">
      <w:pPr>
        <w:pStyle w:val="Zkladntext1"/>
        <w:shd w:val="clear" w:color="auto" w:fill="auto"/>
        <w:jc w:val="both"/>
      </w:pPr>
      <w:r>
        <w:t xml:space="preserve">Všechny případy vyšší moci, jakož i provozní, dopravní a energetické stávky, poruchy a výluky či poruchy a výluky výrobních zdrojů, osvobozují smluvní stranu, které brání v plnění její </w:t>
      </w:r>
      <w:r>
        <w:t>smluvní povinností,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14:paraId="7B0635F2" w14:textId="77777777" w:rsidR="00F81C12" w:rsidRDefault="006F78C1">
      <w:pPr>
        <w:pStyle w:val="Nadpis60"/>
        <w:keepNext/>
        <w:keepLines/>
        <w:numPr>
          <w:ilvl w:val="0"/>
          <w:numId w:val="2"/>
        </w:numPr>
        <w:shd w:val="clear" w:color="auto" w:fill="auto"/>
        <w:tabs>
          <w:tab w:val="left" w:pos="231"/>
        </w:tabs>
        <w:jc w:val="both"/>
      </w:pPr>
      <w:bookmarkStart w:id="38" w:name="bookmark34"/>
      <w:bookmarkStart w:id="39" w:name="bookmark35"/>
      <w:r>
        <w:t>ZPRACOVÁNÍ OSOBNÍCH ÚDAJŮ</w:t>
      </w:r>
      <w:bookmarkEnd w:id="38"/>
      <w:bookmarkEnd w:id="39"/>
    </w:p>
    <w:p w14:paraId="38507143" w14:textId="77777777" w:rsidR="00F81C12" w:rsidRDefault="006F78C1">
      <w:pPr>
        <w:pStyle w:val="Zkladntext1"/>
        <w:shd w:val="clear" w:color="auto" w:fill="auto"/>
        <w:jc w:val="both"/>
      </w:pPr>
      <w: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Lindě zpracovává osobní údaje svých zákazníků, resp. zástupců zákazníků, jsou uvedeny na webových stránkách na </w:t>
      </w:r>
      <w:hyperlink r:id="rId15" w:history="1">
        <w:r>
          <w:rPr>
            <w:lang w:val="en-US" w:eastAsia="en-US" w:bidi="en-US"/>
          </w:rPr>
          <w:t>https://www.linde-gas.cz/cs/footer/dataprotection</w:t>
        </w:r>
      </w:hyperlink>
      <w:r>
        <w:rPr>
          <w:lang w:val="en-US" w:eastAsia="en-US" w:bidi="en-US"/>
        </w:rPr>
        <w:t>.</w:t>
      </w:r>
    </w:p>
    <w:p w14:paraId="0115E3FF" w14:textId="77777777" w:rsidR="00F81C12" w:rsidRDefault="006F78C1">
      <w:pPr>
        <w:pStyle w:val="Nadpis60"/>
        <w:keepNext/>
        <w:keepLines/>
        <w:numPr>
          <w:ilvl w:val="0"/>
          <w:numId w:val="2"/>
        </w:numPr>
        <w:shd w:val="clear" w:color="auto" w:fill="auto"/>
        <w:tabs>
          <w:tab w:val="left" w:pos="231"/>
        </w:tabs>
        <w:jc w:val="both"/>
      </w:pPr>
      <w:bookmarkStart w:id="40" w:name="bookmark36"/>
      <w:bookmarkStart w:id="41" w:name="bookmark37"/>
      <w:r>
        <w:t>ZMĚNY PODMÍNEK</w:t>
      </w:r>
      <w:bookmarkEnd w:id="40"/>
      <w:bookmarkEnd w:id="41"/>
    </w:p>
    <w:p w14:paraId="3FD85A25" w14:textId="77777777" w:rsidR="00F81C12" w:rsidRDefault="006F78C1">
      <w:pPr>
        <w:pStyle w:val="Zkladntext1"/>
        <w:shd w:val="clear" w:color="auto" w:fill="auto"/>
        <w:jc w:val="both"/>
      </w:pPr>
      <w:r>
        <w:t xml:space="preserve">Tyto Podmínky jsou účinné od 15.12.2022 a jsou k dispozici v Prodejních místech Lindě a na webových stránkách </w:t>
      </w:r>
      <w:hyperlink r:id="rId16" w:history="1">
        <w:r>
          <w:rPr>
            <w:lang w:val="en-US" w:eastAsia="en-US" w:bidi="en-US"/>
          </w:rPr>
          <w:t>https://www.linde-gas.cz/cs/footer/legalnotice.html</w:t>
        </w:r>
      </w:hyperlink>
      <w:r>
        <w:rPr>
          <w:lang w:val="en-US" w:eastAsia="en-US" w:bidi="en-US"/>
        </w:rPr>
        <w:t xml:space="preserve">. </w:t>
      </w:r>
      <w:r>
        <w:t>Lindě je oprávněna změnit či doplnit tyto Podmínky, je však povinna seznámit zákazníka s novým zněním Podmínek alespoň 15 dní předem, například jejich vyvěšením na webových stránkách Lindě či zasláním nového znění Podmínek e-mailem, na dodacím listu či na faktuře. Jestliže zákazník nové znění Podmínek do 30 dnů písemně odmítne, nové znění se u něj neuplatní.</w:t>
      </w:r>
    </w:p>
    <w:sectPr w:rsidR="00F81C12">
      <w:pgSz w:w="11900" w:h="16840"/>
      <w:pgMar w:top="711" w:right="430" w:bottom="655" w:left="7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5BEF" w14:textId="77777777" w:rsidR="006F78C1" w:rsidRDefault="006F78C1">
      <w:r>
        <w:separator/>
      </w:r>
    </w:p>
  </w:endnote>
  <w:endnote w:type="continuationSeparator" w:id="0">
    <w:p w14:paraId="17FC89EF" w14:textId="77777777" w:rsidR="006F78C1" w:rsidRDefault="006F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F33E" w14:textId="77777777" w:rsidR="00F81C12" w:rsidRDefault="00F81C12"/>
  </w:footnote>
  <w:footnote w:type="continuationSeparator" w:id="0">
    <w:p w14:paraId="4BE78995" w14:textId="77777777" w:rsidR="00F81C12" w:rsidRDefault="00F81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4B61" w14:textId="77777777" w:rsidR="00F81C12" w:rsidRDefault="006F78C1">
    <w:pPr>
      <w:spacing w:line="1" w:lineRule="exact"/>
    </w:pPr>
    <w:r>
      <w:rPr>
        <w:noProof/>
      </w:rPr>
      <mc:AlternateContent>
        <mc:Choice Requires="wps">
          <w:drawing>
            <wp:anchor distT="0" distB="0" distL="0" distR="0" simplePos="0" relativeHeight="62914690" behindDoc="1" locked="0" layoutInCell="1" allowOverlap="1" wp14:anchorId="555373F2" wp14:editId="7D93E31A">
              <wp:simplePos x="0" y="0"/>
              <wp:positionH relativeFrom="page">
                <wp:posOffset>541020</wp:posOffset>
              </wp:positionH>
              <wp:positionV relativeFrom="page">
                <wp:posOffset>95250</wp:posOffset>
              </wp:positionV>
              <wp:extent cx="2856230" cy="280670"/>
              <wp:effectExtent l="0" t="0" r="0" b="0"/>
              <wp:wrapNone/>
              <wp:docPr id="5" name="Shape 5"/>
              <wp:cNvGraphicFramePr/>
              <a:graphic xmlns:a="http://schemas.openxmlformats.org/drawingml/2006/main">
                <a:graphicData uri="http://schemas.microsoft.com/office/word/2010/wordprocessingShape">
                  <wps:wsp>
                    <wps:cNvSpPr txBox="1"/>
                    <wps:spPr>
                      <a:xfrm>
                        <a:off x="0" y="0"/>
                        <a:ext cx="2856230" cy="280670"/>
                      </a:xfrm>
                      <a:prstGeom prst="rect">
                        <a:avLst/>
                      </a:prstGeom>
                      <a:noFill/>
                    </wps:spPr>
                    <wps:txbx>
                      <w:txbxContent>
                        <w:p w14:paraId="0F4DB856" w14:textId="77777777" w:rsidR="00F81C12" w:rsidRDefault="006F78C1">
                          <w:pPr>
                            <w:pStyle w:val="Zhlavnebozpat20"/>
                            <w:shd w:val="clear" w:color="auto" w:fill="auto"/>
                            <w:rPr>
                              <w:sz w:val="19"/>
                              <w:szCs w:val="19"/>
                            </w:rPr>
                          </w:pPr>
                          <w:r>
                            <w:rPr>
                              <w:rFonts w:ascii="Arial" w:eastAsia="Arial" w:hAnsi="Arial" w:cs="Arial"/>
                              <w:b/>
                              <w:bCs/>
                              <w:sz w:val="19"/>
                              <w:szCs w:val="19"/>
                            </w:rPr>
                            <w:t xml:space="preserve">Jméno zákazníka: </w:t>
                          </w:r>
                          <w:r>
                            <w:rPr>
                              <w:rFonts w:ascii="Arial" w:eastAsia="Arial" w:hAnsi="Arial" w:cs="Arial"/>
                              <w:sz w:val="19"/>
                              <w:szCs w:val="19"/>
                            </w:rPr>
                            <w:t>Krajská správa a údržba silnic</w:t>
                          </w:r>
                        </w:p>
                        <w:p w14:paraId="33A58370" w14:textId="77777777" w:rsidR="00F81C12" w:rsidRDefault="006F78C1">
                          <w:pPr>
                            <w:pStyle w:val="Zhlavnebozpat20"/>
                            <w:shd w:val="clear" w:color="auto" w:fill="auto"/>
                            <w:tabs>
                              <w:tab w:val="right" w:pos="2846"/>
                            </w:tabs>
                            <w:rPr>
                              <w:sz w:val="19"/>
                              <w:szCs w:val="19"/>
                            </w:rPr>
                          </w:pPr>
                          <w:r>
                            <w:rPr>
                              <w:rFonts w:ascii="Arial" w:eastAsia="Arial" w:hAnsi="Arial" w:cs="Arial"/>
                              <w:b/>
                              <w:bCs/>
                              <w:sz w:val="19"/>
                              <w:szCs w:val="19"/>
                            </w:rPr>
                            <w:t>č. zákazníka:</w:t>
                          </w:r>
                          <w:r>
                            <w:rPr>
                              <w:rFonts w:ascii="Arial" w:eastAsia="Arial" w:hAnsi="Arial" w:cs="Arial"/>
                              <w:b/>
                              <w:bCs/>
                              <w:sz w:val="19"/>
                              <w:szCs w:val="19"/>
                            </w:rPr>
                            <w:tab/>
                          </w:r>
                          <w:r>
                            <w:rPr>
                              <w:rFonts w:ascii="Arial" w:eastAsia="Arial" w:hAnsi="Arial" w:cs="Arial"/>
                              <w:sz w:val="19"/>
                              <w:szCs w:val="19"/>
                            </w:rPr>
                            <w:t>571413570</w:t>
                          </w:r>
                        </w:p>
                      </w:txbxContent>
                    </wps:txbx>
                    <wps:bodyPr lIns="0" tIns="0" rIns="0" bIns="0">
                      <a:spAutoFit/>
                    </wps:bodyPr>
                  </wps:wsp>
                </a:graphicData>
              </a:graphic>
            </wp:anchor>
          </w:drawing>
        </mc:Choice>
        <mc:Fallback>
          <w:pict>
            <v:shapetype w14:anchorId="555373F2" id="_x0000_t202" coordsize="21600,21600" o:spt="202" path="m,l,21600r21600,l21600,xe">
              <v:stroke joinstyle="miter"/>
              <v:path gradientshapeok="t" o:connecttype="rect"/>
            </v:shapetype>
            <v:shape id="Shape 5" o:spid="_x0000_s1031" type="#_x0000_t202" style="position:absolute;margin-left:42.6pt;margin-top:7.5pt;width:224.9pt;height:22.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" filled="f" stroked="f">
              <v:textbox style="mso-fit-shape-to-text:t" inset="0,0,0,0">
                <w:txbxContent>
                  <w:p w14:paraId="0F4DB856" w14:textId="77777777" w:rsidR="00F81C12" w:rsidRDefault="006F78C1">
                    <w:pPr>
                      <w:pStyle w:val="Zhlavnebozpat20"/>
                      <w:shd w:val="clear" w:color="auto" w:fill="auto"/>
                      <w:rPr>
                        <w:sz w:val="19"/>
                        <w:szCs w:val="19"/>
                      </w:rPr>
                    </w:pPr>
                    <w:r>
                      <w:rPr>
                        <w:rFonts w:ascii="Arial" w:eastAsia="Arial" w:hAnsi="Arial" w:cs="Arial"/>
                        <w:b/>
                        <w:bCs/>
                        <w:sz w:val="19"/>
                        <w:szCs w:val="19"/>
                      </w:rPr>
                      <w:t xml:space="preserve">Jméno zákazníka: </w:t>
                    </w:r>
                    <w:r>
                      <w:rPr>
                        <w:rFonts w:ascii="Arial" w:eastAsia="Arial" w:hAnsi="Arial" w:cs="Arial"/>
                        <w:sz w:val="19"/>
                        <w:szCs w:val="19"/>
                      </w:rPr>
                      <w:t>Krajská správa a údržba silnic</w:t>
                    </w:r>
                  </w:p>
                  <w:p w14:paraId="33A58370" w14:textId="77777777" w:rsidR="00F81C12" w:rsidRDefault="006F78C1">
                    <w:pPr>
                      <w:pStyle w:val="Zhlavnebozpat20"/>
                      <w:shd w:val="clear" w:color="auto" w:fill="auto"/>
                      <w:tabs>
                        <w:tab w:val="right" w:pos="2846"/>
                      </w:tabs>
                      <w:rPr>
                        <w:sz w:val="19"/>
                        <w:szCs w:val="19"/>
                      </w:rPr>
                    </w:pPr>
                    <w:r>
                      <w:rPr>
                        <w:rFonts w:ascii="Arial" w:eastAsia="Arial" w:hAnsi="Arial" w:cs="Arial"/>
                        <w:b/>
                        <w:bCs/>
                        <w:sz w:val="19"/>
                        <w:szCs w:val="19"/>
                      </w:rPr>
                      <w:t>č. zákazníka:</w:t>
                    </w:r>
                    <w:r>
                      <w:rPr>
                        <w:rFonts w:ascii="Arial" w:eastAsia="Arial" w:hAnsi="Arial" w:cs="Arial"/>
                        <w:b/>
                        <w:bCs/>
                        <w:sz w:val="19"/>
                        <w:szCs w:val="19"/>
                      </w:rPr>
                      <w:tab/>
                    </w:r>
                    <w:r>
                      <w:rPr>
                        <w:rFonts w:ascii="Arial" w:eastAsia="Arial" w:hAnsi="Arial" w:cs="Arial"/>
                        <w:sz w:val="19"/>
                        <w:szCs w:val="19"/>
                      </w:rPr>
                      <w:t>571413570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2D7C54A2" wp14:editId="15C78BD1">
              <wp:simplePos x="0" y="0"/>
              <wp:positionH relativeFrom="page">
                <wp:posOffset>467995</wp:posOffset>
              </wp:positionH>
              <wp:positionV relativeFrom="page">
                <wp:posOffset>570865</wp:posOffset>
              </wp:positionV>
              <wp:extent cx="6455410" cy="0"/>
              <wp:effectExtent l="0" t="0" r="0" b="0"/>
              <wp:wrapNone/>
              <wp:docPr id="7" name="Shape 7"/>
              <wp:cNvGraphicFramePr/>
              <a:graphic xmlns:a="http://schemas.openxmlformats.org/drawingml/2006/main">
                <a:graphicData uri="http://schemas.microsoft.com/office/word/2010/wordprocessingShape">
                  <wps:wsp>
                    <wps:cNvCnPr/>
                    <wps:spPr>
                      <a:xfrm>
                        <a:off x="0" y="0"/>
                        <a:ext cx="6455410" cy="0"/>
                      </a:xfrm>
                      <a:prstGeom prst="straightConnector1">
                        <a:avLst/>
                      </a:prstGeom>
                      <a:ln w="12700">
                        <a:solidFill/>
                      </a:ln>
                    </wps:spPr>
                    <wps:bodyPr/>
                  </wps:wsp>
                </a:graphicData>
              </a:graphic>
            </wp:anchor>
          </w:drawing>
        </mc:Choice>
        <mc:Fallback>
          <w:pict>
            <v:shape o:spt="32" o:oned="true" path="m,l21600,21600e" style="position:absolute;margin-left:36.850000000000001pt;margin-top:44.950000000000003pt;width:508.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D147" w14:textId="77777777" w:rsidR="00F81C12" w:rsidRDefault="00F81C1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364C3"/>
    <w:multiLevelType w:val="multilevel"/>
    <w:tmpl w:val="B2BA1D0C"/>
    <w:lvl w:ilvl="0">
      <w:start w:val="1"/>
      <w:numFmt w:val="bullet"/>
      <w:lvlText w:val="V"/>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6722BF"/>
    <w:multiLevelType w:val="multilevel"/>
    <w:tmpl w:val="5804E806"/>
    <w:lvl w:ilvl="0">
      <w:start w:val="1"/>
      <w:numFmt w:val="decimal"/>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9F66BA"/>
    <w:multiLevelType w:val="multilevel"/>
    <w:tmpl w:val="9AD09C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0579215">
    <w:abstractNumId w:val="2"/>
  </w:num>
  <w:num w:numId="2" w16cid:durableId="2011790046">
    <w:abstractNumId w:val="1"/>
  </w:num>
  <w:num w:numId="3" w16cid:durableId="110850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12"/>
    <w:rsid w:val="006F78C1"/>
    <w:rsid w:val="00F81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C860"/>
  <w15:docId w15:val="{34739F66-8AAA-4796-BBDE-21DB96F0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6"/>
      <w:szCs w:val="16"/>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72"/>
      <w:szCs w:val="72"/>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2"/>
      <w:szCs w:val="12"/>
      <w:u w:val="none"/>
    </w:rPr>
  </w:style>
  <w:style w:type="paragraph" w:customStyle="1" w:styleId="Titulekobrzku0">
    <w:name w:val="Titulek obrázku"/>
    <w:basedOn w:val="Normln"/>
    <w:link w:val="Titulekobrzku"/>
    <w:pPr>
      <w:shd w:val="clear" w:color="auto" w:fill="FFFFFF"/>
      <w:spacing w:line="276" w:lineRule="auto"/>
    </w:pPr>
    <w:rPr>
      <w:rFonts w:ascii="Calibri" w:eastAsia="Calibri" w:hAnsi="Calibri" w:cs="Calibri"/>
      <w:sz w:val="16"/>
      <w:szCs w:val="16"/>
    </w:rPr>
  </w:style>
  <w:style w:type="paragraph" w:customStyle="1" w:styleId="Nadpis30">
    <w:name w:val="Nadpis #3"/>
    <w:basedOn w:val="Normln"/>
    <w:link w:val="Nadpis3"/>
    <w:pPr>
      <w:shd w:val="clear" w:color="auto" w:fill="FFFFFF"/>
      <w:outlineLvl w:val="2"/>
    </w:pPr>
    <w:rPr>
      <w:rFonts w:ascii="Tahoma" w:eastAsia="Tahoma" w:hAnsi="Tahoma" w:cs="Tahoma"/>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line="276" w:lineRule="auto"/>
      <w:ind w:left="440" w:hanging="440"/>
    </w:pPr>
    <w:rPr>
      <w:rFonts w:ascii="Arial" w:eastAsia="Arial" w:hAnsi="Arial" w:cs="Arial"/>
      <w:sz w:val="18"/>
      <w:szCs w:val="18"/>
    </w:rPr>
  </w:style>
  <w:style w:type="paragraph" w:customStyle="1" w:styleId="Nadpis10">
    <w:name w:val="Nadpis #1"/>
    <w:basedOn w:val="Normln"/>
    <w:link w:val="Nadpis1"/>
    <w:pPr>
      <w:shd w:val="clear" w:color="auto" w:fill="FFFFFF"/>
      <w:outlineLvl w:val="0"/>
    </w:pPr>
    <w:rPr>
      <w:rFonts w:ascii="Arial" w:eastAsia="Arial" w:hAnsi="Arial" w:cs="Arial"/>
      <w:sz w:val="72"/>
      <w:szCs w:val="72"/>
    </w:rPr>
  </w:style>
  <w:style w:type="paragraph" w:customStyle="1" w:styleId="Nadpis50">
    <w:name w:val="Nadpis #5"/>
    <w:basedOn w:val="Normln"/>
    <w:link w:val="Nadpis5"/>
    <w:pPr>
      <w:shd w:val="clear" w:color="auto" w:fill="FFFFFF"/>
      <w:spacing w:after="1240" w:line="276" w:lineRule="auto"/>
      <w:ind w:left="80" w:firstLine="40"/>
      <w:outlineLvl w:val="4"/>
    </w:pPr>
    <w:rPr>
      <w:rFonts w:ascii="Arial" w:eastAsia="Arial" w:hAnsi="Arial" w:cs="Arial"/>
      <w:sz w:val="19"/>
      <w:szCs w:val="19"/>
    </w:rPr>
  </w:style>
  <w:style w:type="paragraph" w:customStyle="1" w:styleId="Nadpis20">
    <w:name w:val="Nadpis #2"/>
    <w:basedOn w:val="Normln"/>
    <w:link w:val="Nadpis2"/>
    <w:pPr>
      <w:shd w:val="clear" w:color="auto" w:fill="FFFFFF"/>
      <w:spacing w:after="100"/>
      <w:ind w:left="5200"/>
      <w:outlineLvl w:val="1"/>
    </w:pPr>
    <w:rPr>
      <w:rFonts w:ascii="Arial" w:eastAsia="Arial" w:hAnsi="Arial" w:cs="Arial"/>
      <w:sz w:val="28"/>
      <w:szCs w:val="28"/>
    </w:rPr>
  </w:style>
  <w:style w:type="paragraph" w:customStyle="1" w:styleId="Nadpis40">
    <w:name w:val="Nadpis #4"/>
    <w:basedOn w:val="Normln"/>
    <w:link w:val="Nadpis4"/>
    <w:pPr>
      <w:shd w:val="clear" w:color="auto" w:fill="FFFFFF"/>
      <w:spacing w:after="130" w:line="262" w:lineRule="auto"/>
      <w:ind w:firstLine="80"/>
      <w:outlineLvl w:val="3"/>
    </w:pPr>
    <w:rPr>
      <w:rFonts w:ascii="Arial" w:eastAsia="Arial" w:hAnsi="Arial" w:cs="Arial"/>
      <w:b/>
      <w:bCs/>
      <w:sz w:val="19"/>
      <w:szCs w:val="19"/>
    </w:rPr>
  </w:style>
  <w:style w:type="paragraph" w:customStyle="1" w:styleId="Zkladntext1">
    <w:name w:val="Základní text1"/>
    <w:basedOn w:val="Normln"/>
    <w:link w:val="Zkladntext"/>
    <w:pPr>
      <w:shd w:val="clear" w:color="auto" w:fill="FFFFFF"/>
    </w:pPr>
    <w:rPr>
      <w:rFonts w:ascii="Arial" w:eastAsia="Arial" w:hAnsi="Arial" w:cs="Arial"/>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outlineLvl w:val="5"/>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nde-gas.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de-gas.cz/cs/footer/legalnot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de-gas.cz/cs/footer/legalnotic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linde-gas.cz/cs/footer/dataprotectio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3346</Words>
  <Characters>19744</Characters>
  <Application>Microsoft Office Word</Application>
  <DocSecurity>0</DocSecurity>
  <Lines>164</Lines>
  <Paragraphs>46</Paragraphs>
  <ScaleCrop>false</ScaleCrop>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2024-02-09T10:41:00Z</dcterms:created>
  <dcterms:modified xsi:type="dcterms:W3CDTF">2024-02-09T10:43:00Z</dcterms:modified>
</cp:coreProperties>
</file>