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3b3b406aa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e019d95982845bd"/>
      <w:footerReference w:type="even" r:id="R1c64882dee5147a1"/>
      <w:footerReference w:type="first" r:id="R8a64adc7ac044f77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2ace7858b414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28/2024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PestCorp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25101, Doubek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07834306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životního prostředí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redukce lokální populace holuba domácího v centru města v počtu alespoň 360 ks dle nabídky ze dne 8.1.2024 za podmínek daných rozhodnutím orgánu státní správy myslivosti Č.j.: MuJc/2024/3966/ZP/BíT  ve věci povolení lovu holubů na nehonebních pozemcích.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Podmínky: Odlov bude proveden do 5 dnů po nahlášení vlastníkem nehonebních pozemků a dodavatelem městskému úřadu, odboru životního prostředí - orgánu státní správy myslivosti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 - dodavatel  je povinen minimálně 5 dnů před dnem odlovu oznámit záměr lovu holubů Českomoravskému svazu chovatelů poštovních holubů, Českému svazu chovatelů, ZO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   Jičín a zástupci města Jičín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- v době odlovu, dodavatel a město zajistí ve spolupráci s Městsku policií zákaz vstupu jiným osobám na pozemky, kde bude probíhat odlov</w:t>
      </w:r>
      <w:r>
        <w:rPr>
          <w:lang w:val="cs"/>
          <w:rFonts w:ascii="Calibri" w:hAnsi="Calibri" w:cs="Calibri"/>
          <w:sz w:val="24"/>
          <w:szCs w:val="24"/>
        </w:rPr>
        <w:br/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146 000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146 000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 xml:space="preserve">K vystavení daňového dokladu dojde po předání a převzetí díla tj. kontrole počtu odlovených holubů a splnění podmínek rozhodnutí orgánu státní správy myslivosti.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Lhůta splatnosti je 14 dnů od jeho doručení objednateli.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br/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15.3.2024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 xml:space="preserve">Valdštejnský zámek -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st.p.č. 1, p.č.1171, 1184, 1393, 1394, 1172, 1, 3 Valdická brána -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st.p.č.  117 1.Základní škola -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st.p.č.  3, st.p.č.  668, p.č. 7, 10/2, 10/3, 10/4, 1381 Kostel sv. Jakuba Většího -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st.p. č. 112, p.č. 26, 2305 Jezuitská kolej -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st.p.č. 25/1, p.č.1392, 1377 Budova městského úřadu č.p. 16 -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st.p.č. 2834, p.č. 1185/1, 1961, 1962, 1965, 1175/1 VOŠ a SPŠ Jičín, Pod Koželuhy 100 -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st.p.č. 1521, p.č. 149/1, 1397/3, 1397/2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Společnost PestCorp je pro výkon činnosti pojištěna u Generali České pojišťovny, pojištění použití střelných zbraní u Halali pojišťovny a D.A.S. pojištění právní ochrany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životní prostředí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5. 2. 2024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788b3ac0d4598" /><Relationship Type="http://schemas.openxmlformats.org/officeDocument/2006/relationships/numbering" Target="/word/numbering.xml" Id="R9b181fd80ee242dd" /><Relationship Type="http://schemas.openxmlformats.org/officeDocument/2006/relationships/settings" Target="/word/settings.xml" Id="R4cf14a23527240f1" /><Relationship Type="http://schemas.openxmlformats.org/officeDocument/2006/relationships/image" Target="/word/media/8cd24aa6-05e0-478f-b8b1-ce477a382275.jpeg" Id="Ra2ace7858b414210" /><Relationship Type="http://schemas.openxmlformats.org/officeDocument/2006/relationships/footer" Target="/word/footer1.xml" Id="Rbe019d95982845bd" /><Relationship Type="http://schemas.openxmlformats.org/officeDocument/2006/relationships/footer" Target="/word/footer2.xml" Id="R1c64882dee5147a1" /><Relationship Type="http://schemas.openxmlformats.org/officeDocument/2006/relationships/footer" Target="/word/footer3.xml" Id="R8a64adc7ac044f77" /></Relationships>
</file>