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F18D" w14:textId="2CE14BB2" w:rsidR="006A702C" w:rsidRPr="002D74AC" w:rsidRDefault="00030E1E" w:rsidP="00030E1E">
      <w:pPr>
        <w:jc w:val="center"/>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t>SUBDODAVATELSKÁ SMLOUVA</w:t>
      </w:r>
    </w:p>
    <w:p w14:paraId="57112DBD" w14:textId="77777777" w:rsidR="00A93728" w:rsidRPr="002D74AC" w:rsidRDefault="00A93728" w:rsidP="00030E1E">
      <w:pPr>
        <w:pStyle w:val="Nzev"/>
        <w:spacing w:before="0" w:after="0"/>
        <w:ind w:firstLine="0"/>
        <w:jc w:val="both"/>
        <w:rPr>
          <w:rFonts w:asciiTheme="minorHAnsi" w:hAnsiTheme="minorHAnsi" w:cstheme="minorHAnsi"/>
          <w:color w:val="000000"/>
          <w:sz w:val="20"/>
          <w:highlight w:val="lightGray"/>
        </w:rPr>
      </w:pPr>
    </w:p>
    <w:p w14:paraId="0928A19E" w14:textId="449942E9" w:rsidR="00647779" w:rsidRPr="002D74AC" w:rsidRDefault="00647779" w:rsidP="0064777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UZAVŘENÁ </w:t>
      </w:r>
      <w:r w:rsidR="007743AB">
        <w:rPr>
          <w:rFonts w:asciiTheme="minorHAnsi" w:hAnsiTheme="minorHAnsi" w:cstheme="minorHAnsi"/>
          <w:color w:val="auto"/>
          <w:sz w:val="20"/>
          <w:szCs w:val="20"/>
          <w:lang w:val="cs-CZ"/>
        </w:rPr>
        <w:t xml:space="preserve">s účinností ode </w:t>
      </w:r>
      <w:r w:rsidRPr="002D74AC">
        <w:rPr>
          <w:rFonts w:asciiTheme="minorHAnsi" w:hAnsiTheme="minorHAnsi" w:cstheme="minorHAnsi"/>
          <w:color w:val="auto"/>
          <w:sz w:val="20"/>
          <w:szCs w:val="20"/>
          <w:lang w:val="cs-CZ"/>
        </w:rPr>
        <w:t xml:space="preserve">dne </w:t>
      </w:r>
      <w:r w:rsidR="003608E2">
        <w:rPr>
          <w:rFonts w:asciiTheme="minorHAnsi" w:hAnsiTheme="minorHAnsi" w:cstheme="minorHAnsi"/>
          <w:color w:val="auto"/>
          <w:sz w:val="20"/>
          <w:szCs w:val="20"/>
          <w:lang w:val="cs-CZ"/>
        </w:rPr>
        <w:t>6.12.2023</w:t>
      </w:r>
      <w:r w:rsidRPr="002D74AC">
        <w:rPr>
          <w:rFonts w:asciiTheme="minorHAnsi" w:hAnsiTheme="minorHAnsi" w:cstheme="minorHAnsi"/>
          <w:color w:val="auto"/>
          <w:sz w:val="20"/>
          <w:szCs w:val="20"/>
          <w:lang w:val="cs-CZ"/>
        </w:rPr>
        <w:t xml:space="preserve"> mezi </w:t>
      </w:r>
    </w:p>
    <w:p w14:paraId="76CCD362" w14:textId="77777777" w:rsidR="00647779" w:rsidRPr="002D74AC" w:rsidRDefault="00647779" w:rsidP="00647779">
      <w:pPr>
        <w:jc w:val="both"/>
        <w:rPr>
          <w:rFonts w:asciiTheme="minorHAnsi" w:hAnsiTheme="minorHAnsi" w:cstheme="minorHAnsi"/>
          <w:color w:val="auto"/>
          <w:sz w:val="20"/>
          <w:szCs w:val="20"/>
          <w:lang w:val="cs-CZ"/>
        </w:rPr>
      </w:pPr>
    </w:p>
    <w:p w14:paraId="781B3934" w14:textId="68E1B28C" w:rsidR="00647779" w:rsidRPr="002D74AC" w:rsidRDefault="006957AC" w:rsidP="002D74AC">
      <w:pPr>
        <w:pStyle w:val="smlouvabodytext"/>
        <w:spacing w:after="120"/>
        <w:jc w:val="left"/>
        <w:rPr>
          <w:rFonts w:asciiTheme="minorHAnsi" w:hAnsiTheme="minorHAnsi" w:cstheme="minorHAnsi"/>
          <w:sz w:val="20"/>
          <w:szCs w:val="20"/>
        </w:rPr>
      </w:pPr>
      <w:r w:rsidRPr="002D74AC">
        <w:rPr>
          <w:rFonts w:asciiTheme="minorHAnsi" w:hAnsiTheme="minorHAnsi" w:cstheme="minorHAnsi"/>
          <w:b/>
          <w:bCs/>
          <w:sz w:val="20"/>
          <w:szCs w:val="20"/>
        </w:rPr>
        <w:t xml:space="preserve">Deloitte Advisory s.r.o., </w:t>
      </w:r>
      <w:r w:rsidR="00647779" w:rsidRPr="002D74AC">
        <w:rPr>
          <w:rFonts w:asciiTheme="minorHAnsi" w:hAnsiTheme="minorHAnsi" w:cstheme="minorHAnsi"/>
          <w:sz w:val="20"/>
          <w:szCs w:val="20"/>
        </w:rPr>
        <w:t xml:space="preserve">společností založenou podle práva </w:t>
      </w:r>
      <w:r w:rsidR="0044549E" w:rsidRPr="002D74AC">
        <w:rPr>
          <w:rFonts w:asciiTheme="minorHAnsi" w:hAnsiTheme="minorHAnsi" w:cstheme="minorHAnsi"/>
          <w:sz w:val="20"/>
          <w:szCs w:val="20"/>
        </w:rPr>
        <w:t>České repuliky</w:t>
      </w:r>
      <w:r w:rsidR="00647779" w:rsidRPr="002D74AC">
        <w:rPr>
          <w:rFonts w:asciiTheme="minorHAnsi" w:hAnsiTheme="minorHAnsi" w:cstheme="minorHAnsi"/>
          <w:sz w:val="20"/>
          <w:szCs w:val="20"/>
        </w:rPr>
        <w:t>, IČ</w:t>
      </w:r>
      <w:r w:rsidR="00B5112B" w:rsidRPr="002D74AC">
        <w:rPr>
          <w:rFonts w:asciiTheme="minorHAnsi" w:hAnsiTheme="minorHAnsi" w:cstheme="minorHAnsi"/>
          <w:sz w:val="20"/>
          <w:szCs w:val="20"/>
        </w:rPr>
        <w:t>O</w:t>
      </w:r>
      <w:r w:rsidR="008A5241" w:rsidRPr="002D74AC">
        <w:rPr>
          <w:rFonts w:asciiTheme="minorHAnsi" w:hAnsiTheme="minorHAnsi" w:cstheme="minorHAnsi"/>
          <w:sz w:val="20"/>
          <w:szCs w:val="20"/>
        </w:rPr>
        <w:t> </w:t>
      </w:r>
      <w:r w:rsidR="00E52499" w:rsidRPr="002D74AC">
        <w:rPr>
          <w:rFonts w:asciiTheme="minorHAnsi" w:hAnsiTheme="minorHAnsi" w:cstheme="minorHAnsi"/>
          <w:sz w:val="20"/>
          <w:szCs w:val="20"/>
        </w:rPr>
        <w:t>27582167</w:t>
      </w:r>
      <w:r w:rsidR="00647779" w:rsidRPr="002D74AC">
        <w:rPr>
          <w:rFonts w:asciiTheme="minorHAnsi" w:hAnsiTheme="minorHAnsi" w:cstheme="minorHAnsi"/>
          <w:sz w:val="20"/>
          <w:szCs w:val="20"/>
        </w:rPr>
        <w:t xml:space="preserve">, zapsanou v </w:t>
      </w:r>
      <w:r w:rsidR="00177FA4" w:rsidRPr="002D74AC">
        <w:rPr>
          <w:rFonts w:asciiTheme="minorHAnsi" w:hAnsiTheme="minorHAnsi" w:cstheme="minorHAnsi"/>
          <w:sz w:val="20"/>
          <w:szCs w:val="20"/>
        </w:rPr>
        <w:t>obchodním rejstříku vedeném Městským soudem v Praze, oddíle C, vložce 113225</w:t>
      </w:r>
      <w:r w:rsidR="00647779" w:rsidRPr="002D74AC">
        <w:rPr>
          <w:rFonts w:asciiTheme="minorHAnsi" w:hAnsiTheme="minorHAnsi" w:cstheme="minorHAnsi"/>
          <w:sz w:val="20"/>
          <w:szCs w:val="20"/>
        </w:rPr>
        <w:t xml:space="preserve">, se sídlem </w:t>
      </w:r>
      <w:r w:rsidR="008C60A1" w:rsidRPr="002D74AC">
        <w:rPr>
          <w:rFonts w:asciiTheme="minorHAnsi" w:hAnsiTheme="minorHAnsi" w:cstheme="minorHAnsi"/>
          <w:sz w:val="20"/>
          <w:szCs w:val="20"/>
        </w:rPr>
        <w:t>Italská 2581/67, Praha 2, 120 00, Česká republika,</w:t>
      </w:r>
      <w:r w:rsidR="002D74AC" w:rsidRPr="002D74AC">
        <w:rPr>
          <w:rFonts w:asciiTheme="minorHAnsi" w:hAnsiTheme="minorHAnsi" w:cstheme="minorHAnsi"/>
          <w:sz w:val="20"/>
          <w:szCs w:val="20"/>
        </w:rPr>
        <w:br/>
      </w:r>
      <w:r w:rsidR="00647779" w:rsidRPr="002D74AC">
        <w:rPr>
          <w:rFonts w:asciiTheme="minorHAnsi" w:hAnsiTheme="minorHAnsi" w:cstheme="minorHAnsi"/>
          <w:sz w:val="20"/>
          <w:szCs w:val="20"/>
        </w:rPr>
        <w:t xml:space="preserve">zastoupenou </w:t>
      </w:r>
      <w:r w:rsidR="008C60A1" w:rsidRPr="002D74AC">
        <w:rPr>
          <w:rFonts w:asciiTheme="minorHAnsi" w:hAnsiTheme="minorHAnsi" w:cstheme="minorHAnsi"/>
          <w:sz w:val="20"/>
          <w:szCs w:val="20"/>
        </w:rPr>
        <w:t>Martinem Kubačkou</w:t>
      </w:r>
      <w:r w:rsidR="00647779" w:rsidRPr="002D74AC">
        <w:rPr>
          <w:rFonts w:asciiTheme="minorHAnsi" w:hAnsiTheme="minorHAnsi" w:cstheme="minorHAnsi"/>
          <w:sz w:val="20"/>
          <w:szCs w:val="20"/>
        </w:rPr>
        <w:t>,</w:t>
      </w:r>
      <w:r w:rsidR="008C60A1" w:rsidRPr="002D74AC">
        <w:rPr>
          <w:rFonts w:asciiTheme="minorHAnsi" w:hAnsiTheme="minorHAnsi" w:cstheme="minorHAnsi"/>
          <w:sz w:val="20"/>
          <w:szCs w:val="20"/>
        </w:rPr>
        <w:t xml:space="preserve"> partner</w:t>
      </w:r>
      <w:r w:rsidR="00E52499" w:rsidRPr="002D74AC">
        <w:rPr>
          <w:rFonts w:asciiTheme="minorHAnsi" w:hAnsiTheme="minorHAnsi" w:cstheme="minorHAnsi"/>
          <w:sz w:val="20"/>
          <w:szCs w:val="20"/>
        </w:rPr>
        <w:t>em</w:t>
      </w:r>
      <w:r w:rsidR="00647779" w:rsidRPr="002D74AC">
        <w:rPr>
          <w:rFonts w:asciiTheme="minorHAnsi" w:hAnsiTheme="minorHAnsi" w:cstheme="minorHAnsi"/>
          <w:sz w:val="20"/>
          <w:szCs w:val="20"/>
        </w:rPr>
        <w:t>,</w:t>
      </w:r>
    </w:p>
    <w:p w14:paraId="476E7454" w14:textId="403E57DC" w:rsidR="00647779" w:rsidRPr="002D74AC" w:rsidRDefault="00647779" w:rsidP="0064777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dále </w:t>
      </w:r>
      <w:r w:rsidR="003464D3" w:rsidRPr="002D74AC">
        <w:rPr>
          <w:rFonts w:asciiTheme="minorHAnsi" w:hAnsiTheme="minorHAnsi" w:cstheme="minorHAnsi"/>
          <w:color w:val="auto"/>
          <w:sz w:val="20"/>
          <w:szCs w:val="20"/>
          <w:lang w:val="cs-CZ"/>
        </w:rPr>
        <w:t>je</w:t>
      </w:r>
      <w:r w:rsidR="00435619" w:rsidRPr="002D74AC">
        <w:rPr>
          <w:rFonts w:asciiTheme="minorHAnsi" w:hAnsiTheme="minorHAnsi" w:cstheme="minorHAnsi"/>
          <w:color w:val="auto"/>
          <w:sz w:val="20"/>
          <w:szCs w:val="20"/>
          <w:lang w:val="cs-CZ"/>
        </w:rPr>
        <w:t>n</w:t>
      </w:r>
      <w:r w:rsidRPr="002D74AC">
        <w:rPr>
          <w:rFonts w:asciiTheme="minorHAnsi" w:hAnsiTheme="minorHAnsi" w:cstheme="minorHAnsi"/>
          <w:color w:val="auto"/>
          <w:sz w:val="20"/>
          <w:szCs w:val="20"/>
          <w:lang w:val="cs-CZ"/>
        </w:rPr>
        <w:t xml:space="preserve"> „</w:t>
      </w:r>
      <w:r w:rsidRPr="002D74AC">
        <w:rPr>
          <w:rFonts w:asciiTheme="minorHAnsi" w:hAnsiTheme="minorHAnsi" w:cstheme="minorHAnsi"/>
          <w:b/>
          <w:bCs/>
          <w:color w:val="auto"/>
          <w:sz w:val="20"/>
          <w:szCs w:val="20"/>
          <w:lang w:val="cs-CZ"/>
        </w:rPr>
        <w:t>Deloitte</w:t>
      </w:r>
      <w:r w:rsidRPr="002D74AC">
        <w:rPr>
          <w:rFonts w:asciiTheme="minorHAnsi" w:hAnsiTheme="minorHAnsi" w:cstheme="minorHAnsi"/>
          <w:bCs/>
          <w:color w:val="auto"/>
          <w:sz w:val="20"/>
          <w:szCs w:val="20"/>
          <w:lang w:val="cs-CZ"/>
        </w:rPr>
        <w:t>“</w:t>
      </w:r>
      <w:r w:rsidRPr="002D74AC">
        <w:rPr>
          <w:rFonts w:asciiTheme="minorHAnsi" w:hAnsiTheme="minorHAnsi" w:cstheme="minorHAnsi"/>
          <w:color w:val="auto"/>
          <w:sz w:val="20"/>
          <w:szCs w:val="20"/>
          <w:lang w:val="cs-CZ"/>
        </w:rPr>
        <w:t xml:space="preserve"> </w:t>
      </w:r>
    </w:p>
    <w:p w14:paraId="73719ED7" w14:textId="77777777" w:rsidR="00647779" w:rsidRPr="002D74AC" w:rsidRDefault="00647779" w:rsidP="00647779">
      <w:pPr>
        <w:jc w:val="both"/>
        <w:rPr>
          <w:rFonts w:asciiTheme="minorHAnsi" w:hAnsiTheme="minorHAnsi" w:cstheme="minorHAnsi"/>
          <w:color w:val="auto"/>
          <w:sz w:val="20"/>
          <w:szCs w:val="20"/>
          <w:lang w:val="cs-CZ"/>
        </w:rPr>
      </w:pPr>
    </w:p>
    <w:p w14:paraId="68E7A69F" w14:textId="77777777" w:rsidR="00647779" w:rsidRPr="002D74AC" w:rsidRDefault="00647779" w:rsidP="0064777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a </w:t>
      </w:r>
    </w:p>
    <w:p w14:paraId="5021A56E" w14:textId="77777777" w:rsidR="00647779" w:rsidRPr="002D74AC" w:rsidRDefault="00647779" w:rsidP="00647779">
      <w:pPr>
        <w:jc w:val="both"/>
        <w:rPr>
          <w:rFonts w:asciiTheme="minorHAnsi" w:hAnsiTheme="minorHAnsi" w:cstheme="minorHAnsi"/>
          <w:color w:val="auto"/>
          <w:sz w:val="20"/>
          <w:szCs w:val="20"/>
          <w:lang w:val="cs-CZ"/>
        </w:rPr>
      </w:pPr>
    </w:p>
    <w:p w14:paraId="35D4588F" w14:textId="0998C687" w:rsidR="00647779" w:rsidRDefault="00EB7A17" w:rsidP="002B3C3A">
      <w:pPr>
        <w:jc w:val="both"/>
        <w:rPr>
          <w:rFonts w:asciiTheme="minorHAnsi" w:hAnsiTheme="minorHAnsi" w:cstheme="minorHAnsi"/>
          <w:color w:val="auto"/>
          <w:sz w:val="20"/>
          <w:szCs w:val="20"/>
          <w:lang w:val="cs-CZ"/>
        </w:rPr>
      </w:pPr>
      <w:r w:rsidRPr="002D74AC">
        <w:rPr>
          <w:rFonts w:asciiTheme="minorHAnsi" w:hAnsiTheme="minorHAnsi" w:cstheme="minorHAnsi"/>
          <w:b/>
          <w:bCs/>
          <w:color w:val="auto"/>
          <w:sz w:val="20"/>
          <w:szCs w:val="20"/>
          <w:lang w:val="cs-CZ"/>
        </w:rPr>
        <w:t xml:space="preserve">České vysoké učení technické v Praze, </w:t>
      </w:r>
      <w:r w:rsidR="00647779" w:rsidRPr="002D74AC">
        <w:rPr>
          <w:rFonts w:asciiTheme="minorHAnsi" w:hAnsiTheme="minorHAnsi" w:cstheme="minorHAnsi"/>
          <w:color w:val="auto"/>
          <w:sz w:val="20"/>
          <w:szCs w:val="20"/>
          <w:lang w:val="cs-CZ"/>
        </w:rPr>
        <w:t>IČ</w:t>
      </w:r>
      <w:r w:rsidR="00B5112B" w:rsidRPr="002D74AC">
        <w:rPr>
          <w:rFonts w:asciiTheme="minorHAnsi" w:hAnsiTheme="minorHAnsi" w:cstheme="minorHAnsi"/>
          <w:color w:val="auto"/>
          <w:sz w:val="20"/>
          <w:szCs w:val="20"/>
          <w:lang w:val="cs-CZ"/>
        </w:rPr>
        <w:t>O</w:t>
      </w:r>
      <w:r w:rsidR="005F043D" w:rsidRPr="002D74AC">
        <w:rPr>
          <w:rFonts w:asciiTheme="minorHAnsi" w:hAnsiTheme="minorHAnsi" w:cstheme="minorHAnsi"/>
          <w:color w:val="auto"/>
          <w:sz w:val="20"/>
          <w:szCs w:val="20"/>
          <w:lang w:val="cs-CZ"/>
        </w:rPr>
        <w:t> </w:t>
      </w:r>
      <w:r w:rsidR="00C8502F" w:rsidRPr="002D74AC">
        <w:rPr>
          <w:rFonts w:asciiTheme="minorHAnsi" w:hAnsiTheme="minorHAnsi" w:cstheme="minorHAnsi"/>
          <w:color w:val="auto"/>
          <w:sz w:val="20"/>
          <w:szCs w:val="20"/>
          <w:lang w:val="cs-CZ"/>
        </w:rPr>
        <w:t xml:space="preserve">68407700, </w:t>
      </w:r>
      <w:r w:rsidR="00647779" w:rsidRPr="002D74AC">
        <w:rPr>
          <w:rFonts w:asciiTheme="minorHAnsi" w:hAnsiTheme="minorHAnsi" w:cstheme="minorHAnsi"/>
          <w:color w:val="auto"/>
          <w:sz w:val="20"/>
          <w:szCs w:val="20"/>
          <w:lang w:val="cs-CZ"/>
        </w:rPr>
        <w:t xml:space="preserve">se sídlem </w:t>
      </w:r>
      <w:r w:rsidR="002B3C3A" w:rsidRPr="002D74AC">
        <w:rPr>
          <w:rFonts w:asciiTheme="minorHAnsi" w:hAnsiTheme="minorHAnsi" w:cstheme="minorHAnsi"/>
          <w:color w:val="auto"/>
          <w:sz w:val="20"/>
          <w:szCs w:val="20"/>
          <w:lang w:val="cs-CZ"/>
        </w:rPr>
        <w:t>Jugoslávských partyzánů 1580/3, Praha 6 – Dejvice, 160 00 Praha 6</w:t>
      </w:r>
    </w:p>
    <w:p w14:paraId="52239C2F" w14:textId="5E2B630B" w:rsidR="00FD005D" w:rsidRDefault="00FD005D" w:rsidP="002B3C3A">
      <w:pPr>
        <w:jc w:val="both"/>
        <w:rPr>
          <w:rFonts w:asciiTheme="minorHAnsi" w:hAnsiTheme="minorHAnsi" w:cstheme="minorHAnsi"/>
          <w:b/>
          <w:bCs/>
          <w:color w:val="auto"/>
          <w:sz w:val="20"/>
          <w:szCs w:val="20"/>
          <w:lang w:val="cs-CZ"/>
        </w:rPr>
      </w:pPr>
      <w:r>
        <w:rPr>
          <w:rFonts w:asciiTheme="minorHAnsi" w:hAnsiTheme="minorHAnsi" w:cstheme="minorHAnsi"/>
          <w:color w:val="auto"/>
          <w:sz w:val="20"/>
          <w:szCs w:val="20"/>
          <w:lang w:val="cs-CZ"/>
        </w:rPr>
        <w:t xml:space="preserve">Pracoviště: </w:t>
      </w:r>
      <w:r w:rsidRPr="002D74AC">
        <w:rPr>
          <w:rFonts w:asciiTheme="minorHAnsi" w:hAnsiTheme="minorHAnsi" w:cstheme="minorHAnsi"/>
          <w:b/>
          <w:bCs/>
          <w:color w:val="auto"/>
          <w:sz w:val="20"/>
          <w:szCs w:val="20"/>
          <w:lang w:val="cs-CZ"/>
        </w:rPr>
        <w:t>Univerzitní centrum energeticky efektivních budov</w:t>
      </w:r>
      <w:r>
        <w:rPr>
          <w:rFonts w:asciiTheme="minorHAnsi" w:hAnsiTheme="minorHAnsi" w:cstheme="minorHAnsi"/>
          <w:b/>
          <w:bCs/>
          <w:color w:val="auto"/>
          <w:sz w:val="20"/>
          <w:szCs w:val="20"/>
          <w:lang w:val="cs-CZ"/>
        </w:rPr>
        <w:t xml:space="preserve"> (UCEEB)</w:t>
      </w:r>
    </w:p>
    <w:p w14:paraId="3115AB38" w14:textId="7E024EA8" w:rsidR="00FD005D" w:rsidRPr="002D74AC" w:rsidRDefault="00FD005D" w:rsidP="002B3C3A">
      <w:pPr>
        <w:jc w:val="both"/>
        <w:rPr>
          <w:rFonts w:asciiTheme="minorHAnsi" w:hAnsiTheme="minorHAnsi" w:cstheme="minorHAnsi"/>
          <w:color w:val="auto"/>
          <w:sz w:val="20"/>
          <w:szCs w:val="20"/>
          <w:lang w:val="cs-CZ"/>
        </w:rPr>
      </w:pPr>
      <w:r>
        <w:rPr>
          <w:rFonts w:asciiTheme="minorHAnsi" w:hAnsiTheme="minorHAnsi" w:cstheme="minorHAnsi"/>
          <w:b/>
          <w:bCs/>
          <w:color w:val="auto"/>
          <w:sz w:val="20"/>
          <w:szCs w:val="20"/>
          <w:lang w:val="cs-CZ"/>
        </w:rPr>
        <w:t>Adresa: Třinecká 10</w:t>
      </w:r>
      <w:r w:rsidR="00D035E7">
        <w:rPr>
          <w:rFonts w:asciiTheme="minorHAnsi" w:hAnsiTheme="minorHAnsi" w:cstheme="minorHAnsi"/>
          <w:b/>
          <w:bCs/>
          <w:color w:val="auto"/>
          <w:sz w:val="20"/>
          <w:szCs w:val="20"/>
          <w:lang w:val="cs-CZ"/>
        </w:rPr>
        <w:t>2</w:t>
      </w:r>
      <w:r>
        <w:rPr>
          <w:rFonts w:asciiTheme="minorHAnsi" w:hAnsiTheme="minorHAnsi" w:cstheme="minorHAnsi"/>
          <w:b/>
          <w:bCs/>
          <w:color w:val="auto"/>
          <w:sz w:val="20"/>
          <w:szCs w:val="20"/>
          <w:lang w:val="cs-CZ"/>
        </w:rPr>
        <w:t>4, 27343 Buštěhrad</w:t>
      </w:r>
    </w:p>
    <w:p w14:paraId="6C4EF0CE" w14:textId="7BEB13E7" w:rsidR="006B0CB1" w:rsidRPr="002D74AC" w:rsidRDefault="00FD005D" w:rsidP="0064777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Z</w:t>
      </w:r>
      <w:r w:rsidR="00647779" w:rsidRPr="002D74AC">
        <w:rPr>
          <w:rFonts w:asciiTheme="minorHAnsi" w:hAnsiTheme="minorHAnsi" w:cstheme="minorHAnsi"/>
          <w:color w:val="auto"/>
          <w:sz w:val="20"/>
          <w:szCs w:val="20"/>
          <w:lang w:val="cs-CZ"/>
        </w:rPr>
        <w:t xml:space="preserve">astoupenou </w:t>
      </w:r>
      <w:r w:rsidR="006B0CB1" w:rsidRPr="002D74AC">
        <w:rPr>
          <w:rFonts w:asciiTheme="minorHAnsi" w:hAnsiTheme="minorHAnsi" w:cstheme="minorHAnsi"/>
          <w:color w:val="auto"/>
          <w:sz w:val="20"/>
          <w:szCs w:val="20"/>
          <w:lang w:val="cs-CZ"/>
        </w:rPr>
        <w:t>Ing. Robertem Járou, Ph.D., ředitelem</w:t>
      </w:r>
      <w:r>
        <w:rPr>
          <w:rFonts w:asciiTheme="minorHAnsi" w:hAnsiTheme="minorHAnsi" w:cstheme="minorHAnsi"/>
          <w:color w:val="auto"/>
          <w:sz w:val="20"/>
          <w:szCs w:val="20"/>
          <w:lang w:val="cs-CZ"/>
        </w:rPr>
        <w:t xml:space="preserve"> UCEEB</w:t>
      </w:r>
      <w:r w:rsidR="006B0CB1" w:rsidRPr="002D74AC">
        <w:rPr>
          <w:rFonts w:asciiTheme="minorHAnsi" w:hAnsiTheme="minorHAnsi" w:cstheme="minorHAnsi"/>
          <w:color w:val="auto"/>
          <w:sz w:val="20"/>
          <w:szCs w:val="20"/>
          <w:lang w:val="cs-CZ"/>
        </w:rPr>
        <w:t>,</w:t>
      </w:r>
    </w:p>
    <w:p w14:paraId="7CDCCB63" w14:textId="789CBF34" w:rsidR="00647779" w:rsidRPr="002D74AC" w:rsidRDefault="00647779" w:rsidP="0064777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dále </w:t>
      </w:r>
      <w:r w:rsidR="00435619" w:rsidRPr="002D74AC">
        <w:rPr>
          <w:rFonts w:asciiTheme="minorHAnsi" w:hAnsiTheme="minorHAnsi" w:cstheme="minorHAnsi"/>
          <w:color w:val="auto"/>
          <w:sz w:val="20"/>
          <w:szCs w:val="20"/>
          <w:lang w:val="cs-CZ"/>
        </w:rPr>
        <w:t>jen</w:t>
      </w:r>
      <w:r w:rsidRPr="002D74AC">
        <w:rPr>
          <w:rFonts w:asciiTheme="minorHAnsi" w:hAnsiTheme="minorHAnsi" w:cstheme="minorHAnsi"/>
          <w:color w:val="auto"/>
          <w:sz w:val="20"/>
          <w:szCs w:val="20"/>
          <w:lang w:val="cs-CZ"/>
        </w:rPr>
        <w:t xml:space="preserve"> „</w:t>
      </w:r>
      <w:r w:rsidRPr="002D74AC">
        <w:rPr>
          <w:rFonts w:asciiTheme="minorHAnsi" w:hAnsiTheme="minorHAnsi" w:cstheme="minorHAnsi"/>
          <w:b/>
          <w:color w:val="auto"/>
          <w:sz w:val="20"/>
          <w:szCs w:val="20"/>
          <w:lang w:val="cs-CZ"/>
        </w:rPr>
        <w:t>Subdodavatel</w:t>
      </w:r>
      <w:r w:rsidRPr="002D74AC">
        <w:rPr>
          <w:rFonts w:asciiTheme="minorHAnsi" w:hAnsiTheme="minorHAnsi" w:cstheme="minorHAnsi"/>
          <w:color w:val="auto"/>
          <w:sz w:val="20"/>
          <w:szCs w:val="20"/>
          <w:lang w:val="cs-CZ"/>
        </w:rPr>
        <w:t>“</w:t>
      </w:r>
      <w:r w:rsidR="006D3CAF">
        <w:rPr>
          <w:rFonts w:asciiTheme="minorHAnsi" w:hAnsiTheme="minorHAnsi" w:cstheme="minorHAnsi"/>
          <w:color w:val="auto"/>
          <w:sz w:val="20"/>
          <w:szCs w:val="20"/>
          <w:lang w:val="cs-CZ"/>
        </w:rPr>
        <w:t xml:space="preserve"> a/nebo „</w:t>
      </w:r>
      <w:r w:rsidR="006D3CAF" w:rsidRPr="006D3CAF">
        <w:rPr>
          <w:rFonts w:asciiTheme="minorHAnsi" w:hAnsiTheme="minorHAnsi" w:cstheme="minorHAnsi"/>
          <w:b/>
          <w:bCs/>
          <w:color w:val="auto"/>
          <w:sz w:val="20"/>
          <w:szCs w:val="20"/>
          <w:lang w:val="cs-CZ"/>
        </w:rPr>
        <w:t>UCEEB</w:t>
      </w:r>
      <w:r w:rsidR="006D3CAF">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w:t>
      </w:r>
    </w:p>
    <w:p w14:paraId="3D739C23" w14:textId="77777777" w:rsidR="00647779" w:rsidRPr="002D74AC" w:rsidRDefault="00647779" w:rsidP="00647779">
      <w:pPr>
        <w:jc w:val="both"/>
        <w:rPr>
          <w:rFonts w:asciiTheme="minorHAnsi" w:hAnsiTheme="minorHAnsi" w:cstheme="minorHAnsi"/>
          <w:color w:val="auto"/>
          <w:sz w:val="20"/>
          <w:szCs w:val="20"/>
          <w:lang w:val="cs-CZ"/>
        </w:rPr>
      </w:pPr>
    </w:p>
    <w:p w14:paraId="1739B845" w14:textId="77777777" w:rsidR="00647779" w:rsidRPr="002D74AC" w:rsidRDefault="00647779" w:rsidP="0064777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Deloitte </w:t>
      </w:r>
      <w:r w:rsidR="00435619" w:rsidRPr="002D74AC">
        <w:rPr>
          <w:rFonts w:asciiTheme="minorHAnsi" w:hAnsiTheme="minorHAnsi" w:cstheme="minorHAnsi"/>
          <w:color w:val="auto"/>
          <w:sz w:val="20"/>
          <w:szCs w:val="20"/>
          <w:lang w:val="cs-CZ"/>
        </w:rPr>
        <w:t xml:space="preserve">a </w:t>
      </w:r>
      <w:r w:rsidRPr="002D74AC">
        <w:rPr>
          <w:rFonts w:asciiTheme="minorHAnsi" w:hAnsiTheme="minorHAnsi" w:cstheme="minorHAnsi"/>
          <w:color w:val="auto"/>
          <w:sz w:val="20"/>
          <w:szCs w:val="20"/>
          <w:lang w:val="cs-CZ"/>
        </w:rPr>
        <w:t xml:space="preserve">Subdodavatel </w:t>
      </w:r>
      <w:r w:rsidR="005972F5" w:rsidRPr="002D74AC">
        <w:rPr>
          <w:rFonts w:asciiTheme="minorHAnsi" w:hAnsiTheme="minorHAnsi" w:cstheme="minorHAnsi"/>
          <w:color w:val="auto"/>
          <w:sz w:val="20"/>
          <w:szCs w:val="20"/>
          <w:lang w:val="cs-CZ"/>
        </w:rPr>
        <w:t xml:space="preserve">jsou </w:t>
      </w:r>
      <w:r w:rsidRPr="002D74AC">
        <w:rPr>
          <w:rFonts w:asciiTheme="minorHAnsi" w:hAnsiTheme="minorHAnsi" w:cstheme="minorHAnsi"/>
          <w:color w:val="auto"/>
          <w:sz w:val="20"/>
          <w:szCs w:val="20"/>
          <w:lang w:val="cs-CZ"/>
        </w:rPr>
        <w:t>dále společně označováni jako „</w:t>
      </w:r>
      <w:r w:rsidRPr="002D74AC">
        <w:rPr>
          <w:rFonts w:asciiTheme="minorHAnsi" w:hAnsiTheme="minorHAnsi" w:cstheme="minorHAnsi"/>
          <w:b/>
          <w:color w:val="auto"/>
          <w:sz w:val="20"/>
          <w:szCs w:val="20"/>
          <w:lang w:val="cs-CZ"/>
        </w:rPr>
        <w:t>Strany</w:t>
      </w:r>
      <w:r w:rsidRPr="002D74AC">
        <w:rPr>
          <w:rFonts w:asciiTheme="minorHAnsi" w:hAnsiTheme="minorHAnsi" w:cstheme="minorHAnsi"/>
          <w:color w:val="auto"/>
          <w:sz w:val="20"/>
          <w:szCs w:val="20"/>
          <w:lang w:val="cs-CZ"/>
        </w:rPr>
        <w:t>“, jednotlivě jako „</w:t>
      </w:r>
      <w:r w:rsidRPr="002D74AC">
        <w:rPr>
          <w:rFonts w:asciiTheme="minorHAnsi" w:hAnsiTheme="minorHAnsi" w:cstheme="minorHAnsi"/>
          <w:b/>
          <w:color w:val="auto"/>
          <w:sz w:val="20"/>
          <w:szCs w:val="20"/>
          <w:lang w:val="cs-CZ"/>
        </w:rPr>
        <w:t>Strana</w:t>
      </w:r>
      <w:r w:rsidRPr="002D74AC">
        <w:rPr>
          <w:rFonts w:asciiTheme="minorHAnsi" w:hAnsiTheme="minorHAnsi" w:cstheme="minorHAnsi"/>
          <w:color w:val="auto"/>
          <w:sz w:val="20"/>
          <w:szCs w:val="20"/>
          <w:lang w:val="cs-CZ"/>
        </w:rPr>
        <w:t>“.</w:t>
      </w:r>
    </w:p>
    <w:p w14:paraId="1C5EE278" w14:textId="77777777" w:rsidR="00647779" w:rsidRPr="002D74AC" w:rsidRDefault="00647779" w:rsidP="00647779">
      <w:pPr>
        <w:jc w:val="both"/>
        <w:rPr>
          <w:rFonts w:asciiTheme="minorHAnsi" w:hAnsiTheme="minorHAnsi" w:cstheme="minorHAnsi"/>
          <w:color w:val="auto"/>
          <w:sz w:val="20"/>
          <w:szCs w:val="20"/>
          <w:lang w:val="cs-CZ"/>
        </w:rPr>
      </w:pPr>
    </w:p>
    <w:p w14:paraId="7F22E04B" w14:textId="77777777" w:rsidR="00647779" w:rsidRPr="002D74AC" w:rsidRDefault="00647779" w:rsidP="0064777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VZHLEDEM K TOMU, ŽE </w:t>
      </w:r>
    </w:p>
    <w:p w14:paraId="7803A11E" w14:textId="77777777" w:rsidR="006A702C" w:rsidRPr="002D74AC" w:rsidRDefault="006A702C">
      <w:pPr>
        <w:jc w:val="both"/>
        <w:rPr>
          <w:rFonts w:asciiTheme="minorHAnsi" w:hAnsiTheme="minorHAnsi" w:cstheme="minorHAnsi"/>
          <w:color w:val="auto"/>
          <w:sz w:val="20"/>
          <w:szCs w:val="20"/>
          <w:lang w:val="cs-CZ"/>
        </w:rPr>
      </w:pPr>
    </w:p>
    <w:p w14:paraId="3E48F01D" w14:textId="0FEDB4CA" w:rsidR="007E24AC" w:rsidRPr="002D74AC" w:rsidRDefault="005F7245" w:rsidP="004E5571">
      <w:pPr>
        <w:numPr>
          <w:ilvl w:val="0"/>
          <w:numId w:val="17"/>
        </w:numPr>
        <w:tabs>
          <w:tab w:val="clear" w:pos="-360"/>
          <w:tab w:val="num" w:pos="0"/>
        </w:tabs>
        <w:ind w:left="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Označení</w:t>
      </w:r>
      <w:r w:rsidRPr="002D74AC">
        <w:rPr>
          <w:rFonts w:asciiTheme="minorHAnsi" w:hAnsiTheme="minorHAnsi" w:cstheme="minorHAnsi"/>
          <w:b/>
          <w:color w:val="auto"/>
          <w:sz w:val="20"/>
          <w:szCs w:val="20"/>
          <w:lang w:val="cs-CZ"/>
        </w:rPr>
        <w:t xml:space="preserve"> “</w:t>
      </w:r>
      <w:r w:rsidR="00502342" w:rsidRPr="002D74AC">
        <w:rPr>
          <w:rFonts w:asciiTheme="minorHAnsi" w:hAnsiTheme="minorHAnsi" w:cstheme="minorHAnsi"/>
          <w:b/>
          <w:color w:val="auto"/>
          <w:sz w:val="20"/>
          <w:szCs w:val="20"/>
          <w:lang w:val="cs-CZ"/>
        </w:rPr>
        <w:t>Společnost skupiny</w:t>
      </w:r>
      <w:r w:rsidR="0070389A" w:rsidRPr="002D74AC">
        <w:rPr>
          <w:rFonts w:asciiTheme="minorHAnsi" w:hAnsiTheme="minorHAnsi" w:cstheme="minorHAnsi"/>
          <w:b/>
          <w:color w:val="auto"/>
          <w:sz w:val="20"/>
          <w:szCs w:val="20"/>
          <w:lang w:val="cs-CZ"/>
        </w:rPr>
        <w:t xml:space="preserve"> </w:t>
      </w:r>
      <w:r w:rsidRPr="002D74AC">
        <w:rPr>
          <w:rFonts w:asciiTheme="minorHAnsi" w:hAnsiTheme="minorHAnsi" w:cstheme="minorHAnsi"/>
          <w:b/>
          <w:color w:val="auto"/>
          <w:sz w:val="20"/>
          <w:szCs w:val="20"/>
          <w:lang w:val="cs-CZ"/>
        </w:rPr>
        <w:t xml:space="preserve">Deloitte“ </w:t>
      </w:r>
      <w:r w:rsidRPr="002D74AC">
        <w:rPr>
          <w:rFonts w:asciiTheme="minorHAnsi" w:hAnsiTheme="minorHAnsi" w:cstheme="minorHAnsi"/>
          <w:color w:val="auto"/>
          <w:sz w:val="20"/>
          <w:szCs w:val="20"/>
          <w:lang w:val="cs-CZ"/>
        </w:rPr>
        <w:t>odkazuje na jednu či více členských firem Deloitte Touche Tohmatsu Limited</w:t>
      </w:r>
      <w:r w:rsidR="00D81227" w:rsidRPr="002D74AC">
        <w:rPr>
          <w:rFonts w:asciiTheme="minorHAnsi" w:hAnsiTheme="minorHAnsi" w:cstheme="minorHAnsi"/>
          <w:color w:val="auto"/>
          <w:sz w:val="20"/>
          <w:szCs w:val="20"/>
          <w:lang w:val="cs-CZ"/>
        </w:rPr>
        <w:t xml:space="preserve"> („DTTL“)</w:t>
      </w:r>
      <w:r w:rsidRPr="002D74AC">
        <w:rPr>
          <w:rFonts w:asciiTheme="minorHAnsi" w:hAnsiTheme="minorHAnsi" w:cstheme="minorHAnsi"/>
          <w:color w:val="auto"/>
          <w:sz w:val="20"/>
          <w:szCs w:val="20"/>
          <w:lang w:val="cs-CZ"/>
        </w:rPr>
        <w:t>, společnosti s ručením omezeným zárukou („</w:t>
      </w:r>
      <w:proofErr w:type="spellStart"/>
      <w:r w:rsidRPr="002D74AC">
        <w:rPr>
          <w:rFonts w:asciiTheme="minorHAnsi" w:hAnsiTheme="minorHAnsi" w:cstheme="minorHAnsi"/>
          <w:color w:val="auto"/>
          <w:sz w:val="20"/>
          <w:szCs w:val="20"/>
          <w:lang w:val="cs-CZ"/>
        </w:rPr>
        <w:t>private</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company</w:t>
      </w:r>
      <w:proofErr w:type="spellEnd"/>
      <w:r w:rsidRPr="002D74AC">
        <w:rPr>
          <w:rFonts w:asciiTheme="minorHAnsi" w:hAnsiTheme="minorHAnsi" w:cstheme="minorHAnsi"/>
          <w:color w:val="auto"/>
          <w:sz w:val="20"/>
          <w:szCs w:val="20"/>
          <w:lang w:val="cs-CZ"/>
        </w:rPr>
        <w:t xml:space="preserve"> limited by </w:t>
      </w:r>
      <w:proofErr w:type="spellStart"/>
      <w:r w:rsidRPr="002D74AC">
        <w:rPr>
          <w:rFonts w:asciiTheme="minorHAnsi" w:hAnsiTheme="minorHAnsi" w:cstheme="minorHAnsi"/>
          <w:color w:val="auto"/>
          <w:sz w:val="20"/>
          <w:szCs w:val="20"/>
          <w:lang w:val="cs-CZ"/>
        </w:rPr>
        <w:t>guarantee</w:t>
      </w:r>
      <w:proofErr w:type="spellEnd"/>
      <w:r w:rsidRPr="002D74AC">
        <w:rPr>
          <w:rFonts w:asciiTheme="minorHAnsi" w:hAnsiTheme="minorHAnsi" w:cstheme="minorHAnsi"/>
          <w:color w:val="auto"/>
          <w:sz w:val="20"/>
          <w:szCs w:val="20"/>
          <w:lang w:val="cs-CZ"/>
        </w:rPr>
        <w:t xml:space="preserve">“) založené dle práva Spojeného Království Velké Británie a Severního Irska, a na jejich dceřiné a přidružené společnosti. </w:t>
      </w:r>
      <w:r w:rsidR="00D81227" w:rsidRPr="002D74AC">
        <w:rPr>
          <w:rFonts w:asciiTheme="minorHAnsi" w:hAnsiTheme="minorHAnsi" w:cstheme="minorHAnsi"/>
          <w:color w:val="auto"/>
          <w:sz w:val="20"/>
          <w:szCs w:val="20"/>
          <w:lang w:val="cs-CZ"/>
        </w:rPr>
        <w:t>DTTL</w:t>
      </w:r>
      <w:r w:rsidRPr="002D74AC">
        <w:rPr>
          <w:rFonts w:asciiTheme="minorHAnsi" w:hAnsiTheme="minorHAnsi" w:cstheme="minorHAnsi"/>
          <w:color w:val="auto"/>
          <w:sz w:val="20"/>
          <w:szCs w:val="20"/>
          <w:lang w:val="cs-CZ"/>
        </w:rPr>
        <w:t xml:space="preserve">, ani žádná jiná z jeho členských firem navzájem nenesou odpovědnost za jednání či opomenutí ostatních členských firem. Každá členská firma je oddělenou a nezávislou právnickou osobou působící pod názvem „Deloitte“, „Deloitte &amp; Touche“, „Deloitte Touche Tohmatsu“ či jiným obdobným názvem. “Deloitte </w:t>
      </w:r>
      <w:proofErr w:type="spellStart"/>
      <w:r w:rsidRPr="002D74AC">
        <w:rPr>
          <w:rFonts w:asciiTheme="minorHAnsi" w:hAnsiTheme="minorHAnsi" w:cstheme="minorHAnsi"/>
          <w:color w:val="auto"/>
          <w:sz w:val="20"/>
          <w:szCs w:val="20"/>
          <w:lang w:val="cs-CZ"/>
        </w:rPr>
        <w:t>Central</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Europe</w:t>
      </w:r>
      <w:proofErr w:type="spellEnd"/>
      <w:r w:rsidRPr="002D74AC">
        <w:rPr>
          <w:rFonts w:asciiTheme="minorHAnsi" w:hAnsiTheme="minorHAnsi" w:cstheme="minorHAnsi"/>
          <w:color w:val="auto"/>
          <w:sz w:val="20"/>
          <w:szCs w:val="20"/>
          <w:lang w:val="cs-CZ"/>
        </w:rPr>
        <w:t xml:space="preserve">“ je regionálním sdružením subjektů zastřešených společností Deloitte </w:t>
      </w:r>
      <w:proofErr w:type="spellStart"/>
      <w:r w:rsidRPr="002D74AC">
        <w:rPr>
          <w:rFonts w:asciiTheme="minorHAnsi" w:hAnsiTheme="minorHAnsi" w:cstheme="minorHAnsi"/>
          <w:color w:val="auto"/>
          <w:sz w:val="20"/>
          <w:szCs w:val="20"/>
          <w:lang w:val="cs-CZ"/>
        </w:rPr>
        <w:t>Central</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Europe</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Holdings</w:t>
      </w:r>
      <w:proofErr w:type="spellEnd"/>
      <w:r w:rsidRPr="002D74AC">
        <w:rPr>
          <w:rFonts w:asciiTheme="minorHAnsi" w:hAnsiTheme="minorHAnsi" w:cstheme="minorHAnsi"/>
          <w:color w:val="auto"/>
          <w:sz w:val="20"/>
          <w:szCs w:val="20"/>
          <w:lang w:val="cs-CZ"/>
        </w:rPr>
        <w:t xml:space="preserve"> Limited, členskou firmou organizace </w:t>
      </w:r>
      <w:r w:rsidR="00D81227" w:rsidRPr="002D74AC">
        <w:rPr>
          <w:rFonts w:asciiTheme="minorHAnsi" w:hAnsiTheme="minorHAnsi" w:cstheme="minorHAnsi"/>
          <w:color w:val="auto"/>
          <w:sz w:val="20"/>
          <w:szCs w:val="20"/>
          <w:lang w:val="cs-CZ"/>
        </w:rPr>
        <w:t>DTTL</w:t>
      </w:r>
      <w:r w:rsidRPr="002D74AC">
        <w:rPr>
          <w:rFonts w:asciiTheme="minorHAnsi" w:hAnsiTheme="minorHAnsi" w:cstheme="minorHAnsi"/>
          <w:color w:val="auto"/>
          <w:sz w:val="20"/>
          <w:szCs w:val="20"/>
          <w:lang w:val="cs-CZ"/>
        </w:rPr>
        <w:t xml:space="preserve"> ve střední Evropě. Služby jsou poskytovány dceřinými a přidruženými podniky společnosti Deloitte </w:t>
      </w:r>
      <w:proofErr w:type="spellStart"/>
      <w:r w:rsidRPr="002D74AC">
        <w:rPr>
          <w:rFonts w:asciiTheme="minorHAnsi" w:hAnsiTheme="minorHAnsi" w:cstheme="minorHAnsi"/>
          <w:color w:val="auto"/>
          <w:sz w:val="20"/>
          <w:szCs w:val="20"/>
          <w:lang w:val="cs-CZ"/>
        </w:rPr>
        <w:t>Central</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Europe</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Holdings</w:t>
      </w:r>
      <w:proofErr w:type="spellEnd"/>
      <w:r w:rsidRPr="002D74AC">
        <w:rPr>
          <w:rFonts w:asciiTheme="minorHAnsi" w:hAnsiTheme="minorHAnsi" w:cstheme="minorHAnsi"/>
          <w:color w:val="auto"/>
          <w:sz w:val="20"/>
          <w:szCs w:val="20"/>
          <w:lang w:val="cs-CZ"/>
        </w:rPr>
        <w:t xml:space="preserve"> Limited, které jsou samostatnými a nezávislými právními subjekty (“Společnosti Deloitte CE“).</w:t>
      </w:r>
      <w:r w:rsidR="003565EF" w:rsidRPr="002D74AC">
        <w:rPr>
          <w:rFonts w:asciiTheme="minorHAnsi" w:hAnsiTheme="minorHAnsi" w:cstheme="minorHAnsi"/>
          <w:color w:val="auto"/>
          <w:sz w:val="20"/>
          <w:szCs w:val="20"/>
          <w:lang w:val="cs-CZ"/>
        </w:rPr>
        <w:t xml:space="preserve"> </w:t>
      </w:r>
    </w:p>
    <w:p w14:paraId="7290C18E" w14:textId="77777777" w:rsidR="009525F3" w:rsidRPr="002D74AC" w:rsidRDefault="009525F3" w:rsidP="009525F3">
      <w:pPr>
        <w:jc w:val="both"/>
        <w:rPr>
          <w:rFonts w:asciiTheme="minorHAnsi" w:hAnsiTheme="minorHAnsi" w:cstheme="minorHAnsi"/>
          <w:color w:val="auto"/>
          <w:sz w:val="20"/>
          <w:szCs w:val="20"/>
          <w:lang w:val="cs-CZ"/>
        </w:rPr>
      </w:pPr>
    </w:p>
    <w:p w14:paraId="365E4B17" w14:textId="77777777" w:rsidR="009525F3" w:rsidRPr="002D74AC" w:rsidRDefault="00647779" w:rsidP="004E5571">
      <w:pPr>
        <w:numPr>
          <w:ilvl w:val="0"/>
          <w:numId w:val="17"/>
        </w:numPr>
        <w:tabs>
          <w:tab w:val="clear" w:pos="-360"/>
          <w:tab w:val="num" w:pos="0"/>
          <w:tab w:val="num" w:pos="360"/>
        </w:tabs>
        <w:ind w:left="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w:t>
      </w:r>
      <w:r w:rsidRPr="002D74AC">
        <w:rPr>
          <w:rFonts w:asciiTheme="minorHAnsi" w:hAnsiTheme="minorHAnsi" w:cstheme="minorHAnsi"/>
          <w:b/>
          <w:color w:val="auto"/>
          <w:sz w:val="20"/>
          <w:szCs w:val="20"/>
          <w:lang w:val="cs-CZ"/>
        </w:rPr>
        <w:t>Ohrožení nezávislosti</w:t>
      </w:r>
      <w:r w:rsidRPr="002D74AC">
        <w:rPr>
          <w:rFonts w:asciiTheme="minorHAnsi" w:hAnsiTheme="minorHAnsi" w:cstheme="minorHAnsi"/>
          <w:color w:val="auto"/>
          <w:sz w:val="20"/>
          <w:szCs w:val="20"/>
          <w:lang w:val="cs-CZ"/>
        </w:rPr>
        <w:t xml:space="preserve">“ </w:t>
      </w:r>
      <w:r w:rsidR="00502342" w:rsidRPr="002D74AC">
        <w:rPr>
          <w:rFonts w:asciiTheme="minorHAnsi" w:hAnsiTheme="minorHAnsi" w:cstheme="minorHAnsi"/>
          <w:color w:val="auto"/>
          <w:sz w:val="20"/>
          <w:szCs w:val="20"/>
          <w:lang w:val="cs-CZ"/>
        </w:rPr>
        <w:t xml:space="preserve">označuje </w:t>
      </w:r>
      <w:r w:rsidRPr="002D74AC">
        <w:rPr>
          <w:rFonts w:asciiTheme="minorHAnsi" w:hAnsiTheme="minorHAnsi" w:cstheme="minorHAnsi"/>
          <w:color w:val="auto"/>
          <w:sz w:val="20"/>
          <w:szCs w:val="20"/>
          <w:lang w:val="cs-CZ"/>
        </w:rPr>
        <w:t xml:space="preserve">existenci vztahu, který Deloitte nebo Subdodavateli brání v poskytování Služeb Hlavnímu klientovi, protože by takové poskytnutí Služeb vedlo k narušení nezávislosti jakékoli </w:t>
      </w:r>
      <w:r w:rsidR="005F7245" w:rsidRPr="002D74AC">
        <w:rPr>
          <w:rFonts w:asciiTheme="minorHAnsi" w:hAnsiTheme="minorHAnsi" w:cstheme="minorHAnsi"/>
          <w:color w:val="auto"/>
          <w:sz w:val="20"/>
          <w:szCs w:val="20"/>
          <w:lang w:val="cs-CZ"/>
        </w:rPr>
        <w:t xml:space="preserve">společnosti skupiny </w:t>
      </w:r>
      <w:r w:rsidRPr="002D74AC">
        <w:rPr>
          <w:rFonts w:asciiTheme="minorHAnsi" w:hAnsiTheme="minorHAnsi" w:cstheme="minorHAnsi"/>
          <w:color w:val="auto"/>
          <w:sz w:val="20"/>
          <w:szCs w:val="20"/>
          <w:lang w:val="cs-CZ"/>
        </w:rPr>
        <w:t xml:space="preserve">Deloitte ve vztahu k Hlavnímu klientovi nebo jakémukoli </w:t>
      </w:r>
      <w:r w:rsidR="00B13F5B" w:rsidRPr="002D74AC">
        <w:rPr>
          <w:rFonts w:asciiTheme="minorHAnsi" w:hAnsiTheme="minorHAnsi" w:cstheme="minorHAnsi"/>
          <w:color w:val="auto"/>
          <w:sz w:val="20"/>
          <w:szCs w:val="20"/>
          <w:lang w:val="cs-CZ"/>
        </w:rPr>
        <w:t xml:space="preserve">jinému </w:t>
      </w:r>
      <w:r w:rsidRPr="002D74AC">
        <w:rPr>
          <w:rFonts w:asciiTheme="minorHAnsi" w:hAnsiTheme="minorHAnsi" w:cstheme="minorHAnsi"/>
          <w:color w:val="auto"/>
          <w:sz w:val="20"/>
          <w:szCs w:val="20"/>
          <w:lang w:val="cs-CZ"/>
        </w:rPr>
        <w:t>klientovi v důsledku nesplnění příslušných požadavků na nezávislost auditora.</w:t>
      </w:r>
    </w:p>
    <w:p w14:paraId="5A73776A" w14:textId="77777777" w:rsidR="009525F3" w:rsidRPr="002D74AC" w:rsidRDefault="009525F3" w:rsidP="009525F3">
      <w:pPr>
        <w:pStyle w:val="Odstavecseseznamem"/>
        <w:rPr>
          <w:rFonts w:asciiTheme="minorHAnsi" w:hAnsiTheme="minorHAnsi" w:cstheme="minorHAnsi"/>
          <w:color w:val="auto"/>
          <w:sz w:val="20"/>
          <w:szCs w:val="20"/>
          <w:lang w:val="cs-CZ"/>
        </w:rPr>
      </w:pPr>
    </w:p>
    <w:p w14:paraId="64147A8D" w14:textId="51141088" w:rsidR="004E5571" w:rsidRDefault="00647779" w:rsidP="004E5571">
      <w:pPr>
        <w:numPr>
          <w:ilvl w:val="0"/>
          <w:numId w:val="17"/>
        </w:numPr>
        <w:tabs>
          <w:tab w:val="clear" w:pos="-360"/>
          <w:tab w:val="num" w:pos="0"/>
        </w:tabs>
        <w:ind w:left="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Dne </w:t>
      </w:r>
      <w:r w:rsidR="004E5571">
        <w:rPr>
          <w:rFonts w:asciiTheme="minorHAnsi" w:hAnsiTheme="minorHAnsi" w:cstheme="minorHAnsi"/>
          <w:color w:val="auto"/>
          <w:sz w:val="20"/>
          <w:szCs w:val="20"/>
          <w:lang w:val="cs-CZ"/>
        </w:rPr>
        <w:t>11.11.2023</w:t>
      </w:r>
      <w:r w:rsidRPr="002D74AC">
        <w:rPr>
          <w:rFonts w:asciiTheme="minorHAnsi" w:hAnsiTheme="minorHAnsi" w:cstheme="minorHAnsi"/>
          <w:color w:val="auto"/>
          <w:sz w:val="20"/>
          <w:szCs w:val="20"/>
          <w:lang w:val="cs-CZ"/>
        </w:rPr>
        <w:t xml:space="preserve"> byla </w:t>
      </w:r>
      <w:r w:rsidR="009D19C1" w:rsidRPr="002D74AC">
        <w:rPr>
          <w:rFonts w:asciiTheme="minorHAnsi" w:hAnsiTheme="minorHAnsi" w:cstheme="minorHAnsi"/>
          <w:color w:val="auto"/>
          <w:sz w:val="20"/>
          <w:szCs w:val="20"/>
          <w:lang w:val="cs-CZ"/>
        </w:rPr>
        <w:t xml:space="preserve">mezi Deloitte a </w:t>
      </w:r>
      <w:r w:rsidR="004E5571" w:rsidRPr="004E5571">
        <w:rPr>
          <w:rFonts w:asciiTheme="minorHAnsi" w:hAnsiTheme="minorHAnsi" w:cstheme="minorHAnsi"/>
          <w:color w:val="auto"/>
          <w:sz w:val="20"/>
          <w:szCs w:val="20"/>
          <w:lang w:val="cs-CZ"/>
        </w:rPr>
        <w:t>J &amp; T REAL ESTATE, a.s.</w:t>
      </w:r>
      <w:r w:rsidR="004E5571" w:rsidRPr="004E5571" w:rsidDel="004E5571">
        <w:rPr>
          <w:rFonts w:asciiTheme="minorHAnsi" w:hAnsiTheme="minorHAnsi" w:cstheme="minorHAnsi"/>
          <w:color w:val="auto"/>
          <w:sz w:val="20"/>
          <w:szCs w:val="20"/>
          <w:lang w:val="cs-CZ"/>
        </w:rPr>
        <w:t xml:space="preserve"> </w:t>
      </w:r>
      <w:r w:rsidR="009D19C1" w:rsidRPr="002D74AC">
        <w:rPr>
          <w:rFonts w:asciiTheme="minorHAnsi" w:hAnsiTheme="minorHAnsi" w:cstheme="minorHAnsi"/>
          <w:color w:val="auto"/>
          <w:sz w:val="20"/>
          <w:szCs w:val="20"/>
          <w:lang w:val="cs-CZ"/>
        </w:rPr>
        <w:t>(dále jen „</w:t>
      </w:r>
      <w:r w:rsidR="009D19C1" w:rsidRPr="002D74AC">
        <w:rPr>
          <w:rFonts w:asciiTheme="minorHAnsi" w:hAnsiTheme="minorHAnsi" w:cstheme="minorHAnsi"/>
          <w:b/>
          <w:color w:val="auto"/>
          <w:sz w:val="20"/>
          <w:szCs w:val="20"/>
          <w:lang w:val="cs-CZ"/>
        </w:rPr>
        <w:t>Hlavní klient</w:t>
      </w:r>
      <w:r w:rsidR="009D19C1"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 xml:space="preserve">uzavřena </w:t>
      </w:r>
      <w:r w:rsidR="004E5571" w:rsidRPr="004E5571">
        <w:rPr>
          <w:rFonts w:asciiTheme="minorHAnsi" w:hAnsiTheme="minorHAnsi" w:cstheme="minorHAnsi"/>
          <w:color w:val="auto"/>
          <w:sz w:val="20"/>
          <w:szCs w:val="20"/>
          <w:lang w:val="cs-CZ"/>
        </w:rPr>
        <w:t xml:space="preserve">Dohoda o poskytovaní odborných </w:t>
      </w:r>
      <w:proofErr w:type="spellStart"/>
      <w:r w:rsidR="004E5571" w:rsidRPr="004E5571">
        <w:rPr>
          <w:rFonts w:asciiTheme="minorHAnsi" w:hAnsiTheme="minorHAnsi" w:cstheme="minorHAnsi"/>
          <w:color w:val="auto"/>
          <w:sz w:val="20"/>
          <w:szCs w:val="20"/>
          <w:lang w:val="cs-CZ"/>
        </w:rPr>
        <w:t>služieb</w:t>
      </w:r>
      <w:proofErr w:type="spellEnd"/>
      <w:r w:rsidR="004E5571" w:rsidRPr="004E5571" w:rsidDel="004E5571">
        <w:rPr>
          <w:rFonts w:asciiTheme="minorHAnsi" w:hAnsiTheme="minorHAnsi" w:cstheme="minorHAnsi"/>
          <w:color w:val="auto"/>
          <w:sz w:val="20"/>
          <w:szCs w:val="20"/>
          <w:lang w:val="cs-CZ"/>
        </w:rPr>
        <w:t xml:space="preserve"> </w:t>
      </w:r>
      <w:r w:rsidR="006A702C"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dále jen „</w:t>
      </w:r>
      <w:r w:rsidRPr="002D74AC">
        <w:rPr>
          <w:rFonts w:asciiTheme="minorHAnsi" w:hAnsiTheme="minorHAnsi" w:cstheme="minorHAnsi"/>
          <w:b/>
          <w:color w:val="auto"/>
          <w:sz w:val="20"/>
          <w:szCs w:val="20"/>
          <w:lang w:val="cs-CZ"/>
        </w:rPr>
        <w:t>Hlavní smlouva</w:t>
      </w:r>
      <w:r w:rsidRPr="002D74AC">
        <w:rPr>
          <w:rFonts w:asciiTheme="minorHAnsi" w:hAnsiTheme="minorHAnsi" w:cstheme="minorHAnsi"/>
          <w:color w:val="auto"/>
          <w:sz w:val="20"/>
          <w:szCs w:val="20"/>
          <w:lang w:val="cs-CZ"/>
        </w:rPr>
        <w:t>“</w:t>
      </w:r>
      <w:r w:rsidR="006A702C" w:rsidRPr="002D74AC">
        <w:rPr>
          <w:rFonts w:asciiTheme="minorHAnsi" w:hAnsiTheme="minorHAnsi" w:cstheme="minorHAnsi"/>
          <w:color w:val="auto"/>
          <w:sz w:val="20"/>
          <w:szCs w:val="20"/>
          <w:lang w:val="cs-CZ"/>
        </w:rPr>
        <w:t>)</w:t>
      </w:r>
      <w:r w:rsidR="003974C6" w:rsidRPr="002D74AC">
        <w:rPr>
          <w:rFonts w:asciiTheme="minorHAnsi" w:hAnsiTheme="minorHAnsi" w:cstheme="minorHAnsi"/>
          <w:color w:val="auto"/>
          <w:sz w:val="20"/>
          <w:szCs w:val="20"/>
          <w:lang w:val="cs-CZ"/>
        </w:rPr>
        <w:t>, jejímž předmětem je poskyt</w:t>
      </w:r>
      <w:r w:rsidR="009D19C1" w:rsidRPr="002D74AC">
        <w:rPr>
          <w:rFonts w:asciiTheme="minorHAnsi" w:hAnsiTheme="minorHAnsi" w:cstheme="minorHAnsi"/>
          <w:color w:val="auto"/>
          <w:sz w:val="20"/>
          <w:szCs w:val="20"/>
          <w:lang w:val="cs-CZ"/>
        </w:rPr>
        <w:t>ování</w:t>
      </w:r>
      <w:r w:rsidR="004315B7" w:rsidRPr="002D74AC">
        <w:rPr>
          <w:rFonts w:asciiTheme="minorHAnsi" w:hAnsiTheme="minorHAnsi" w:cstheme="minorHAnsi"/>
          <w:color w:val="auto"/>
          <w:sz w:val="20"/>
          <w:szCs w:val="20"/>
          <w:lang w:val="cs-CZ"/>
        </w:rPr>
        <w:t xml:space="preserve"> </w:t>
      </w:r>
      <w:r w:rsidR="004E5571">
        <w:rPr>
          <w:rFonts w:asciiTheme="minorHAnsi" w:hAnsiTheme="minorHAnsi" w:cstheme="minorHAnsi"/>
          <w:color w:val="auto"/>
          <w:sz w:val="20"/>
          <w:szCs w:val="20"/>
          <w:lang w:val="cs-CZ"/>
        </w:rPr>
        <w:t>služe</w:t>
      </w:r>
      <w:r w:rsidR="005F0828">
        <w:rPr>
          <w:rFonts w:asciiTheme="minorHAnsi" w:hAnsiTheme="minorHAnsi" w:cstheme="minorHAnsi"/>
          <w:color w:val="auto"/>
          <w:sz w:val="20"/>
          <w:szCs w:val="20"/>
          <w:lang w:val="cs-CZ"/>
        </w:rPr>
        <w:t>b</w:t>
      </w:r>
      <w:r w:rsidR="004E5571">
        <w:rPr>
          <w:rFonts w:asciiTheme="minorHAnsi" w:hAnsiTheme="minorHAnsi" w:cstheme="minorHAnsi"/>
          <w:color w:val="auto"/>
          <w:sz w:val="20"/>
          <w:szCs w:val="20"/>
          <w:lang w:val="cs-CZ"/>
        </w:rPr>
        <w:t xml:space="preserve"> v oblasti ESG, jmenovitě:</w:t>
      </w:r>
    </w:p>
    <w:p w14:paraId="44018DFF" w14:textId="3F376349" w:rsidR="007E24AC" w:rsidRDefault="004E5571" w:rsidP="004E5571">
      <w:pPr>
        <w:jc w:val="both"/>
        <w:rPr>
          <w:rFonts w:asciiTheme="minorHAnsi" w:hAnsiTheme="minorHAnsi" w:cstheme="minorHAnsi"/>
          <w:color w:val="auto"/>
          <w:sz w:val="20"/>
          <w:szCs w:val="20"/>
          <w:lang w:val="cs-CZ"/>
        </w:rPr>
      </w:pPr>
      <w:r w:rsidRPr="004E5571">
        <w:rPr>
          <w:rFonts w:asciiTheme="minorHAnsi" w:hAnsiTheme="minorHAnsi" w:cstheme="minorHAnsi"/>
          <w:color w:val="auto"/>
          <w:sz w:val="20"/>
          <w:szCs w:val="20"/>
          <w:lang w:val="cs-CZ"/>
        </w:rPr>
        <w:t xml:space="preserve">Digitální posouzení </w:t>
      </w:r>
      <w:r>
        <w:rPr>
          <w:rFonts w:asciiTheme="minorHAnsi" w:hAnsiTheme="minorHAnsi" w:cstheme="minorHAnsi"/>
          <w:color w:val="auto"/>
          <w:sz w:val="20"/>
          <w:szCs w:val="20"/>
          <w:lang w:val="cs-CZ"/>
        </w:rPr>
        <w:t xml:space="preserve">nemovitostí </w:t>
      </w:r>
      <w:r w:rsidRPr="004E5571">
        <w:rPr>
          <w:rFonts w:asciiTheme="minorHAnsi" w:hAnsiTheme="minorHAnsi" w:cstheme="minorHAnsi"/>
          <w:color w:val="auto"/>
          <w:sz w:val="20"/>
          <w:szCs w:val="20"/>
          <w:lang w:val="cs-CZ"/>
        </w:rPr>
        <w:t>spadající</w:t>
      </w:r>
      <w:r>
        <w:rPr>
          <w:rFonts w:asciiTheme="minorHAnsi" w:hAnsiTheme="minorHAnsi" w:cstheme="minorHAnsi"/>
          <w:color w:val="auto"/>
          <w:sz w:val="20"/>
          <w:szCs w:val="20"/>
          <w:lang w:val="cs-CZ"/>
        </w:rPr>
        <w:t>ch</w:t>
      </w:r>
      <w:r w:rsidRPr="004E5571">
        <w:rPr>
          <w:rFonts w:asciiTheme="minorHAnsi" w:hAnsiTheme="minorHAnsi" w:cstheme="minorHAnsi"/>
          <w:color w:val="auto"/>
          <w:sz w:val="20"/>
          <w:szCs w:val="20"/>
          <w:lang w:val="cs-CZ"/>
        </w:rPr>
        <w:t xml:space="preserve"> do portfolia spravovaného hlavním klientem s ohledem na kritéria udržitelnosti</w:t>
      </w:r>
      <w:r>
        <w:rPr>
          <w:rFonts w:asciiTheme="minorHAnsi" w:hAnsiTheme="minorHAnsi" w:cstheme="minorHAnsi"/>
          <w:color w:val="auto"/>
          <w:sz w:val="20"/>
          <w:szCs w:val="20"/>
          <w:lang w:val="cs-CZ"/>
        </w:rPr>
        <w:t xml:space="preserve">; </w:t>
      </w:r>
      <w:r w:rsidRPr="004E5571">
        <w:rPr>
          <w:rFonts w:asciiTheme="minorHAnsi" w:hAnsiTheme="minorHAnsi" w:cstheme="minorHAnsi"/>
          <w:color w:val="auto"/>
          <w:sz w:val="20"/>
          <w:szCs w:val="20"/>
          <w:lang w:val="cs-CZ"/>
        </w:rPr>
        <w:t>Analýza vyspělosti hlavního klienta v oblasti ESG a identifikace oblastí pro zlepšení</w:t>
      </w:r>
      <w:r>
        <w:rPr>
          <w:rFonts w:asciiTheme="minorHAnsi" w:hAnsiTheme="minorHAnsi" w:cstheme="minorHAnsi"/>
          <w:color w:val="auto"/>
          <w:sz w:val="20"/>
          <w:szCs w:val="20"/>
          <w:lang w:val="cs-CZ"/>
        </w:rPr>
        <w:t xml:space="preserve">; Posouzení hlavního klienta v oblasti uhlíkové stopy; </w:t>
      </w:r>
      <w:r>
        <w:rPr>
          <w:rFonts w:asciiTheme="minorHAnsi" w:hAnsiTheme="minorHAnsi" w:cstheme="minorHAnsi"/>
          <w:color w:val="auto"/>
          <w:sz w:val="20"/>
          <w:szCs w:val="20"/>
          <w:lang w:val="cs-CZ"/>
        </w:rPr>
        <w:tab/>
        <w:t>Reporting udržitelnosti.</w:t>
      </w:r>
    </w:p>
    <w:p w14:paraId="6EF9C2BA" w14:textId="77777777" w:rsidR="00983F42" w:rsidRPr="002D74AC" w:rsidRDefault="00983F42" w:rsidP="004E5571">
      <w:pPr>
        <w:jc w:val="both"/>
        <w:rPr>
          <w:rFonts w:asciiTheme="minorHAnsi" w:hAnsiTheme="minorHAnsi" w:cstheme="minorHAnsi"/>
          <w:color w:val="auto"/>
          <w:sz w:val="20"/>
          <w:szCs w:val="20"/>
          <w:lang w:val="cs-CZ"/>
        </w:rPr>
      </w:pPr>
    </w:p>
    <w:p w14:paraId="0AB14E0D" w14:textId="77777777" w:rsidR="007E24AC" w:rsidRPr="002D74AC" w:rsidRDefault="009E0BF9" w:rsidP="004E5571">
      <w:pPr>
        <w:numPr>
          <w:ilvl w:val="0"/>
          <w:numId w:val="17"/>
        </w:numPr>
        <w:tabs>
          <w:tab w:val="clear" w:pos="-360"/>
          <w:tab w:val="num" w:pos="0"/>
        </w:tabs>
        <w:ind w:left="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souhlasí, že bude poskytovat Služby ve prospěch Deloitte</w:t>
      </w:r>
      <w:r w:rsidR="00B13F5B"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 xml:space="preserve"> a Deloitte souhlasí, že bude za tyto Služby platit, jak je </w:t>
      </w:r>
      <w:r w:rsidR="004315B7" w:rsidRPr="002D74AC">
        <w:rPr>
          <w:rFonts w:asciiTheme="minorHAnsi" w:hAnsiTheme="minorHAnsi" w:cstheme="minorHAnsi"/>
          <w:color w:val="auto"/>
          <w:sz w:val="20"/>
          <w:szCs w:val="20"/>
          <w:lang w:val="cs-CZ"/>
        </w:rPr>
        <w:t xml:space="preserve">stanoveno </w:t>
      </w:r>
      <w:r w:rsidRPr="002D74AC">
        <w:rPr>
          <w:rFonts w:asciiTheme="minorHAnsi" w:hAnsiTheme="minorHAnsi" w:cstheme="minorHAnsi"/>
          <w:color w:val="auto"/>
          <w:sz w:val="20"/>
          <w:szCs w:val="20"/>
          <w:lang w:val="cs-CZ"/>
        </w:rPr>
        <w:t xml:space="preserve">v této </w:t>
      </w:r>
      <w:r w:rsidR="00B13F5B" w:rsidRPr="002D74AC">
        <w:rPr>
          <w:rFonts w:asciiTheme="minorHAnsi" w:hAnsiTheme="minorHAnsi" w:cstheme="minorHAnsi"/>
          <w:color w:val="auto"/>
          <w:sz w:val="20"/>
          <w:szCs w:val="20"/>
          <w:lang w:val="cs-CZ"/>
        </w:rPr>
        <w:t>s</w:t>
      </w:r>
      <w:r w:rsidRPr="002D74AC">
        <w:rPr>
          <w:rFonts w:asciiTheme="minorHAnsi" w:hAnsiTheme="minorHAnsi" w:cstheme="minorHAnsi"/>
          <w:color w:val="auto"/>
          <w:sz w:val="20"/>
          <w:szCs w:val="20"/>
          <w:lang w:val="cs-CZ"/>
        </w:rPr>
        <w:t>mlouvě</w:t>
      </w:r>
      <w:r w:rsidR="006A702C"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dále jen „</w:t>
      </w:r>
      <w:r w:rsidRPr="002D74AC">
        <w:rPr>
          <w:rFonts w:asciiTheme="minorHAnsi" w:hAnsiTheme="minorHAnsi" w:cstheme="minorHAnsi"/>
          <w:b/>
          <w:color w:val="auto"/>
          <w:sz w:val="20"/>
          <w:szCs w:val="20"/>
          <w:lang w:val="cs-CZ"/>
        </w:rPr>
        <w:t>Smlouva</w:t>
      </w:r>
      <w:r w:rsidRPr="002D74AC">
        <w:rPr>
          <w:rFonts w:asciiTheme="minorHAnsi" w:hAnsiTheme="minorHAnsi" w:cstheme="minorHAnsi"/>
          <w:color w:val="auto"/>
          <w:sz w:val="20"/>
          <w:szCs w:val="20"/>
          <w:lang w:val="cs-CZ"/>
        </w:rPr>
        <w:t>“</w:t>
      </w:r>
      <w:r w:rsidR="006A702C" w:rsidRPr="002D74AC">
        <w:rPr>
          <w:rFonts w:asciiTheme="minorHAnsi" w:hAnsiTheme="minorHAnsi" w:cstheme="minorHAnsi"/>
          <w:color w:val="auto"/>
          <w:sz w:val="20"/>
          <w:szCs w:val="20"/>
          <w:lang w:val="cs-CZ"/>
        </w:rPr>
        <w:t>).</w:t>
      </w:r>
    </w:p>
    <w:p w14:paraId="4F0BF71A" w14:textId="77777777" w:rsidR="007E24AC" w:rsidRPr="002D74AC" w:rsidRDefault="007E24AC" w:rsidP="007E24AC">
      <w:pPr>
        <w:tabs>
          <w:tab w:val="num" w:pos="0"/>
        </w:tabs>
        <w:ind w:hanging="720"/>
        <w:jc w:val="both"/>
        <w:rPr>
          <w:rFonts w:asciiTheme="minorHAnsi" w:hAnsiTheme="minorHAnsi" w:cstheme="minorHAnsi"/>
          <w:color w:val="auto"/>
          <w:sz w:val="20"/>
          <w:szCs w:val="20"/>
          <w:lang w:val="cs-CZ"/>
        </w:rPr>
      </w:pPr>
    </w:p>
    <w:p w14:paraId="19138AFF" w14:textId="77777777" w:rsidR="006A702C" w:rsidRPr="002D74AC" w:rsidRDefault="009E0BF9" w:rsidP="004E5571">
      <w:pPr>
        <w:numPr>
          <w:ilvl w:val="0"/>
          <w:numId w:val="17"/>
        </w:numPr>
        <w:tabs>
          <w:tab w:val="clear" w:pos="-360"/>
          <w:tab w:val="num" w:pos="0"/>
        </w:tabs>
        <w:ind w:left="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Strany hodlají uzavřít tuto Smlouvu</w:t>
      </w:r>
      <w:r w:rsidR="00502342" w:rsidRPr="002D74AC">
        <w:rPr>
          <w:rFonts w:asciiTheme="minorHAnsi" w:hAnsiTheme="minorHAnsi" w:cstheme="minorHAnsi"/>
          <w:color w:val="auto"/>
          <w:sz w:val="20"/>
          <w:szCs w:val="20"/>
          <w:lang w:val="cs-CZ"/>
        </w:rPr>
        <w:t xml:space="preserve"> za účelem specifikace Služeb poskytovaných Subdodavatelem.</w:t>
      </w:r>
    </w:p>
    <w:p w14:paraId="1DC8175B" w14:textId="77777777" w:rsidR="006A702C" w:rsidRPr="002D74AC" w:rsidRDefault="006A702C">
      <w:pPr>
        <w:tabs>
          <w:tab w:val="num" w:pos="0"/>
        </w:tabs>
        <w:ind w:hanging="540"/>
        <w:jc w:val="both"/>
        <w:rPr>
          <w:rFonts w:asciiTheme="minorHAnsi" w:hAnsiTheme="minorHAnsi" w:cstheme="minorHAnsi"/>
          <w:color w:val="auto"/>
          <w:sz w:val="20"/>
          <w:szCs w:val="20"/>
          <w:lang w:val="cs-CZ"/>
        </w:rPr>
      </w:pPr>
    </w:p>
    <w:p w14:paraId="2034B2CF" w14:textId="77777777" w:rsidR="009E0BF9" w:rsidRPr="002D74AC" w:rsidRDefault="009E0BF9" w:rsidP="009E0BF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Strany se </w:t>
      </w:r>
      <w:r w:rsidR="004315B7" w:rsidRPr="002D74AC">
        <w:rPr>
          <w:rFonts w:asciiTheme="minorHAnsi" w:hAnsiTheme="minorHAnsi" w:cstheme="minorHAnsi"/>
          <w:color w:val="auto"/>
          <w:sz w:val="20"/>
          <w:szCs w:val="20"/>
          <w:lang w:val="cs-CZ"/>
        </w:rPr>
        <w:t>na</w:t>
      </w:r>
      <w:r w:rsidR="00502342" w:rsidRPr="002D74AC">
        <w:rPr>
          <w:rFonts w:asciiTheme="minorHAnsi" w:hAnsiTheme="minorHAnsi" w:cstheme="minorHAnsi"/>
          <w:color w:val="auto"/>
          <w:sz w:val="20"/>
          <w:szCs w:val="20"/>
          <w:lang w:val="cs-CZ"/>
        </w:rPr>
        <w:t xml:space="preserve"> základě výše uvedených skutečností </w:t>
      </w:r>
      <w:r w:rsidRPr="002D74AC">
        <w:rPr>
          <w:rFonts w:asciiTheme="minorHAnsi" w:hAnsiTheme="minorHAnsi" w:cstheme="minorHAnsi"/>
          <w:color w:val="auto"/>
          <w:sz w:val="20"/>
          <w:szCs w:val="20"/>
          <w:lang w:val="cs-CZ"/>
        </w:rPr>
        <w:t xml:space="preserve">dohodly na následujícím: </w:t>
      </w:r>
    </w:p>
    <w:p w14:paraId="20BC843F" w14:textId="1EAA5D12" w:rsidR="006A702C" w:rsidRPr="002D74AC" w:rsidRDefault="006A702C">
      <w:pPr>
        <w:jc w:val="both"/>
        <w:rPr>
          <w:rFonts w:asciiTheme="minorHAnsi" w:hAnsiTheme="minorHAnsi" w:cstheme="minorHAnsi"/>
          <w:color w:val="auto"/>
          <w:sz w:val="20"/>
          <w:szCs w:val="20"/>
          <w:lang w:val="cs-CZ"/>
        </w:rPr>
      </w:pPr>
    </w:p>
    <w:p w14:paraId="08C13FBA" w14:textId="77777777" w:rsidR="00EA20C9" w:rsidRPr="002D74AC" w:rsidRDefault="00EA20C9">
      <w:pPr>
        <w:jc w:val="both"/>
        <w:rPr>
          <w:rFonts w:asciiTheme="minorHAnsi" w:hAnsiTheme="minorHAnsi" w:cstheme="minorHAnsi"/>
          <w:color w:val="auto"/>
          <w:sz w:val="20"/>
          <w:szCs w:val="20"/>
          <w:lang w:val="cs-CZ"/>
        </w:rPr>
      </w:pPr>
    </w:p>
    <w:p w14:paraId="7B2A1E94" w14:textId="77777777" w:rsidR="006A702C" w:rsidRPr="002D74AC" w:rsidRDefault="009E0BF9" w:rsidP="004E5571">
      <w:pPr>
        <w:keepNext/>
        <w:keepLines/>
        <w:numPr>
          <w:ilvl w:val="0"/>
          <w:numId w:val="6"/>
        </w:numPr>
        <w:tabs>
          <w:tab w:val="clear" w:pos="360"/>
          <w:tab w:val="num" w:pos="-2520"/>
        </w:tabs>
        <w:ind w:left="0"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lastRenderedPageBreak/>
        <w:t>SLUŽBY</w:t>
      </w:r>
    </w:p>
    <w:p w14:paraId="19E40EBA" w14:textId="77777777" w:rsidR="006A702C" w:rsidRPr="002D74AC" w:rsidRDefault="006A702C" w:rsidP="00D06903">
      <w:pPr>
        <w:keepNext/>
        <w:keepLines/>
        <w:ind w:left="284"/>
        <w:jc w:val="both"/>
        <w:rPr>
          <w:rFonts w:asciiTheme="minorHAnsi" w:hAnsiTheme="minorHAnsi" w:cstheme="minorHAnsi"/>
          <w:color w:val="auto"/>
          <w:sz w:val="20"/>
          <w:szCs w:val="20"/>
          <w:lang w:val="cs-CZ"/>
        </w:rPr>
      </w:pPr>
    </w:p>
    <w:p w14:paraId="5D15ABE4" w14:textId="79CF50A8" w:rsidR="0070429F" w:rsidRPr="002D74AC" w:rsidRDefault="009E0BF9" w:rsidP="004E5571">
      <w:pPr>
        <w:pStyle w:val="Zkladntextodsazen2"/>
        <w:keepNext/>
        <w:keepLines/>
        <w:numPr>
          <w:ilvl w:val="0"/>
          <w:numId w:val="19"/>
        </w:numPr>
        <w:spacing w:before="0" w:after="0"/>
        <w:ind w:left="0" w:hanging="567"/>
        <w:rPr>
          <w:rFonts w:asciiTheme="minorHAnsi" w:hAnsiTheme="minorHAnsi" w:cstheme="minorHAnsi"/>
          <w:sz w:val="20"/>
          <w:lang w:val="cs-CZ"/>
        </w:rPr>
      </w:pPr>
      <w:r w:rsidRPr="002D74AC">
        <w:rPr>
          <w:rFonts w:asciiTheme="minorHAnsi" w:hAnsiTheme="minorHAnsi" w:cstheme="minorHAnsi"/>
          <w:sz w:val="20"/>
          <w:lang w:val="cs-CZ"/>
        </w:rPr>
        <w:t>Subdodavatel se zavazuje poskyt</w:t>
      </w:r>
      <w:r w:rsidR="002552EB" w:rsidRPr="002D74AC">
        <w:rPr>
          <w:rFonts w:asciiTheme="minorHAnsi" w:hAnsiTheme="minorHAnsi" w:cstheme="minorHAnsi"/>
          <w:sz w:val="20"/>
          <w:lang w:val="cs-CZ"/>
        </w:rPr>
        <w:t>ovat</w:t>
      </w:r>
      <w:r w:rsidRPr="002D74AC">
        <w:rPr>
          <w:rFonts w:asciiTheme="minorHAnsi" w:hAnsiTheme="minorHAnsi" w:cstheme="minorHAnsi"/>
          <w:sz w:val="20"/>
          <w:lang w:val="cs-CZ"/>
        </w:rPr>
        <w:t xml:space="preserve"> služby (dále jen „</w:t>
      </w:r>
      <w:r w:rsidRPr="002D74AC">
        <w:rPr>
          <w:rFonts w:asciiTheme="minorHAnsi" w:hAnsiTheme="minorHAnsi" w:cstheme="minorHAnsi"/>
          <w:b/>
          <w:sz w:val="20"/>
          <w:lang w:val="cs-CZ"/>
        </w:rPr>
        <w:t>Služby</w:t>
      </w:r>
      <w:r w:rsidRPr="002D74AC">
        <w:rPr>
          <w:rFonts w:asciiTheme="minorHAnsi" w:hAnsiTheme="minorHAnsi" w:cstheme="minorHAnsi"/>
          <w:sz w:val="20"/>
          <w:lang w:val="cs-CZ"/>
        </w:rPr>
        <w:t>“) a dodat výstupy (dále jen „</w:t>
      </w:r>
      <w:r w:rsidRPr="002D74AC">
        <w:rPr>
          <w:rFonts w:asciiTheme="minorHAnsi" w:hAnsiTheme="minorHAnsi" w:cstheme="minorHAnsi"/>
          <w:b/>
          <w:sz w:val="20"/>
          <w:lang w:val="cs-CZ"/>
        </w:rPr>
        <w:t>Výstupy</w:t>
      </w:r>
      <w:r w:rsidRPr="002D74AC">
        <w:rPr>
          <w:rFonts w:asciiTheme="minorHAnsi" w:hAnsiTheme="minorHAnsi" w:cstheme="minorHAnsi"/>
          <w:sz w:val="20"/>
          <w:lang w:val="cs-CZ"/>
        </w:rPr>
        <w:t xml:space="preserve">“) v rozsahu uvedeném v Popisu Služeb za cenu dohodnutou v této Smlouvě. Popis Služeb je </w:t>
      </w:r>
      <w:r w:rsidR="00085872" w:rsidRPr="002D74AC">
        <w:rPr>
          <w:rFonts w:asciiTheme="minorHAnsi" w:hAnsiTheme="minorHAnsi" w:cstheme="minorHAnsi"/>
          <w:sz w:val="20"/>
          <w:lang w:val="cs-CZ"/>
        </w:rPr>
        <w:t>zahrnut v příloze A</w:t>
      </w:r>
      <w:r w:rsidRPr="002D74AC">
        <w:rPr>
          <w:rFonts w:asciiTheme="minorHAnsi" w:hAnsiTheme="minorHAnsi" w:cstheme="minorHAnsi"/>
          <w:sz w:val="20"/>
          <w:lang w:val="cs-CZ"/>
        </w:rPr>
        <w:t xml:space="preserve"> této Smlouvy</w:t>
      </w:r>
      <w:r w:rsidR="00085872" w:rsidRPr="002D74AC">
        <w:rPr>
          <w:rFonts w:asciiTheme="minorHAnsi" w:hAnsiTheme="minorHAnsi" w:cstheme="minorHAnsi"/>
          <w:sz w:val="20"/>
          <w:lang w:val="cs-CZ"/>
        </w:rPr>
        <w:t xml:space="preserve">, která </w:t>
      </w:r>
      <w:r w:rsidRPr="002D74AC">
        <w:rPr>
          <w:rFonts w:asciiTheme="minorHAnsi" w:hAnsiTheme="minorHAnsi" w:cstheme="minorHAnsi"/>
          <w:sz w:val="20"/>
          <w:lang w:val="cs-CZ"/>
        </w:rPr>
        <w:t>tvoří její nedílnou součást. Deloitte je oprávněn</w:t>
      </w:r>
      <w:r w:rsidR="00B13F5B" w:rsidRPr="002D74AC">
        <w:rPr>
          <w:rFonts w:asciiTheme="minorHAnsi" w:hAnsiTheme="minorHAnsi" w:cstheme="minorHAnsi"/>
          <w:sz w:val="20"/>
          <w:lang w:val="cs-CZ"/>
        </w:rPr>
        <w:t>a</w:t>
      </w:r>
      <w:r w:rsidRPr="002D74AC">
        <w:rPr>
          <w:rFonts w:asciiTheme="minorHAnsi" w:hAnsiTheme="minorHAnsi" w:cstheme="minorHAnsi"/>
          <w:sz w:val="20"/>
          <w:lang w:val="cs-CZ"/>
        </w:rPr>
        <w:t xml:space="preserve"> požadovat změny v Popisu Služeb. Subdodavatel předloží Deloitte specifikaci dopadů takto požadované změny. Změny, které Deloitte akceptuje, budou </w:t>
      </w:r>
      <w:r w:rsidR="009D19C1" w:rsidRPr="002D74AC">
        <w:rPr>
          <w:rFonts w:asciiTheme="minorHAnsi" w:hAnsiTheme="minorHAnsi" w:cstheme="minorHAnsi"/>
          <w:sz w:val="20"/>
          <w:lang w:val="cs-CZ"/>
        </w:rPr>
        <w:t xml:space="preserve">uvedeny </w:t>
      </w:r>
      <w:r w:rsidRPr="002D74AC">
        <w:rPr>
          <w:rFonts w:asciiTheme="minorHAnsi" w:hAnsiTheme="minorHAnsi" w:cstheme="minorHAnsi"/>
          <w:sz w:val="20"/>
          <w:lang w:val="cs-CZ"/>
        </w:rPr>
        <w:t xml:space="preserve">v dodatku k Popisu Služeb nebo ve změnovém listu podepsaném oběma Stranami. Pokud není </w:t>
      </w:r>
      <w:r w:rsidR="00D813A0" w:rsidRPr="002D74AC">
        <w:rPr>
          <w:rFonts w:asciiTheme="minorHAnsi" w:hAnsiTheme="minorHAnsi" w:cstheme="minorHAnsi"/>
          <w:sz w:val="20"/>
          <w:lang w:val="cs-CZ"/>
        </w:rPr>
        <w:t xml:space="preserve">v Popisu Služeb </w:t>
      </w:r>
      <w:r w:rsidRPr="002D74AC">
        <w:rPr>
          <w:rFonts w:asciiTheme="minorHAnsi" w:hAnsiTheme="minorHAnsi" w:cstheme="minorHAnsi"/>
          <w:sz w:val="20"/>
          <w:lang w:val="cs-CZ"/>
        </w:rPr>
        <w:t xml:space="preserve">dohodnuto jinak, Subdodavatel začne </w:t>
      </w:r>
      <w:r w:rsidR="009D19C1" w:rsidRPr="002D74AC">
        <w:rPr>
          <w:rFonts w:asciiTheme="minorHAnsi" w:hAnsiTheme="minorHAnsi" w:cstheme="minorHAnsi"/>
          <w:sz w:val="20"/>
          <w:lang w:val="cs-CZ"/>
        </w:rPr>
        <w:t xml:space="preserve">s poskytováním jakýchkoli Služeb či s činnostmi vedoucími k poskytování Služeb </w:t>
      </w:r>
      <w:r w:rsidRPr="002D74AC">
        <w:rPr>
          <w:rFonts w:asciiTheme="minorHAnsi" w:hAnsiTheme="minorHAnsi" w:cstheme="minorHAnsi"/>
          <w:sz w:val="20"/>
          <w:lang w:val="cs-CZ"/>
        </w:rPr>
        <w:t>až po</w:t>
      </w:r>
      <w:r w:rsidR="009D19C1" w:rsidRPr="002D74AC">
        <w:rPr>
          <w:rFonts w:asciiTheme="minorHAnsi" w:hAnsiTheme="minorHAnsi" w:cstheme="minorHAnsi"/>
          <w:sz w:val="20"/>
          <w:lang w:val="cs-CZ"/>
        </w:rPr>
        <w:t>té, co obdrží</w:t>
      </w:r>
      <w:r w:rsidRPr="002D74AC">
        <w:rPr>
          <w:rFonts w:asciiTheme="minorHAnsi" w:hAnsiTheme="minorHAnsi" w:cstheme="minorHAnsi"/>
          <w:sz w:val="20"/>
          <w:lang w:val="cs-CZ"/>
        </w:rPr>
        <w:t xml:space="preserve"> </w:t>
      </w:r>
      <w:r w:rsidR="009D19C1" w:rsidRPr="002D74AC">
        <w:rPr>
          <w:rFonts w:asciiTheme="minorHAnsi" w:hAnsiTheme="minorHAnsi" w:cstheme="minorHAnsi"/>
          <w:sz w:val="20"/>
          <w:lang w:val="cs-CZ"/>
        </w:rPr>
        <w:t xml:space="preserve">jednoznačné </w:t>
      </w:r>
      <w:r w:rsidRPr="002D74AC">
        <w:rPr>
          <w:rFonts w:asciiTheme="minorHAnsi" w:hAnsiTheme="minorHAnsi" w:cstheme="minorHAnsi"/>
          <w:sz w:val="20"/>
          <w:lang w:val="cs-CZ"/>
        </w:rPr>
        <w:t>písemné instrukce ze strany Deloitte.</w:t>
      </w:r>
      <w:r w:rsidR="00D06E24" w:rsidRPr="002D74AC">
        <w:rPr>
          <w:rFonts w:asciiTheme="minorHAnsi" w:hAnsiTheme="minorHAnsi" w:cstheme="minorHAnsi"/>
          <w:sz w:val="20"/>
          <w:lang w:val="cs-CZ"/>
        </w:rPr>
        <w:t xml:space="preserve"> </w:t>
      </w:r>
    </w:p>
    <w:p w14:paraId="23703E1E" w14:textId="77777777" w:rsidR="0070429F" w:rsidRPr="002D74AC" w:rsidRDefault="0070429F" w:rsidP="0012455A">
      <w:pPr>
        <w:pStyle w:val="Zkladntextodsazen2"/>
        <w:spacing w:before="0" w:after="0"/>
        <w:ind w:left="0" w:hanging="567"/>
        <w:rPr>
          <w:rFonts w:asciiTheme="minorHAnsi" w:hAnsiTheme="minorHAnsi" w:cstheme="minorHAnsi"/>
          <w:sz w:val="20"/>
          <w:lang w:val="cs-CZ"/>
        </w:rPr>
      </w:pPr>
    </w:p>
    <w:p w14:paraId="19671D85" w14:textId="4611A736" w:rsidR="0070429F" w:rsidRPr="002D74AC" w:rsidRDefault="0070429F">
      <w:pPr>
        <w:pStyle w:val="Zkladntextodsazen2"/>
        <w:spacing w:before="0" w:after="0"/>
        <w:ind w:left="0" w:firstLine="0"/>
        <w:rPr>
          <w:rFonts w:asciiTheme="minorHAnsi" w:hAnsiTheme="minorHAnsi" w:cstheme="minorHAnsi"/>
          <w:sz w:val="20"/>
          <w:lang w:val="cs-CZ"/>
        </w:rPr>
      </w:pPr>
    </w:p>
    <w:p w14:paraId="049DB029" w14:textId="77777777" w:rsidR="006A702C" w:rsidRPr="002D74AC" w:rsidRDefault="00502342" w:rsidP="004E5571">
      <w:pPr>
        <w:numPr>
          <w:ilvl w:val="0"/>
          <w:numId w:val="6"/>
        </w:numPr>
        <w:tabs>
          <w:tab w:val="clear" w:pos="360"/>
        </w:tabs>
        <w:ind w:left="0"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 xml:space="preserve">TERMÍNY </w:t>
      </w:r>
      <w:r w:rsidR="00D813A0" w:rsidRPr="002D74AC">
        <w:rPr>
          <w:rFonts w:asciiTheme="minorHAnsi" w:hAnsiTheme="minorHAnsi" w:cstheme="minorHAnsi"/>
          <w:b/>
          <w:bCs/>
          <w:color w:val="auto"/>
          <w:sz w:val="20"/>
          <w:szCs w:val="20"/>
          <w:lang w:val="cs-CZ"/>
        </w:rPr>
        <w:t xml:space="preserve">PLNĚNÍ A HARMONOGRAM </w:t>
      </w:r>
    </w:p>
    <w:p w14:paraId="307BD45C" w14:textId="77777777" w:rsidR="0070429F" w:rsidRPr="002D74AC" w:rsidRDefault="0070429F" w:rsidP="0070429F">
      <w:pPr>
        <w:tabs>
          <w:tab w:val="left" w:pos="1530"/>
        </w:tabs>
        <w:jc w:val="both"/>
        <w:rPr>
          <w:rFonts w:asciiTheme="minorHAnsi" w:hAnsiTheme="minorHAnsi" w:cstheme="minorHAnsi"/>
          <w:color w:val="auto"/>
          <w:sz w:val="20"/>
          <w:szCs w:val="20"/>
          <w:lang w:val="cs-CZ"/>
        </w:rPr>
      </w:pPr>
    </w:p>
    <w:p w14:paraId="573901E5" w14:textId="3C45A884" w:rsidR="0070429F" w:rsidRPr="002D74AC" w:rsidRDefault="0070429F" w:rsidP="0070429F">
      <w:pPr>
        <w:ind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A.</w:t>
      </w:r>
      <w:r w:rsidRPr="002D74AC">
        <w:rPr>
          <w:rFonts w:asciiTheme="minorHAnsi" w:hAnsiTheme="minorHAnsi" w:cstheme="minorHAnsi"/>
          <w:color w:val="auto"/>
          <w:sz w:val="20"/>
          <w:szCs w:val="20"/>
          <w:lang w:val="cs-CZ"/>
        </w:rPr>
        <w:tab/>
      </w:r>
      <w:r w:rsidR="00D813A0" w:rsidRPr="002D74AC">
        <w:rPr>
          <w:rFonts w:asciiTheme="minorHAnsi" w:hAnsiTheme="minorHAnsi" w:cstheme="minorHAnsi"/>
          <w:color w:val="auto"/>
          <w:sz w:val="20"/>
          <w:szCs w:val="20"/>
          <w:lang w:val="cs-CZ"/>
        </w:rPr>
        <w:t xml:space="preserve">Tato Smlouva je uzavřena na dobu neurčitou </w:t>
      </w:r>
      <w:r w:rsidRPr="002D74AC">
        <w:rPr>
          <w:rFonts w:asciiTheme="minorHAnsi" w:hAnsiTheme="minorHAnsi" w:cstheme="minorHAnsi"/>
          <w:color w:val="auto"/>
          <w:sz w:val="20"/>
          <w:szCs w:val="20"/>
          <w:lang w:val="cs-CZ"/>
        </w:rPr>
        <w:t>(</w:t>
      </w:r>
      <w:r w:rsidR="00D813A0" w:rsidRPr="002D74AC">
        <w:rPr>
          <w:rFonts w:asciiTheme="minorHAnsi" w:hAnsiTheme="minorHAnsi" w:cstheme="minorHAnsi"/>
          <w:color w:val="auto"/>
          <w:sz w:val="20"/>
          <w:szCs w:val="20"/>
          <w:lang w:val="cs-CZ"/>
        </w:rPr>
        <w:t>dále jen „</w:t>
      </w:r>
      <w:r w:rsidR="00D813A0" w:rsidRPr="002D74AC">
        <w:rPr>
          <w:rFonts w:asciiTheme="minorHAnsi" w:hAnsiTheme="minorHAnsi" w:cstheme="minorHAnsi"/>
          <w:b/>
          <w:color w:val="auto"/>
          <w:sz w:val="20"/>
          <w:szCs w:val="20"/>
          <w:lang w:val="cs-CZ"/>
        </w:rPr>
        <w:t>Doba trvání</w:t>
      </w:r>
      <w:r w:rsidRPr="002D74AC">
        <w:rPr>
          <w:rFonts w:asciiTheme="minorHAnsi" w:hAnsiTheme="minorHAnsi" w:cstheme="minorHAnsi"/>
          <w:color w:val="auto"/>
          <w:sz w:val="20"/>
          <w:szCs w:val="20"/>
          <w:lang w:val="cs-CZ"/>
        </w:rPr>
        <w:t>”)</w:t>
      </w:r>
      <w:r w:rsidR="00745AB6">
        <w:rPr>
          <w:rFonts w:asciiTheme="minorHAnsi" w:hAnsiTheme="minorHAnsi" w:cstheme="minorHAnsi"/>
          <w:color w:val="auto"/>
          <w:sz w:val="20"/>
          <w:szCs w:val="20"/>
          <w:lang w:val="cs-CZ"/>
        </w:rPr>
        <w:t xml:space="preserve"> a je účinná ode dne 6.12.2023; p</w:t>
      </w:r>
      <w:r w:rsidR="00745AB6" w:rsidRPr="00745AB6">
        <w:rPr>
          <w:rFonts w:asciiTheme="minorHAnsi" w:hAnsiTheme="minorHAnsi" w:cstheme="minorHAnsi"/>
          <w:color w:val="auto"/>
          <w:sz w:val="20"/>
          <w:szCs w:val="20"/>
          <w:lang w:val="cs-CZ"/>
        </w:rPr>
        <w:t xml:space="preserve">okud byla tato Smlouva uzavřena a podepsána později, </w:t>
      </w:r>
      <w:r w:rsidR="00745AB6">
        <w:rPr>
          <w:rFonts w:asciiTheme="minorHAnsi" w:hAnsiTheme="minorHAnsi" w:cstheme="minorHAnsi"/>
          <w:color w:val="auto"/>
          <w:sz w:val="20"/>
          <w:szCs w:val="20"/>
          <w:lang w:val="cs-CZ"/>
        </w:rPr>
        <w:t>S</w:t>
      </w:r>
      <w:r w:rsidR="00745AB6" w:rsidRPr="00745AB6">
        <w:rPr>
          <w:rFonts w:asciiTheme="minorHAnsi" w:hAnsiTheme="minorHAnsi" w:cstheme="minorHAnsi"/>
          <w:color w:val="auto"/>
          <w:sz w:val="20"/>
          <w:szCs w:val="20"/>
          <w:lang w:val="cs-CZ"/>
        </w:rPr>
        <w:t xml:space="preserve">trany souhlasí, že tato Smlouva je účinná zpětně v souladu s příslušnými právními předpisy, nebo potvrzují, že celá tato Smlouva představuje písemné potvrzení předchozí ústní dohody uzavřené mezi </w:t>
      </w:r>
      <w:r w:rsidR="00745AB6">
        <w:rPr>
          <w:rFonts w:asciiTheme="minorHAnsi" w:hAnsiTheme="minorHAnsi" w:cstheme="minorHAnsi"/>
          <w:color w:val="auto"/>
          <w:sz w:val="20"/>
          <w:szCs w:val="20"/>
          <w:lang w:val="cs-CZ"/>
        </w:rPr>
        <w:t>S</w:t>
      </w:r>
      <w:r w:rsidR="00745AB6" w:rsidRPr="00745AB6">
        <w:rPr>
          <w:rFonts w:asciiTheme="minorHAnsi" w:hAnsiTheme="minorHAnsi" w:cstheme="minorHAnsi"/>
          <w:color w:val="auto"/>
          <w:sz w:val="20"/>
          <w:szCs w:val="20"/>
          <w:lang w:val="cs-CZ"/>
        </w:rPr>
        <w:t>tranami</w:t>
      </w:r>
      <w:r w:rsidRPr="002D74AC">
        <w:rPr>
          <w:rFonts w:asciiTheme="minorHAnsi" w:hAnsiTheme="minorHAnsi" w:cstheme="minorHAnsi"/>
          <w:color w:val="auto"/>
          <w:sz w:val="20"/>
          <w:szCs w:val="20"/>
          <w:lang w:val="cs-CZ"/>
        </w:rPr>
        <w:t>.</w:t>
      </w:r>
    </w:p>
    <w:p w14:paraId="410A8FD3" w14:textId="77777777" w:rsidR="006A702C" w:rsidRPr="002D74AC" w:rsidRDefault="006A702C">
      <w:pPr>
        <w:ind w:hanging="540"/>
        <w:jc w:val="both"/>
        <w:rPr>
          <w:rFonts w:asciiTheme="minorHAnsi" w:hAnsiTheme="minorHAnsi" w:cstheme="minorHAnsi"/>
          <w:color w:val="auto"/>
          <w:sz w:val="20"/>
          <w:szCs w:val="20"/>
          <w:lang w:val="cs-CZ"/>
        </w:rPr>
      </w:pPr>
    </w:p>
    <w:p w14:paraId="4D3C5F21" w14:textId="221B5957" w:rsidR="00D813A0" w:rsidRPr="002D74AC" w:rsidRDefault="00D813A0" w:rsidP="004E5571">
      <w:pPr>
        <w:numPr>
          <w:ilvl w:val="0"/>
          <w:numId w:val="7"/>
        </w:numPr>
        <w:tabs>
          <w:tab w:val="clear" w:pos="1004"/>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bude poskytovat Služby v souladu s harmonogramem stanoveným v Popisu Služeb.</w:t>
      </w:r>
      <w:r w:rsidR="00502342" w:rsidRPr="002D74AC">
        <w:rPr>
          <w:rFonts w:asciiTheme="minorHAnsi" w:hAnsiTheme="minorHAnsi" w:cstheme="minorHAnsi"/>
          <w:color w:val="auto"/>
          <w:sz w:val="20"/>
          <w:szCs w:val="20"/>
          <w:lang w:val="cs-CZ"/>
        </w:rPr>
        <w:t xml:space="preserve"> Je-li harmonogram plnění Služeb předem podrobně stanoven, </w:t>
      </w:r>
      <w:r w:rsidR="004315B7" w:rsidRPr="002D74AC">
        <w:rPr>
          <w:rFonts w:asciiTheme="minorHAnsi" w:hAnsiTheme="minorHAnsi" w:cstheme="minorHAnsi"/>
          <w:color w:val="auto"/>
          <w:sz w:val="20"/>
          <w:szCs w:val="20"/>
          <w:lang w:val="cs-CZ"/>
        </w:rPr>
        <w:t>Subdodavatel</w:t>
      </w:r>
      <w:r w:rsidR="00502342" w:rsidRPr="002D74AC">
        <w:rPr>
          <w:rFonts w:asciiTheme="minorHAnsi" w:hAnsiTheme="minorHAnsi" w:cstheme="minorHAnsi"/>
          <w:color w:val="auto"/>
          <w:sz w:val="20"/>
          <w:szCs w:val="20"/>
          <w:lang w:val="cs-CZ"/>
        </w:rPr>
        <w:t xml:space="preserve"> musí dbát na jeho svědomité dodržování. Pokud </w:t>
      </w:r>
      <w:r w:rsidR="004315B7" w:rsidRPr="002D74AC">
        <w:rPr>
          <w:rFonts w:asciiTheme="minorHAnsi" w:hAnsiTheme="minorHAnsi" w:cstheme="minorHAnsi"/>
          <w:color w:val="auto"/>
          <w:sz w:val="20"/>
          <w:szCs w:val="20"/>
          <w:lang w:val="cs-CZ"/>
        </w:rPr>
        <w:t xml:space="preserve">Subdodavatel </w:t>
      </w:r>
      <w:r w:rsidR="00502342" w:rsidRPr="002D74AC">
        <w:rPr>
          <w:rFonts w:asciiTheme="minorHAnsi" w:hAnsiTheme="minorHAnsi" w:cstheme="minorHAnsi"/>
          <w:color w:val="auto"/>
          <w:sz w:val="20"/>
          <w:szCs w:val="20"/>
          <w:lang w:val="cs-CZ"/>
        </w:rPr>
        <w:t>nemůže splnit dodací podmínky, je povinen bezodkladně Deloitte informovat o novém termínu dodání a Deloitte následně může (i) odložit datum dodání nebo (</w:t>
      </w:r>
      <w:proofErr w:type="spellStart"/>
      <w:r w:rsidR="00502342" w:rsidRPr="002D74AC">
        <w:rPr>
          <w:rFonts w:asciiTheme="minorHAnsi" w:hAnsiTheme="minorHAnsi" w:cstheme="minorHAnsi"/>
          <w:color w:val="auto"/>
          <w:sz w:val="20"/>
          <w:szCs w:val="20"/>
          <w:lang w:val="cs-CZ"/>
        </w:rPr>
        <w:t>ii</w:t>
      </w:r>
      <w:proofErr w:type="spellEnd"/>
      <w:r w:rsidR="00502342" w:rsidRPr="002D74AC">
        <w:rPr>
          <w:rFonts w:asciiTheme="minorHAnsi" w:hAnsiTheme="minorHAnsi" w:cstheme="minorHAnsi"/>
          <w:color w:val="auto"/>
          <w:sz w:val="20"/>
          <w:szCs w:val="20"/>
          <w:lang w:val="cs-CZ"/>
        </w:rPr>
        <w:t>) přistoupit k veškerým nápravným opatřením dle svého uvážení, zejména mj. k ukončení Smlouvy v souladu s článkem 6 níže anebo (</w:t>
      </w:r>
      <w:proofErr w:type="spellStart"/>
      <w:r w:rsidR="00502342" w:rsidRPr="002D74AC">
        <w:rPr>
          <w:rFonts w:asciiTheme="minorHAnsi" w:hAnsiTheme="minorHAnsi" w:cstheme="minorHAnsi"/>
          <w:color w:val="auto"/>
          <w:sz w:val="20"/>
          <w:szCs w:val="20"/>
          <w:lang w:val="cs-CZ"/>
        </w:rPr>
        <w:t>iii</w:t>
      </w:r>
      <w:proofErr w:type="spellEnd"/>
      <w:r w:rsidR="00502342" w:rsidRPr="002D74AC">
        <w:rPr>
          <w:rFonts w:asciiTheme="minorHAnsi" w:hAnsiTheme="minorHAnsi" w:cstheme="minorHAnsi"/>
          <w:color w:val="auto"/>
          <w:sz w:val="20"/>
          <w:szCs w:val="20"/>
          <w:lang w:val="cs-CZ"/>
        </w:rPr>
        <w:t xml:space="preserve">) případně podniknout další kroky k nápravě v souladu s platnými zákony. </w:t>
      </w:r>
    </w:p>
    <w:p w14:paraId="201A47C9" w14:textId="2533EE81" w:rsidR="006A702C" w:rsidRPr="002D74AC" w:rsidRDefault="006A702C">
      <w:pPr>
        <w:jc w:val="both"/>
        <w:rPr>
          <w:rFonts w:asciiTheme="minorHAnsi" w:hAnsiTheme="minorHAnsi" w:cstheme="minorHAnsi"/>
          <w:color w:val="auto"/>
          <w:sz w:val="20"/>
          <w:szCs w:val="20"/>
          <w:lang w:val="cs-CZ"/>
        </w:rPr>
      </w:pPr>
    </w:p>
    <w:p w14:paraId="2B40B8D8" w14:textId="2081FAFC" w:rsidR="006A702C" w:rsidRPr="002D74AC" w:rsidRDefault="006A702C">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3.</w:t>
      </w:r>
      <w:r w:rsidRPr="002D74AC">
        <w:rPr>
          <w:rFonts w:asciiTheme="minorHAnsi" w:hAnsiTheme="minorHAnsi" w:cstheme="minorHAnsi"/>
          <w:b/>
          <w:bCs/>
          <w:color w:val="auto"/>
          <w:sz w:val="20"/>
          <w:szCs w:val="20"/>
          <w:lang w:val="cs-CZ"/>
        </w:rPr>
        <w:tab/>
      </w:r>
      <w:r w:rsidR="005879EB" w:rsidRPr="002D74AC">
        <w:rPr>
          <w:rFonts w:asciiTheme="minorHAnsi" w:hAnsiTheme="minorHAnsi" w:cstheme="minorHAnsi"/>
          <w:b/>
          <w:bCs/>
          <w:color w:val="auto"/>
          <w:sz w:val="20"/>
          <w:szCs w:val="20"/>
          <w:lang w:val="cs-CZ"/>
        </w:rPr>
        <w:t xml:space="preserve">POSTOUPENÍ </w:t>
      </w:r>
    </w:p>
    <w:p w14:paraId="6B728D77" w14:textId="77777777" w:rsidR="00664ADB" w:rsidRPr="002D74AC" w:rsidRDefault="00664ADB" w:rsidP="000C279E">
      <w:pPr>
        <w:tabs>
          <w:tab w:val="num" w:pos="0"/>
        </w:tabs>
        <w:ind w:hanging="1069"/>
        <w:jc w:val="both"/>
        <w:rPr>
          <w:rFonts w:asciiTheme="minorHAnsi" w:hAnsiTheme="minorHAnsi" w:cstheme="minorHAnsi"/>
          <w:sz w:val="20"/>
          <w:szCs w:val="20"/>
          <w:lang w:val="cs-CZ"/>
        </w:rPr>
      </w:pPr>
    </w:p>
    <w:p w14:paraId="34F89FBD" w14:textId="77777777" w:rsidR="00C52D51" w:rsidRPr="002D74AC" w:rsidRDefault="00C52D51" w:rsidP="004E5571">
      <w:pPr>
        <w:widowControl w:val="0"/>
        <w:numPr>
          <w:ilvl w:val="0"/>
          <w:numId w:val="22"/>
        </w:numPr>
        <w:tabs>
          <w:tab w:val="clear" w:pos="360"/>
        </w:tabs>
        <w:autoSpaceDE w:val="0"/>
        <w:autoSpaceDN w:val="0"/>
        <w:adjustRightInd w:val="0"/>
        <w:ind w:left="0" w:hanging="709"/>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nesmí postoupit tuto Smlouvu nebo převést výkon jakékoliv ze Služeb podle této Smlouvy na třetí osobu bez předchozího písemného souhlasu společnosti Deloitte. Společnost Deloitte je oprávněna tuto Smlouvu postoupit bez omezení, bez souhlasu Subdodavatele. Deloitte bude Subdodavatele informovat o takovém postoupení, jak nejdříve to bude možné.</w:t>
      </w:r>
    </w:p>
    <w:p w14:paraId="29ACC09F" w14:textId="77777777" w:rsidR="00C52D51" w:rsidRPr="002D74AC" w:rsidRDefault="00C52D51" w:rsidP="00C52D51">
      <w:pPr>
        <w:widowControl w:val="0"/>
        <w:autoSpaceDE w:val="0"/>
        <w:autoSpaceDN w:val="0"/>
        <w:adjustRightInd w:val="0"/>
        <w:jc w:val="both"/>
        <w:rPr>
          <w:rFonts w:asciiTheme="minorHAnsi" w:hAnsiTheme="minorHAnsi" w:cstheme="minorHAnsi"/>
          <w:color w:val="auto"/>
          <w:sz w:val="20"/>
          <w:szCs w:val="20"/>
          <w:lang w:val="cs-CZ"/>
        </w:rPr>
      </w:pPr>
    </w:p>
    <w:p w14:paraId="24A9FBC7" w14:textId="505D4AA7" w:rsidR="00664ADB" w:rsidRPr="002D74AC" w:rsidRDefault="00664ADB" w:rsidP="004E5571">
      <w:pPr>
        <w:pStyle w:val="Odstavecseseznamem"/>
        <w:widowControl w:val="0"/>
        <w:numPr>
          <w:ilvl w:val="0"/>
          <w:numId w:val="22"/>
        </w:numPr>
        <w:tabs>
          <w:tab w:val="clear" w:pos="360"/>
        </w:tabs>
        <w:autoSpaceDE w:val="0"/>
        <w:autoSpaceDN w:val="0"/>
        <w:adjustRightInd w:val="0"/>
        <w:ind w:left="0" w:hanging="709"/>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Pokud společnost Deloitte schválí poskytování Služeb (nebo jakékoliv </w:t>
      </w:r>
      <w:r w:rsidR="005234EE" w:rsidRPr="002D74AC">
        <w:rPr>
          <w:rFonts w:asciiTheme="minorHAnsi" w:hAnsiTheme="minorHAnsi" w:cstheme="minorHAnsi"/>
          <w:color w:val="auto"/>
          <w:sz w:val="20"/>
          <w:szCs w:val="20"/>
          <w:lang w:val="cs-CZ"/>
        </w:rPr>
        <w:t xml:space="preserve">jejich </w:t>
      </w:r>
      <w:r w:rsidRPr="002D74AC">
        <w:rPr>
          <w:rFonts w:asciiTheme="minorHAnsi" w:hAnsiTheme="minorHAnsi" w:cstheme="minorHAnsi"/>
          <w:color w:val="auto"/>
          <w:sz w:val="20"/>
          <w:szCs w:val="20"/>
          <w:lang w:val="cs-CZ"/>
        </w:rPr>
        <w:t>části) subdodavatelem Subdodavatel</w:t>
      </w:r>
      <w:r w:rsidR="00227DF1" w:rsidRPr="002D74AC">
        <w:rPr>
          <w:rFonts w:asciiTheme="minorHAnsi" w:hAnsiTheme="minorHAnsi" w:cstheme="minorHAnsi"/>
          <w:color w:val="auto"/>
          <w:sz w:val="20"/>
          <w:szCs w:val="20"/>
          <w:lang w:val="cs-CZ"/>
        </w:rPr>
        <w:t>e</w:t>
      </w:r>
      <w:r w:rsidRPr="002D74AC">
        <w:rPr>
          <w:rFonts w:asciiTheme="minorHAnsi" w:hAnsiTheme="minorHAnsi" w:cstheme="minorHAnsi"/>
          <w:color w:val="auto"/>
          <w:sz w:val="20"/>
          <w:szCs w:val="20"/>
          <w:lang w:val="cs-CZ"/>
        </w:rPr>
        <w:t xml:space="preserve"> (</w:t>
      </w:r>
      <w:r w:rsidR="00D57F0F" w:rsidRPr="002D74AC">
        <w:rPr>
          <w:rFonts w:asciiTheme="minorHAnsi" w:hAnsiTheme="minorHAnsi" w:cstheme="minorHAnsi"/>
          <w:color w:val="auto"/>
          <w:sz w:val="20"/>
          <w:szCs w:val="20"/>
          <w:lang w:val="cs-CZ"/>
        </w:rPr>
        <w:t xml:space="preserve">dále jen </w:t>
      </w:r>
      <w:r w:rsidR="00513326" w:rsidRPr="002D74AC">
        <w:rPr>
          <w:rFonts w:asciiTheme="minorHAnsi" w:hAnsiTheme="minorHAnsi" w:cstheme="minorHAnsi"/>
          <w:color w:val="auto"/>
          <w:sz w:val="20"/>
          <w:szCs w:val="20"/>
          <w:lang w:val="cs-CZ"/>
        </w:rPr>
        <w:t>„</w:t>
      </w:r>
      <w:r w:rsidR="00A15FDD" w:rsidRPr="002D74AC">
        <w:rPr>
          <w:rFonts w:asciiTheme="minorHAnsi" w:hAnsiTheme="minorHAnsi" w:cstheme="minorHAnsi"/>
          <w:b/>
          <w:color w:val="auto"/>
          <w:sz w:val="20"/>
          <w:szCs w:val="20"/>
          <w:lang w:val="cs-CZ"/>
        </w:rPr>
        <w:t xml:space="preserve">Další </w:t>
      </w:r>
      <w:r w:rsidRPr="002D74AC">
        <w:rPr>
          <w:rFonts w:asciiTheme="minorHAnsi" w:hAnsiTheme="minorHAnsi" w:cstheme="minorHAnsi"/>
          <w:b/>
          <w:color w:val="auto"/>
          <w:sz w:val="20"/>
          <w:szCs w:val="20"/>
          <w:lang w:val="cs-CZ"/>
        </w:rPr>
        <w:t>Subdodavatel</w:t>
      </w:r>
      <w:r w:rsidR="00513326"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 Subdodavatel:</w:t>
      </w:r>
    </w:p>
    <w:p w14:paraId="282CCA5A" w14:textId="77777777" w:rsidR="00664ADB" w:rsidRPr="002D74AC" w:rsidRDefault="00664ADB" w:rsidP="00664ADB">
      <w:pPr>
        <w:ind w:left="720"/>
        <w:contextualSpacing/>
        <w:rPr>
          <w:rFonts w:asciiTheme="minorHAnsi" w:hAnsiTheme="minorHAnsi" w:cstheme="minorHAnsi"/>
          <w:color w:val="auto"/>
          <w:sz w:val="20"/>
          <w:szCs w:val="20"/>
          <w:lang w:val="cs-CZ"/>
        </w:rPr>
      </w:pPr>
    </w:p>
    <w:p w14:paraId="595B95FE" w14:textId="14CD1A4D" w:rsidR="00664ADB" w:rsidRPr="002D74AC" w:rsidRDefault="00825B7E" w:rsidP="004E5571">
      <w:pPr>
        <w:widowControl w:val="0"/>
        <w:numPr>
          <w:ilvl w:val="0"/>
          <w:numId w:val="23"/>
        </w:numPr>
        <w:tabs>
          <w:tab w:val="num" w:pos="851"/>
        </w:tabs>
        <w:autoSpaceDE w:val="0"/>
        <w:autoSpaceDN w:val="0"/>
        <w:adjustRightInd w:val="0"/>
        <w:ind w:left="851" w:hanging="851"/>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zaváže</w:t>
      </w:r>
      <w:r w:rsidR="00664ADB" w:rsidRPr="002D74AC">
        <w:rPr>
          <w:rFonts w:asciiTheme="minorHAnsi" w:hAnsiTheme="minorHAnsi" w:cstheme="minorHAnsi"/>
          <w:color w:val="auto"/>
          <w:sz w:val="20"/>
          <w:szCs w:val="20"/>
          <w:lang w:val="cs-CZ"/>
        </w:rPr>
        <w:t xml:space="preserve"> </w:t>
      </w:r>
      <w:r w:rsidR="00A15FDD" w:rsidRPr="002D74AC">
        <w:rPr>
          <w:rFonts w:asciiTheme="minorHAnsi" w:hAnsiTheme="minorHAnsi" w:cstheme="minorHAnsi"/>
          <w:color w:val="auto"/>
          <w:sz w:val="20"/>
          <w:szCs w:val="20"/>
          <w:lang w:val="cs-CZ"/>
        </w:rPr>
        <w:t xml:space="preserve">Dalšího </w:t>
      </w:r>
      <w:r w:rsidRPr="002D74AC">
        <w:rPr>
          <w:rFonts w:asciiTheme="minorHAnsi" w:hAnsiTheme="minorHAnsi" w:cstheme="minorHAnsi"/>
          <w:color w:val="auto"/>
          <w:sz w:val="20"/>
          <w:szCs w:val="20"/>
          <w:lang w:val="cs-CZ"/>
        </w:rPr>
        <w:t>S</w:t>
      </w:r>
      <w:r w:rsidR="00664ADB" w:rsidRPr="002D74AC">
        <w:rPr>
          <w:rFonts w:asciiTheme="minorHAnsi" w:hAnsiTheme="minorHAnsi" w:cstheme="minorHAnsi"/>
          <w:color w:val="auto"/>
          <w:sz w:val="20"/>
          <w:szCs w:val="20"/>
          <w:lang w:val="cs-CZ"/>
        </w:rPr>
        <w:t>ubdodavatel</w:t>
      </w:r>
      <w:r w:rsidRPr="002D74AC">
        <w:rPr>
          <w:rFonts w:asciiTheme="minorHAnsi" w:hAnsiTheme="minorHAnsi" w:cstheme="minorHAnsi"/>
          <w:color w:val="auto"/>
          <w:sz w:val="20"/>
          <w:szCs w:val="20"/>
          <w:lang w:val="cs-CZ"/>
        </w:rPr>
        <w:t>e</w:t>
      </w:r>
      <w:r w:rsidR="00664ADB" w:rsidRPr="002D74AC">
        <w:rPr>
          <w:rFonts w:asciiTheme="minorHAnsi" w:hAnsiTheme="minorHAnsi" w:cstheme="minorHAnsi"/>
          <w:color w:val="auto"/>
          <w:sz w:val="20"/>
          <w:szCs w:val="20"/>
          <w:lang w:val="cs-CZ"/>
        </w:rPr>
        <w:t xml:space="preserve"> stejn</w:t>
      </w:r>
      <w:r w:rsidRPr="002D74AC">
        <w:rPr>
          <w:rFonts w:asciiTheme="minorHAnsi" w:hAnsiTheme="minorHAnsi" w:cstheme="minorHAnsi"/>
          <w:color w:val="auto"/>
          <w:sz w:val="20"/>
          <w:szCs w:val="20"/>
          <w:lang w:val="cs-CZ"/>
        </w:rPr>
        <w:t>ými</w:t>
      </w:r>
      <w:r w:rsidR="00664ADB" w:rsidRPr="002D74AC">
        <w:rPr>
          <w:rFonts w:asciiTheme="minorHAnsi" w:hAnsiTheme="minorHAnsi" w:cstheme="minorHAnsi"/>
          <w:color w:val="auto"/>
          <w:sz w:val="20"/>
          <w:szCs w:val="20"/>
          <w:lang w:val="cs-CZ"/>
        </w:rPr>
        <w:t xml:space="preserve"> povinnost</w:t>
      </w:r>
      <w:r w:rsidRPr="002D74AC">
        <w:rPr>
          <w:rFonts w:asciiTheme="minorHAnsi" w:hAnsiTheme="minorHAnsi" w:cstheme="minorHAnsi"/>
          <w:color w:val="auto"/>
          <w:sz w:val="20"/>
          <w:szCs w:val="20"/>
          <w:lang w:val="cs-CZ"/>
        </w:rPr>
        <w:t>m</w:t>
      </w:r>
      <w:r w:rsidR="00664ADB" w:rsidRPr="002D74AC">
        <w:rPr>
          <w:rFonts w:asciiTheme="minorHAnsi" w:hAnsiTheme="minorHAnsi" w:cstheme="minorHAnsi"/>
          <w:color w:val="auto"/>
          <w:sz w:val="20"/>
          <w:szCs w:val="20"/>
          <w:lang w:val="cs-CZ"/>
        </w:rPr>
        <w:t>i a záruk</w:t>
      </w:r>
      <w:r w:rsidRPr="002D74AC">
        <w:rPr>
          <w:rFonts w:asciiTheme="minorHAnsi" w:hAnsiTheme="minorHAnsi" w:cstheme="minorHAnsi"/>
          <w:color w:val="auto"/>
          <w:sz w:val="20"/>
          <w:szCs w:val="20"/>
          <w:lang w:val="cs-CZ"/>
        </w:rPr>
        <w:t>ami</w:t>
      </w:r>
      <w:r w:rsidR="00664ADB"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jakými je zavázán</w:t>
      </w:r>
      <w:r w:rsidR="00664ADB" w:rsidRPr="002D74AC">
        <w:rPr>
          <w:rFonts w:asciiTheme="minorHAnsi" w:hAnsiTheme="minorHAnsi" w:cstheme="minorHAnsi"/>
          <w:color w:val="auto"/>
          <w:sz w:val="20"/>
          <w:szCs w:val="20"/>
          <w:lang w:val="cs-CZ"/>
        </w:rPr>
        <w:t xml:space="preserve"> Subdodavatel podle článku 13;</w:t>
      </w:r>
    </w:p>
    <w:p w14:paraId="29960D10" w14:textId="1B76B6CC" w:rsidR="00664ADB" w:rsidRPr="002D74AC" w:rsidRDefault="00825B7E" w:rsidP="004E5571">
      <w:pPr>
        <w:widowControl w:val="0"/>
        <w:numPr>
          <w:ilvl w:val="0"/>
          <w:numId w:val="23"/>
        </w:numPr>
        <w:tabs>
          <w:tab w:val="num" w:pos="851"/>
        </w:tabs>
        <w:autoSpaceDE w:val="0"/>
        <w:autoSpaceDN w:val="0"/>
        <w:adjustRightInd w:val="0"/>
        <w:ind w:left="851" w:hanging="851"/>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stanoví</w:t>
      </w:r>
      <w:r w:rsidR="00664ADB" w:rsidRPr="002D74AC">
        <w:rPr>
          <w:rFonts w:asciiTheme="minorHAnsi" w:hAnsiTheme="minorHAnsi" w:cstheme="minorHAnsi"/>
          <w:color w:val="auto"/>
          <w:sz w:val="20"/>
          <w:szCs w:val="20"/>
          <w:lang w:val="cs-CZ"/>
        </w:rPr>
        <w:t xml:space="preserve"> povinnost </w:t>
      </w:r>
      <w:r w:rsidR="00A15FDD" w:rsidRPr="002D74AC">
        <w:rPr>
          <w:rFonts w:asciiTheme="minorHAnsi" w:hAnsiTheme="minorHAnsi" w:cstheme="minorHAnsi"/>
          <w:color w:val="auto"/>
          <w:sz w:val="20"/>
          <w:szCs w:val="20"/>
          <w:lang w:val="cs-CZ"/>
        </w:rPr>
        <w:t xml:space="preserve">Dalšího </w:t>
      </w:r>
      <w:r w:rsidRPr="002D74AC">
        <w:rPr>
          <w:rFonts w:asciiTheme="minorHAnsi" w:hAnsiTheme="minorHAnsi" w:cstheme="minorHAnsi"/>
          <w:color w:val="auto"/>
          <w:sz w:val="20"/>
          <w:szCs w:val="20"/>
          <w:lang w:val="cs-CZ"/>
        </w:rPr>
        <w:t>S</w:t>
      </w:r>
      <w:r w:rsidR="00664ADB" w:rsidRPr="002D74AC">
        <w:rPr>
          <w:rFonts w:asciiTheme="minorHAnsi" w:hAnsiTheme="minorHAnsi" w:cstheme="minorHAnsi"/>
          <w:color w:val="auto"/>
          <w:sz w:val="20"/>
          <w:szCs w:val="20"/>
          <w:lang w:val="cs-CZ"/>
        </w:rPr>
        <w:t xml:space="preserve">ubdodavatele </w:t>
      </w:r>
      <w:r w:rsidRPr="002D74AC">
        <w:rPr>
          <w:rFonts w:asciiTheme="minorHAnsi" w:hAnsiTheme="minorHAnsi" w:cstheme="minorHAnsi"/>
          <w:color w:val="auto"/>
          <w:sz w:val="20"/>
          <w:szCs w:val="20"/>
          <w:lang w:val="cs-CZ"/>
        </w:rPr>
        <w:t>nezadat poskytování Služeb žádnému dalšímu subdodavateli</w:t>
      </w:r>
      <w:r w:rsidR="00664ADB" w:rsidRPr="002D74AC">
        <w:rPr>
          <w:rFonts w:asciiTheme="minorHAnsi" w:hAnsiTheme="minorHAnsi" w:cstheme="minorHAnsi"/>
          <w:color w:val="auto"/>
          <w:sz w:val="20"/>
          <w:szCs w:val="20"/>
          <w:lang w:val="cs-CZ"/>
        </w:rPr>
        <w:t>; a</w:t>
      </w:r>
    </w:p>
    <w:p w14:paraId="7C7FE5D7" w14:textId="13129D6F" w:rsidR="00664ADB" w:rsidRPr="002D74AC" w:rsidRDefault="000C279E" w:rsidP="004E5571">
      <w:pPr>
        <w:widowControl w:val="0"/>
        <w:numPr>
          <w:ilvl w:val="0"/>
          <w:numId w:val="23"/>
        </w:numPr>
        <w:tabs>
          <w:tab w:val="num" w:pos="851"/>
        </w:tabs>
        <w:autoSpaceDE w:val="0"/>
        <w:autoSpaceDN w:val="0"/>
        <w:adjustRightInd w:val="0"/>
        <w:ind w:left="851" w:hanging="851"/>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zajistí</w:t>
      </w:r>
      <w:r w:rsidR="00664ADB" w:rsidRPr="002D74AC">
        <w:rPr>
          <w:rFonts w:asciiTheme="minorHAnsi" w:hAnsiTheme="minorHAnsi" w:cstheme="minorHAnsi"/>
          <w:color w:val="auto"/>
          <w:sz w:val="20"/>
          <w:szCs w:val="20"/>
          <w:lang w:val="cs-CZ"/>
        </w:rPr>
        <w:t xml:space="preserve"> společnosti Deloitte stejná práva auditu, pokud jde o </w:t>
      </w:r>
      <w:r w:rsidR="00A15FDD" w:rsidRPr="002D74AC">
        <w:rPr>
          <w:rFonts w:asciiTheme="minorHAnsi" w:hAnsiTheme="minorHAnsi" w:cstheme="minorHAnsi"/>
          <w:color w:val="auto"/>
          <w:sz w:val="20"/>
          <w:szCs w:val="20"/>
          <w:lang w:val="cs-CZ"/>
        </w:rPr>
        <w:t xml:space="preserve">Dalšího </w:t>
      </w:r>
      <w:r w:rsidR="00825B7E" w:rsidRPr="002D74AC">
        <w:rPr>
          <w:rFonts w:asciiTheme="minorHAnsi" w:hAnsiTheme="minorHAnsi" w:cstheme="minorHAnsi"/>
          <w:color w:val="auto"/>
          <w:sz w:val="20"/>
          <w:szCs w:val="20"/>
          <w:lang w:val="cs-CZ"/>
        </w:rPr>
        <w:t>S</w:t>
      </w:r>
      <w:r w:rsidR="00664ADB" w:rsidRPr="002D74AC">
        <w:rPr>
          <w:rFonts w:asciiTheme="minorHAnsi" w:hAnsiTheme="minorHAnsi" w:cstheme="minorHAnsi"/>
          <w:color w:val="auto"/>
          <w:sz w:val="20"/>
          <w:szCs w:val="20"/>
          <w:lang w:val="cs-CZ"/>
        </w:rPr>
        <w:t>ubdodavatele</w:t>
      </w:r>
      <w:r w:rsidR="001E1192" w:rsidRPr="002D74AC">
        <w:rPr>
          <w:rFonts w:asciiTheme="minorHAnsi" w:hAnsiTheme="minorHAnsi" w:cstheme="minorHAnsi"/>
          <w:color w:val="auto"/>
          <w:sz w:val="20"/>
          <w:szCs w:val="20"/>
          <w:lang w:val="cs-CZ"/>
        </w:rPr>
        <w:t>,</w:t>
      </w:r>
      <w:r w:rsidR="00664ADB" w:rsidRPr="002D74AC">
        <w:rPr>
          <w:rFonts w:asciiTheme="minorHAnsi" w:hAnsiTheme="minorHAnsi" w:cstheme="minorHAnsi"/>
          <w:color w:val="auto"/>
          <w:sz w:val="20"/>
          <w:szCs w:val="20"/>
          <w:lang w:val="cs-CZ"/>
        </w:rPr>
        <w:t xml:space="preserve"> </w:t>
      </w:r>
      <w:r w:rsidR="0041449D" w:rsidRPr="002D74AC">
        <w:rPr>
          <w:rFonts w:asciiTheme="minorHAnsi" w:hAnsiTheme="minorHAnsi" w:cstheme="minorHAnsi"/>
          <w:color w:val="auto"/>
          <w:sz w:val="20"/>
          <w:szCs w:val="20"/>
          <w:lang w:val="cs-CZ"/>
        </w:rPr>
        <w:t>odpovídající</w:t>
      </w:r>
      <w:r w:rsidR="00664ADB" w:rsidRPr="002D74AC">
        <w:rPr>
          <w:rFonts w:asciiTheme="minorHAnsi" w:hAnsiTheme="minorHAnsi" w:cstheme="minorHAnsi"/>
          <w:color w:val="auto"/>
          <w:sz w:val="20"/>
          <w:szCs w:val="20"/>
          <w:lang w:val="cs-CZ"/>
        </w:rPr>
        <w:t xml:space="preserve"> práv</w:t>
      </w:r>
      <w:r w:rsidR="0041449D" w:rsidRPr="002D74AC">
        <w:rPr>
          <w:rFonts w:asciiTheme="minorHAnsi" w:hAnsiTheme="minorHAnsi" w:cstheme="minorHAnsi"/>
          <w:color w:val="auto"/>
          <w:sz w:val="20"/>
          <w:szCs w:val="20"/>
          <w:lang w:val="cs-CZ"/>
        </w:rPr>
        <w:t>u</w:t>
      </w:r>
      <w:r w:rsidR="00664ADB" w:rsidRPr="002D74AC">
        <w:rPr>
          <w:rFonts w:asciiTheme="minorHAnsi" w:hAnsiTheme="minorHAnsi" w:cstheme="minorHAnsi"/>
          <w:color w:val="auto"/>
          <w:sz w:val="20"/>
          <w:szCs w:val="20"/>
          <w:lang w:val="cs-CZ"/>
        </w:rPr>
        <w:t xml:space="preserve"> auditu </w:t>
      </w:r>
      <w:r w:rsidR="0041449D" w:rsidRPr="002D74AC">
        <w:rPr>
          <w:rFonts w:asciiTheme="minorHAnsi" w:hAnsiTheme="minorHAnsi" w:cstheme="minorHAnsi"/>
          <w:color w:val="auto"/>
          <w:sz w:val="20"/>
          <w:szCs w:val="20"/>
          <w:lang w:val="cs-CZ"/>
        </w:rPr>
        <w:t>dle</w:t>
      </w:r>
      <w:r w:rsidR="00664ADB" w:rsidRPr="002D74AC">
        <w:rPr>
          <w:rFonts w:asciiTheme="minorHAnsi" w:hAnsiTheme="minorHAnsi" w:cstheme="minorHAnsi"/>
          <w:color w:val="auto"/>
          <w:sz w:val="20"/>
          <w:szCs w:val="20"/>
          <w:lang w:val="cs-CZ"/>
        </w:rPr>
        <w:t xml:space="preserve"> článku 13</w:t>
      </w:r>
      <w:r w:rsidR="00013FB9" w:rsidRPr="002D74AC">
        <w:rPr>
          <w:rFonts w:asciiTheme="minorHAnsi" w:hAnsiTheme="minorHAnsi" w:cstheme="minorHAnsi"/>
          <w:color w:val="auto"/>
          <w:sz w:val="20"/>
          <w:szCs w:val="20"/>
          <w:lang w:val="cs-CZ"/>
        </w:rPr>
        <w:t xml:space="preserve"> odstavce (</w:t>
      </w:r>
      <w:r w:rsidR="00664ADB" w:rsidRPr="002D74AC">
        <w:rPr>
          <w:rFonts w:asciiTheme="minorHAnsi" w:hAnsiTheme="minorHAnsi" w:cstheme="minorHAnsi"/>
          <w:color w:val="auto"/>
          <w:sz w:val="20"/>
          <w:szCs w:val="20"/>
          <w:lang w:val="cs-CZ"/>
        </w:rPr>
        <w:t>E</w:t>
      </w:r>
      <w:r w:rsidR="00013FB9" w:rsidRPr="002D74AC">
        <w:rPr>
          <w:rFonts w:asciiTheme="minorHAnsi" w:hAnsiTheme="minorHAnsi" w:cstheme="minorHAnsi"/>
          <w:color w:val="auto"/>
          <w:sz w:val="20"/>
          <w:szCs w:val="20"/>
          <w:lang w:val="cs-CZ"/>
        </w:rPr>
        <w:t>)</w:t>
      </w:r>
      <w:r w:rsidR="00664ADB" w:rsidRPr="002D74AC">
        <w:rPr>
          <w:rFonts w:asciiTheme="minorHAnsi" w:hAnsiTheme="minorHAnsi" w:cstheme="minorHAnsi"/>
          <w:color w:val="auto"/>
          <w:sz w:val="20"/>
          <w:szCs w:val="20"/>
          <w:lang w:val="cs-CZ"/>
        </w:rPr>
        <w:t>.</w:t>
      </w:r>
    </w:p>
    <w:p w14:paraId="51A170CD" w14:textId="77777777" w:rsidR="00664ADB" w:rsidRPr="002D74AC" w:rsidRDefault="00664ADB">
      <w:pPr>
        <w:pStyle w:val="Zkladntext2"/>
        <w:rPr>
          <w:rFonts w:asciiTheme="minorHAnsi" w:hAnsiTheme="minorHAnsi" w:cstheme="minorHAnsi"/>
          <w:sz w:val="20"/>
          <w:szCs w:val="20"/>
          <w:lang w:val="cs-CZ"/>
        </w:rPr>
      </w:pPr>
    </w:p>
    <w:p w14:paraId="48C4CBD7" w14:textId="77777777" w:rsidR="006A702C" w:rsidRPr="002D74AC" w:rsidRDefault="006A702C">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4.</w:t>
      </w:r>
      <w:r w:rsidRPr="002D74AC">
        <w:rPr>
          <w:rFonts w:asciiTheme="minorHAnsi" w:hAnsiTheme="minorHAnsi" w:cstheme="minorHAnsi"/>
          <w:b/>
          <w:bCs/>
          <w:color w:val="auto"/>
          <w:sz w:val="20"/>
          <w:szCs w:val="20"/>
          <w:lang w:val="cs-CZ"/>
        </w:rPr>
        <w:tab/>
      </w:r>
      <w:r w:rsidR="002552EB" w:rsidRPr="002D74AC">
        <w:rPr>
          <w:rFonts w:asciiTheme="minorHAnsi" w:hAnsiTheme="minorHAnsi" w:cstheme="minorHAnsi"/>
          <w:b/>
          <w:bCs/>
          <w:color w:val="auto"/>
          <w:sz w:val="20"/>
          <w:szCs w:val="20"/>
          <w:lang w:val="cs-CZ"/>
        </w:rPr>
        <w:t>AKCEPTACE SLUŽEB A VÝSTUPŮ</w:t>
      </w:r>
    </w:p>
    <w:p w14:paraId="40CCC050" w14:textId="77777777" w:rsidR="006A702C" w:rsidRPr="002D74AC" w:rsidRDefault="006A702C">
      <w:pPr>
        <w:ind w:hanging="540"/>
        <w:jc w:val="both"/>
        <w:rPr>
          <w:rFonts w:asciiTheme="minorHAnsi" w:hAnsiTheme="minorHAnsi" w:cstheme="minorHAnsi"/>
          <w:color w:val="auto"/>
          <w:sz w:val="20"/>
          <w:szCs w:val="20"/>
          <w:lang w:val="cs-CZ"/>
        </w:rPr>
      </w:pPr>
    </w:p>
    <w:p w14:paraId="09FA824D" w14:textId="77777777" w:rsidR="005879EB" w:rsidRPr="002D74AC" w:rsidRDefault="006A702C">
      <w:pPr>
        <w:pStyle w:val="Zkladntext"/>
        <w:ind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A.</w:t>
      </w:r>
      <w:r w:rsidRPr="002D74AC">
        <w:rPr>
          <w:rFonts w:asciiTheme="minorHAnsi" w:hAnsiTheme="minorHAnsi" w:cstheme="minorHAnsi"/>
          <w:b w:val="0"/>
          <w:bCs/>
          <w:sz w:val="20"/>
          <w:lang w:val="cs-CZ"/>
        </w:rPr>
        <w:tab/>
      </w:r>
      <w:r w:rsidR="005879EB" w:rsidRPr="002D74AC">
        <w:rPr>
          <w:rFonts w:asciiTheme="minorHAnsi" w:hAnsiTheme="minorHAnsi" w:cstheme="minorHAnsi"/>
          <w:b w:val="0"/>
          <w:bCs/>
          <w:sz w:val="20"/>
          <w:lang w:val="cs-CZ"/>
        </w:rPr>
        <w:t xml:space="preserve">Deloitte je oprávněna provádět jakékoli testy/prověrky </w:t>
      </w:r>
      <w:r w:rsidR="004315B7" w:rsidRPr="002D74AC">
        <w:rPr>
          <w:rFonts w:asciiTheme="minorHAnsi" w:hAnsiTheme="minorHAnsi" w:cstheme="minorHAnsi"/>
          <w:b w:val="0"/>
          <w:bCs/>
          <w:sz w:val="20"/>
          <w:lang w:val="cs-CZ"/>
        </w:rPr>
        <w:t>za</w:t>
      </w:r>
      <w:r w:rsidR="00502342" w:rsidRPr="002D74AC">
        <w:rPr>
          <w:rFonts w:asciiTheme="minorHAnsi" w:hAnsiTheme="minorHAnsi" w:cstheme="minorHAnsi"/>
          <w:b w:val="0"/>
          <w:bCs/>
          <w:sz w:val="20"/>
          <w:lang w:val="cs-CZ"/>
        </w:rPr>
        <w:t xml:space="preserve"> účelem kontroly</w:t>
      </w:r>
      <w:r w:rsidR="005879EB" w:rsidRPr="002D74AC">
        <w:rPr>
          <w:rFonts w:asciiTheme="minorHAnsi" w:hAnsiTheme="minorHAnsi" w:cstheme="minorHAnsi"/>
          <w:b w:val="0"/>
          <w:bCs/>
          <w:sz w:val="20"/>
          <w:lang w:val="cs-CZ"/>
        </w:rPr>
        <w:t xml:space="preserve"> plnění povinností Subdodavatele</w:t>
      </w:r>
      <w:r w:rsidR="00502342" w:rsidRPr="002D74AC">
        <w:rPr>
          <w:rFonts w:asciiTheme="minorHAnsi" w:hAnsiTheme="minorHAnsi" w:cstheme="minorHAnsi"/>
          <w:b w:val="0"/>
          <w:bCs/>
          <w:sz w:val="20"/>
          <w:lang w:val="cs-CZ"/>
        </w:rPr>
        <w:t xml:space="preserve">, přičemž </w:t>
      </w:r>
      <w:r w:rsidR="005879EB" w:rsidRPr="002D74AC">
        <w:rPr>
          <w:rFonts w:asciiTheme="minorHAnsi" w:hAnsiTheme="minorHAnsi" w:cstheme="minorHAnsi"/>
          <w:b w:val="0"/>
          <w:bCs/>
          <w:sz w:val="20"/>
          <w:lang w:val="cs-CZ"/>
        </w:rPr>
        <w:t>vyvine přiměřené úsilí</w:t>
      </w:r>
      <w:r w:rsidR="00502342" w:rsidRPr="002D74AC">
        <w:rPr>
          <w:rFonts w:asciiTheme="minorHAnsi" w:hAnsiTheme="minorHAnsi" w:cstheme="minorHAnsi"/>
          <w:b w:val="0"/>
          <w:bCs/>
          <w:sz w:val="20"/>
          <w:lang w:val="cs-CZ"/>
        </w:rPr>
        <w:t xml:space="preserve"> k tomu</w:t>
      </w:r>
      <w:r w:rsidR="005879EB" w:rsidRPr="002D74AC">
        <w:rPr>
          <w:rFonts w:asciiTheme="minorHAnsi" w:hAnsiTheme="minorHAnsi" w:cstheme="minorHAnsi"/>
          <w:b w:val="0"/>
          <w:bCs/>
          <w:sz w:val="20"/>
          <w:lang w:val="cs-CZ"/>
        </w:rPr>
        <w:t xml:space="preserve">, aby </w:t>
      </w:r>
      <w:r w:rsidR="00502342" w:rsidRPr="002D74AC">
        <w:rPr>
          <w:rFonts w:asciiTheme="minorHAnsi" w:hAnsiTheme="minorHAnsi" w:cstheme="minorHAnsi"/>
          <w:b w:val="0"/>
          <w:bCs/>
          <w:sz w:val="20"/>
          <w:lang w:val="cs-CZ"/>
        </w:rPr>
        <w:t xml:space="preserve">tato činnost </w:t>
      </w:r>
      <w:r w:rsidR="005879EB" w:rsidRPr="002D74AC">
        <w:rPr>
          <w:rFonts w:asciiTheme="minorHAnsi" w:hAnsiTheme="minorHAnsi" w:cstheme="minorHAnsi"/>
          <w:b w:val="0"/>
          <w:bCs/>
          <w:sz w:val="20"/>
          <w:lang w:val="cs-CZ"/>
        </w:rPr>
        <w:t>neomezil</w:t>
      </w:r>
      <w:r w:rsidR="00502342" w:rsidRPr="002D74AC">
        <w:rPr>
          <w:rFonts w:asciiTheme="minorHAnsi" w:hAnsiTheme="minorHAnsi" w:cstheme="minorHAnsi"/>
          <w:b w:val="0"/>
          <w:bCs/>
          <w:sz w:val="20"/>
          <w:lang w:val="cs-CZ"/>
        </w:rPr>
        <w:t>a</w:t>
      </w:r>
      <w:r w:rsidR="005879EB" w:rsidRPr="002D74AC">
        <w:rPr>
          <w:rFonts w:asciiTheme="minorHAnsi" w:hAnsiTheme="minorHAnsi" w:cstheme="minorHAnsi"/>
          <w:b w:val="0"/>
          <w:bCs/>
          <w:sz w:val="20"/>
          <w:lang w:val="cs-CZ"/>
        </w:rPr>
        <w:t xml:space="preserve"> nebo nezpozdil</w:t>
      </w:r>
      <w:r w:rsidR="00502342" w:rsidRPr="002D74AC">
        <w:rPr>
          <w:rFonts w:asciiTheme="minorHAnsi" w:hAnsiTheme="minorHAnsi" w:cstheme="minorHAnsi"/>
          <w:b w:val="0"/>
          <w:bCs/>
          <w:sz w:val="20"/>
          <w:lang w:val="cs-CZ"/>
        </w:rPr>
        <w:t>a</w:t>
      </w:r>
      <w:r w:rsidR="005879EB" w:rsidRPr="002D74AC">
        <w:rPr>
          <w:rFonts w:asciiTheme="minorHAnsi" w:hAnsiTheme="minorHAnsi" w:cstheme="minorHAnsi"/>
          <w:b w:val="0"/>
          <w:bCs/>
          <w:sz w:val="20"/>
          <w:lang w:val="cs-CZ"/>
        </w:rPr>
        <w:t xml:space="preserve"> plnění</w:t>
      </w:r>
      <w:r w:rsidR="004315B7" w:rsidRPr="002D74AC">
        <w:rPr>
          <w:rFonts w:asciiTheme="minorHAnsi" w:hAnsiTheme="minorHAnsi" w:cstheme="minorHAnsi"/>
          <w:b w:val="0"/>
          <w:bCs/>
          <w:sz w:val="20"/>
          <w:lang w:val="cs-CZ"/>
        </w:rPr>
        <w:t xml:space="preserve"> podmínek této S</w:t>
      </w:r>
      <w:r w:rsidR="00502342" w:rsidRPr="002D74AC">
        <w:rPr>
          <w:rFonts w:asciiTheme="minorHAnsi" w:hAnsiTheme="minorHAnsi" w:cstheme="minorHAnsi"/>
          <w:b w:val="0"/>
          <w:bCs/>
          <w:sz w:val="20"/>
          <w:lang w:val="cs-CZ"/>
        </w:rPr>
        <w:t>mlouvy</w:t>
      </w:r>
      <w:r w:rsidR="005879EB" w:rsidRPr="002D74AC">
        <w:rPr>
          <w:rFonts w:asciiTheme="minorHAnsi" w:hAnsiTheme="minorHAnsi" w:cstheme="minorHAnsi"/>
          <w:b w:val="0"/>
          <w:bCs/>
          <w:sz w:val="20"/>
          <w:lang w:val="cs-CZ"/>
        </w:rPr>
        <w:t>.</w:t>
      </w:r>
    </w:p>
    <w:p w14:paraId="6A657127" w14:textId="77777777" w:rsidR="00F27DCE" w:rsidRPr="002D74AC" w:rsidRDefault="00F27DCE">
      <w:pPr>
        <w:pStyle w:val="Zkladntext"/>
        <w:ind w:hanging="540"/>
        <w:jc w:val="both"/>
        <w:rPr>
          <w:rFonts w:asciiTheme="minorHAnsi" w:hAnsiTheme="minorHAnsi" w:cstheme="minorHAnsi"/>
          <w:b w:val="0"/>
          <w:bCs/>
          <w:sz w:val="20"/>
          <w:lang w:val="cs-CZ"/>
        </w:rPr>
      </w:pPr>
    </w:p>
    <w:p w14:paraId="50B2D350" w14:textId="49A8010F" w:rsidR="007D62CE" w:rsidRPr="002D74AC" w:rsidRDefault="006A702C" w:rsidP="00FE0DA9">
      <w:pPr>
        <w:pStyle w:val="Textkomente"/>
        <w:ind w:hanging="567"/>
        <w:jc w:val="both"/>
        <w:rPr>
          <w:rFonts w:asciiTheme="minorHAnsi" w:hAnsiTheme="minorHAnsi" w:cstheme="minorHAnsi"/>
          <w:bCs/>
          <w:color w:val="auto"/>
          <w:lang w:val="cs-CZ"/>
        </w:rPr>
      </w:pPr>
      <w:r w:rsidRPr="002D74AC">
        <w:rPr>
          <w:rFonts w:asciiTheme="minorHAnsi" w:hAnsiTheme="minorHAnsi" w:cstheme="minorHAnsi"/>
          <w:bCs/>
          <w:color w:val="auto"/>
          <w:lang w:val="cs-CZ"/>
        </w:rPr>
        <w:t>B.</w:t>
      </w:r>
      <w:r w:rsidRPr="002D74AC">
        <w:rPr>
          <w:rFonts w:asciiTheme="minorHAnsi" w:hAnsiTheme="minorHAnsi" w:cstheme="minorHAnsi"/>
          <w:b/>
          <w:bCs/>
          <w:color w:val="auto"/>
          <w:lang w:val="cs-CZ"/>
        </w:rPr>
        <w:tab/>
      </w:r>
      <w:r w:rsidR="005879EB" w:rsidRPr="002D74AC">
        <w:rPr>
          <w:rFonts w:asciiTheme="minorHAnsi" w:hAnsiTheme="minorHAnsi" w:cstheme="minorHAnsi"/>
          <w:bCs/>
          <w:color w:val="auto"/>
          <w:lang w:val="cs-CZ"/>
        </w:rPr>
        <w:t xml:space="preserve">V případě, že kontrola provedená Deloitte nebo Hlavním klientem </w:t>
      </w:r>
      <w:r w:rsidR="00502342" w:rsidRPr="002D74AC">
        <w:rPr>
          <w:rFonts w:asciiTheme="minorHAnsi" w:hAnsiTheme="minorHAnsi" w:cstheme="minorHAnsi"/>
          <w:bCs/>
          <w:color w:val="auto"/>
          <w:lang w:val="cs-CZ"/>
        </w:rPr>
        <w:t>prokáže</w:t>
      </w:r>
      <w:r w:rsidR="005879EB" w:rsidRPr="002D74AC">
        <w:rPr>
          <w:rFonts w:asciiTheme="minorHAnsi" w:hAnsiTheme="minorHAnsi" w:cstheme="minorHAnsi"/>
          <w:bCs/>
          <w:color w:val="auto"/>
          <w:lang w:val="cs-CZ"/>
        </w:rPr>
        <w:t xml:space="preserve">, že Služby a/nebo Výstupy poskytnuté Subdodavatelem </w:t>
      </w:r>
      <w:r w:rsidR="00502342" w:rsidRPr="002D74AC">
        <w:rPr>
          <w:rFonts w:asciiTheme="minorHAnsi" w:hAnsiTheme="minorHAnsi" w:cstheme="minorHAnsi"/>
          <w:bCs/>
          <w:color w:val="auto"/>
          <w:lang w:val="cs-CZ"/>
        </w:rPr>
        <w:t xml:space="preserve">neodpovídají podmínkám stanoveným v této Smlouvě či jiným obecným standardům, </w:t>
      </w:r>
      <w:r w:rsidR="00A258E9" w:rsidRPr="002D74AC">
        <w:rPr>
          <w:rFonts w:asciiTheme="minorHAnsi" w:hAnsiTheme="minorHAnsi" w:cstheme="minorHAnsi"/>
          <w:bCs/>
          <w:color w:val="auto"/>
          <w:lang w:val="cs-CZ"/>
        </w:rPr>
        <w:t xml:space="preserve">má </w:t>
      </w:r>
      <w:r w:rsidR="00502342" w:rsidRPr="002D74AC">
        <w:rPr>
          <w:rFonts w:asciiTheme="minorHAnsi" w:hAnsiTheme="minorHAnsi" w:cstheme="minorHAnsi"/>
          <w:bCs/>
          <w:color w:val="auto"/>
          <w:lang w:val="cs-CZ"/>
        </w:rPr>
        <w:t>Deloitte právo je odmítnout</w:t>
      </w:r>
      <w:r w:rsidR="005879EB" w:rsidRPr="002D74AC">
        <w:rPr>
          <w:rFonts w:asciiTheme="minorHAnsi" w:hAnsiTheme="minorHAnsi" w:cstheme="minorHAnsi"/>
          <w:bCs/>
          <w:color w:val="auto"/>
          <w:lang w:val="cs-CZ"/>
        </w:rPr>
        <w:t xml:space="preserve">. </w:t>
      </w:r>
      <w:r w:rsidR="00FE0DA9" w:rsidRPr="002D74AC">
        <w:rPr>
          <w:rFonts w:asciiTheme="minorHAnsi" w:hAnsiTheme="minorHAnsi" w:cstheme="minorHAnsi"/>
          <w:bCs/>
          <w:color w:val="auto"/>
          <w:lang w:val="cs-CZ"/>
        </w:rPr>
        <w:t xml:space="preserve">Pokud Deloitte nepřijme plnění Subdodavatele, má Deloitte </w:t>
      </w:r>
      <w:r w:rsidR="002552EB" w:rsidRPr="002D74AC">
        <w:rPr>
          <w:rFonts w:asciiTheme="minorHAnsi" w:hAnsiTheme="minorHAnsi" w:cstheme="minorHAnsi"/>
          <w:bCs/>
          <w:color w:val="auto"/>
          <w:lang w:val="cs-CZ"/>
        </w:rPr>
        <w:t xml:space="preserve">během 7 pracovních dní nebo v jiné lhůtě dohodnuté v Hlavní smlouvě </w:t>
      </w:r>
      <w:r w:rsidR="00FE0DA9" w:rsidRPr="002D74AC">
        <w:rPr>
          <w:rFonts w:asciiTheme="minorHAnsi" w:hAnsiTheme="minorHAnsi" w:cstheme="minorHAnsi"/>
          <w:bCs/>
          <w:color w:val="auto"/>
          <w:lang w:val="cs-CZ"/>
        </w:rPr>
        <w:t xml:space="preserve">povinnost </w:t>
      </w:r>
      <w:r w:rsidR="002552EB" w:rsidRPr="002D74AC">
        <w:rPr>
          <w:rFonts w:asciiTheme="minorHAnsi" w:hAnsiTheme="minorHAnsi" w:cstheme="minorHAnsi"/>
          <w:bCs/>
          <w:color w:val="auto"/>
          <w:lang w:val="cs-CZ"/>
        </w:rPr>
        <w:t xml:space="preserve">písemně </w:t>
      </w:r>
      <w:r w:rsidR="00FE0DA9" w:rsidRPr="002D74AC">
        <w:rPr>
          <w:rFonts w:asciiTheme="minorHAnsi" w:hAnsiTheme="minorHAnsi" w:cstheme="minorHAnsi"/>
          <w:bCs/>
          <w:color w:val="auto"/>
          <w:lang w:val="cs-CZ"/>
        </w:rPr>
        <w:t xml:space="preserve">informovat Subdodavatele o podrobných důvodech. V takovém případě </w:t>
      </w:r>
      <w:r w:rsidR="002552EB" w:rsidRPr="002D74AC">
        <w:rPr>
          <w:rFonts w:asciiTheme="minorHAnsi" w:hAnsiTheme="minorHAnsi" w:cstheme="minorHAnsi"/>
          <w:bCs/>
          <w:color w:val="auto"/>
          <w:lang w:val="cs-CZ"/>
        </w:rPr>
        <w:t xml:space="preserve">je pak </w:t>
      </w:r>
      <w:r w:rsidR="00FE0DA9" w:rsidRPr="002D74AC">
        <w:rPr>
          <w:rFonts w:asciiTheme="minorHAnsi" w:hAnsiTheme="minorHAnsi" w:cstheme="minorHAnsi"/>
          <w:bCs/>
          <w:color w:val="auto"/>
          <w:lang w:val="cs-CZ"/>
        </w:rPr>
        <w:t xml:space="preserve">Deloitte </w:t>
      </w:r>
      <w:r w:rsidR="002552EB" w:rsidRPr="002D74AC">
        <w:rPr>
          <w:rFonts w:asciiTheme="minorHAnsi" w:hAnsiTheme="minorHAnsi" w:cstheme="minorHAnsi"/>
          <w:bCs/>
          <w:color w:val="auto"/>
          <w:lang w:val="cs-CZ"/>
        </w:rPr>
        <w:t xml:space="preserve">oprávněna </w:t>
      </w:r>
      <w:r w:rsidR="00FE0DA9" w:rsidRPr="002D74AC">
        <w:rPr>
          <w:rFonts w:asciiTheme="minorHAnsi" w:hAnsiTheme="minorHAnsi" w:cstheme="minorHAnsi"/>
          <w:bCs/>
          <w:color w:val="auto"/>
          <w:lang w:val="cs-CZ"/>
        </w:rPr>
        <w:t>podle vlastní volby buď odmítnout Služby</w:t>
      </w:r>
      <w:r w:rsidR="002552EB" w:rsidRPr="002D74AC">
        <w:rPr>
          <w:rFonts w:asciiTheme="minorHAnsi" w:hAnsiTheme="minorHAnsi" w:cstheme="minorHAnsi"/>
          <w:bCs/>
          <w:color w:val="auto"/>
          <w:lang w:val="cs-CZ"/>
        </w:rPr>
        <w:t xml:space="preserve"> či Výstupy</w:t>
      </w:r>
      <w:r w:rsidR="00FE0DA9" w:rsidRPr="002D74AC">
        <w:rPr>
          <w:rFonts w:asciiTheme="minorHAnsi" w:hAnsiTheme="minorHAnsi" w:cstheme="minorHAnsi"/>
          <w:bCs/>
          <w:color w:val="auto"/>
          <w:lang w:val="cs-CZ"/>
        </w:rPr>
        <w:t xml:space="preserve">, které nesplňují kritéria </w:t>
      </w:r>
      <w:r w:rsidR="00C13A92" w:rsidRPr="002D74AC">
        <w:rPr>
          <w:rFonts w:asciiTheme="minorHAnsi" w:hAnsiTheme="minorHAnsi" w:cstheme="minorHAnsi"/>
          <w:bCs/>
          <w:color w:val="auto"/>
          <w:lang w:val="cs-CZ"/>
        </w:rPr>
        <w:t xml:space="preserve">pro akceptaci </w:t>
      </w:r>
      <w:r w:rsidR="00FE0DA9" w:rsidRPr="002D74AC">
        <w:rPr>
          <w:rFonts w:asciiTheme="minorHAnsi" w:hAnsiTheme="minorHAnsi" w:cstheme="minorHAnsi"/>
          <w:bCs/>
          <w:color w:val="auto"/>
          <w:lang w:val="cs-CZ"/>
        </w:rPr>
        <w:t xml:space="preserve">nebo dokončení, </w:t>
      </w:r>
      <w:r w:rsidR="002552EB" w:rsidRPr="002D74AC">
        <w:rPr>
          <w:rFonts w:asciiTheme="minorHAnsi" w:hAnsiTheme="minorHAnsi" w:cstheme="minorHAnsi"/>
          <w:bCs/>
          <w:color w:val="auto"/>
          <w:lang w:val="cs-CZ"/>
        </w:rPr>
        <w:t>přičemž</w:t>
      </w:r>
      <w:r w:rsidR="00FE0DA9" w:rsidRPr="002D74AC">
        <w:rPr>
          <w:rFonts w:asciiTheme="minorHAnsi" w:hAnsiTheme="minorHAnsi" w:cstheme="minorHAnsi"/>
          <w:bCs/>
          <w:color w:val="auto"/>
          <w:lang w:val="cs-CZ"/>
        </w:rPr>
        <w:t xml:space="preserve"> Subdodavatel bude </w:t>
      </w:r>
      <w:r w:rsidR="002552EB" w:rsidRPr="002D74AC">
        <w:rPr>
          <w:rFonts w:asciiTheme="minorHAnsi" w:hAnsiTheme="minorHAnsi" w:cstheme="minorHAnsi"/>
          <w:bCs/>
          <w:color w:val="auto"/>
          <w:lang w:val="cs-CZ"/>
        </w:rPr>
        <w:t>vyzván k</w:t>
      </w:r>
      <w:r w:rsidR="00FE0DA9" w:rsidRPr="002D74AC">
        <w:rPr>
          <w:rFonts w:asciiTheme="minorHAnsi" w:hAnsiTheme="minorHAnsi" w:cstheme="minorHAnsi"/>
          <w:bCs/>
          <w:color w:val="auto"/>
          <w:lang w:val="cs-CZ"/>
        </w:rPr>
        <w:t xml:space="preserve"> vrácení odměny uhrazené za tyto Služby</w:t>
      </w:r>
      <w:r w:rsidR="002552EB" w:rsidRPr="002D74AC">
        <w:rPr>
          <w:rFonts w:asciiTheme="minorHAnsi" w:hAnsiTheme="minorHAnsi" w:cstheme="minorHAnsi"/>
          <w:bCs/>
          <w:color w:val="auto"/>
          <w:lang w:val="cs-CZ"/>
        </w:rPr>
        <w:t xml:space="preserve"> či Výstupy</w:t>
      </w:r>
      <w:r w:rsidR="00FE0DA9" w:rsidRPr="002D74AC">
        <w:rPr>
          <w:rFonts w:asciiTheme="minorHAnsi" w:hAnsiTheme="minorHAnsi" w:cstheme="minorHAnsi"/>
          <w:bCs/>
          <w:color w:val="auto"/>
          <w:lang w:val="cs-CZ"/>
        </w:rPr>
        <w:t xml:space="preserve">, </w:t>
      </w:r>
      <w:r w:rsidR="00FE0DA9" w:rsidRPr="002D74AC">
        <w:rPr>
          <w:rFonts w:asciiTheme="minorHAnsi" w:hAnsiTheme="minorHAnsi" w:cstheme="minorHAnsi"/>
          <w:bCs/>
          <w:color w:val="auto"/>
          <w:lang w:val="cs-CZ"/>
        </w:rPr>
        <w:lastRenderedPageBreak/>
        <w:t xml:space="preserve">nebo vyžadovat, aby Subdodavatel na základě písemných pokynů Deloitte </w:t>
      </w:r>
      <w:r w:rsidR="00C13A92" w:rsidRPr="002D74AC">
        <w:rPr>
          <w:rFonts w:asciiTheme="minorHAnsi" w:hAnsiTheme="minorHAnsi" w:cstheme="minorHAnsi"/>
          <w:bCs/>
          <w:color w:val="auto"/>
          <w:lang w:val="cs-CZ"/>
        </w:rPr>
        <w:t>poskytl Služby</w:t>
      </w:r>
      <w:r w:rsidR="003974C6" w:rsidRPr="002D74AC">
        <w:rPr>
          <w:rFonts w:asciiTheme="minorHAnsi" w:hAnsiTheme="minorHAnsi" w:cstheme="minorHAnsi"/>
          <w:bCs/>
          <w:color w:val="auto"/>
          <w:lang w:val="cs-CZ"/>
        </w:rPr>
        <w:t xml:space="preserve"> znovu</w:t>
      </w:r>
      <w:r w:rsidR="00C13A92" w:rsidRPr="002D74AC">
        <w:rPr>
          <w:rFonts w:asciiTheme="minorHAnsi" w:hAnsiTheme="minorHAnsi" w:cstheme="minorHAnsi"/>
          <w:bCs/>
          <w:color w:val="auto"/>
          <w:lang w:val="cs-CZ"/>
        </w:rPr>
        <w:t xml:space="preserve"> </w:t>
      </w:r>
      <w:r w:rsidR="00FE0DA9" w:rsidRPr="002D74AC">
        <w:rPr>
          <w:rFonts w:asciiTheme="minorHAnsi" w:hAnsiTheme="minorHAnsi" w:cstheme="minorHAnsi"/>
          <w:bCs/>
          <w:color w:val="auto"/>
          <w:lang w:val="cs-CZ"/>
        </w:rPr>
        <w:t>nebo opravil či nahradil</w:t>
      </w:r>
      <w:r w:rsidR="00C13A92" w:rsidRPr="002D74AC">
        <w:rPr>
          <w:rFonts w:asciiTheme="minorHAnsi" w:hAnsiTheme="minorHAnsi" w:cstheme="minorHAnsi"/>
          <w:bCs/>
          <w:color w:val="auto"/>
          <w:lang w:val="cs-CZ"/>
        </w:rPr>
        <w:t xml:space="preserve"> Výstupy </w:t>
      </w:r>
      <w:r w:rsidR="00FE0DA9" w:rsidRPr="002D74AC">
        <w:rPr>
          <w:rFonts w:asciiTheme="minorHAnsi" w:hAnsiTheme="minorHAnsi" w:cstheme="minorHAnsi"/>
          <w:bCs/>
          <w:color w:val="auto"/>
          <w:lang w:val="cs-CZ"/>
        </w:rPr>
        <w:t>definov</w:t>
      </w:r>
      <w:r w:rsidR="00C13A92" w:rsidRPr="002D74AC">
        <w:rPr>
          <w:rFonts w:asciiTheme="minorHAnsi" w:hAnsiTheme="minorHAnsi" w:cstheme="minorHAnsi"/>
          <w:bCs/>
          <w:color w:val="auto"/>
          <w:lang w:val="cs-CZ"/>
        </w:rPr>
        <w:t>ané</w:t>
      </w:r>
      <w:r w:rsidR="00FE0DA9" w:rsidRPr="002D74AC">
        <w:rPr>
          <w:rFonts w:asciiTheme="minorHAnsi" w:hAnsiTheme="minorHAnsi" w:cstheme="minorHAnsi"/>
          <w:bCs/>
          <w:color w:val="auto"/>
          <w:lang w:val="cs-CZ"/>
        </w:rPr>
        <w:t xml:space="preserve"> v příslušném Popisu Služeb, a to bezplatně a včas. Pokud Deloitte požaduje opakované plnění, opravu nebo náhradu, Subdodavatel začne </w:t>
      </w:r>
      <w:r w:rsidR="00A258E9" w:rsidRPr="002D74AC">
        <w:rPr>
          <w:rFonts w:asciiTheme="minorHAnsi" w:hAnsiTheme="minorHAnsi" w:cstheme="minorHAnsi"/>
          <w:bCs/>
          <w:color w:val="auto"/>
          <w:lang w:val="cs-CZ"/>
        </w:rPr>
        <w:t xml:space="preserve">vady </w:t>
      </w:r>
      <w:r w:rsidR="00FE0DA9" w:rsidRPr="002D74AC">
        <w:rPr>
          <w:rFonts w:asciiTheme="minorHAnsi" w:hAnsiTheme="minorHAnsi" w:cstheme="minorHAnsi"/>
          <w:bCs/>
          <w:color w:val="auto"/>
          <w:lang w:val="cs-CZ"/>
        </w:rPr>
        <w:t xml:space="preserve">v plnění opravovat ihned po obdržení písemné stížnosti a opravu dokončí v nejkratším očekávatelném termínu, ale ne později než za </w:t>
      </w:r>
      <w:r w:rsidR="004E5571">
        <w:rPr>
          <w:rFonts w:asciiTheme="minorHAnsi" w:hAnsiTheme="minorHAnsi" w:cstheme="minorHAnsi"/>
          <w:bCs/>
          <w:color w:val="auto"/>
          <w:lang w:val="cs-CZ"/>
        </w:rPr>
        <w:t>7</w:t>
      </w:r>
      <w:r w:rsidR="0070429F" w:rsidRPr="002D74AC">
        <w:rPr>
          <w:rFonts w:asciiTheme="minorHAnsi" w:hAnsiTheme="minorHAnsi" w:cstheme="minorHAnsi"/>
          <w:bCs/>
          <w:color w:val="auto"/>
          <w:lang w:val="cs-CZ"/>
        </w:rPr>
        <w:t xml:space="preserve"> d</w:t>
      </w:r>
      <w:r w:rsidR="00FE0DA9" w:rsidRPr="002D74AC">
        <w:rPr>
          <w:rFonts w:asciiTheme="minorHAnsi" w:hAnsiTheme="minorHAnsi" w:cstheme="minorHAnsi"/>
          <w:bCs/>
          <w:color w:val="auto"/>
          <w:lang w:val="cs-CZ"/>
        </w:rPr>
        <w:t xml:space="preserve">ní </w:t>
      </w:r>
      <w:r w:rsidR="007E24AC" w:rsidRPr="002D74AC">
        <w:rPr>
          <w:rFonts w:asciiTheme="minorHAnsi" w:hAnsiTheme="minorHAnsi" w:cstheme="minorHAnsi"/>
          <w:bCs/>
          <w:color w:val="auto"/>
          <w:lang w:val="cs-CZ"/>
        </w:rPr>
        <w:t>.</w:t>
      </w:r>
      <w:r w:rsidR="00384E67" w:rsidRPr="002D74AC">
        <w:rPr>
          <w:rFonts w:asciiTheme="minorHAnsi" w:hAnsiTheme="minorHAnsi" w:cstheme="minorHAnsi"/>
          <w:bCs/>
          <w:color w:val="auto"/>
          <w:lang w:val="cs-CZ"/>
        </w:rPr>
        <w:t xml:space="preserve"> </w:t>
      </w:r>
      <w:r w:rsidR="00FE0DA9" w:rsidRPr="002D74AC">
        <w:rPr>
          <w:rFonts w:asciiTheme="minorHAnsi" w:hAnsiTheme="minorHAnsi" w:cstheme="minorHAnsi"/>
          <w:bCs/>
          <w:color w:val="auto"/>
          <w:lang w:val="cs-CZ"/>
        </w:rPr>
        <w:t xml:space="preserve">Poté </w:t>
      </w:r>
      <w:r w:rsidR="002552EB" w:rsidRPr="002D74AC">
        <w:rPr>
          <w:rFonts w:asciiTheme="minorHAnsi" w:hAnsiTheme="minorHAnsi" w:cstheme="minorHAnsi"/>
          <w:bCs/>
          <w:color w:val="auto"/>
          <w:lang w:val="cs-CZ"/>
        </w:rPr>
        <w:t xml:space="preserve">znovu </w:t>
      </w:r>
      <w:r w:rsidR="00C63161" w:rsidRPr="002D74AC">
        <w:rPr>
          <w:rFonts w:asciiTheme="minorHAnsi" w:hAnsiTheme="minorHAnsi" w:cstheme="minorHAnsi"/>
          <w:bCs/>
          <w:color w:val="auto"/>
          <w:lang w:val="cs-CZ"/>
        </w:rPr>
        <w:t>předloží plnění k akceptaci. Proces akceptace specifikovaný výše se opakuje</w:t>
      </w:r>
      <w:r w:rsidR="002552EB" w:rsidRPr="002D74AC">
        <w:rPr>
          <w:rFonts w:asciiTheme="minorHAnsi" w:hAnsiTheme="minorHAnsi" w:cstheme="minorHAnsi"/>
          <w:bCs/>
          <w:color w:val="auto"/>
          <w:lang w:val="cs-CZ"/>
        </w:rPr>
        <w:t xml:space="preserve"> pouze</w:t>
      </w:r>
      <w:r w:rsidR="00C63161" w:rsidRPr="002D74AC">
        <w:rPr>
          <w:rFonts w:asciiTheme="minorHAnsi" w:hAnsiTheme="minorHAnsi" w:cstheme="minorHAnsi"/>
          <w:bCs/>
          <w:color w:val="auto"/>
          <w:lang w:val="cs-CZ"/>
        </w:rPr>
        <w:t xml:space="preserve"> jednou. Pokud Subdodavatel opět nesplní akceptační kritéria, </w:t>
      </w:r>
      <w:r w:rsidR="002552EB" w:rsidRPr="002D74AC">
        <w:rPr>
          <w:rFonts w:asciiTheme="minorHAnsi" w:hAnsiTheme="minorHAnsi" w:cstheme="minorHAnsi"/>
          <w:bCs/>
          <w:color w:val="auto"/>
          <w:lang w:val="cs-CZ"/>
        </w:rPr>
        <w:t xml:space="preserve">je Deloitte oprávněna </w:t>
      </w:r>
      <w:r w:rsidR="00C63161" w:rsidRPr="002D74AC">
        <w:rPr>
          <w:rFonts w:asciiTheme="minorHAnsi" w:hAnsiTheme="minorHAnsi" w:cstheme="minorHAnsi"/>
          <w:bCs/>
          <w:color w:val="auto"/>
          <w:lang w:val="cs-CZ"/>
        </w:rPr>
        <w:t>ukončit Smlouvu v souladu s </w:t>
      </w:r>
      <w:r w:rsidR="00013FB9" w:rsidRPr="002D74AC">
        <w:rPr>
          <w:rFonts w:asciiTheme="minorHAnsi" w:hAnsiTheme="minorHAnsi" w:cstheme="minorHAnsi"/>
          <w:bCs/>
          <w:color w:val="auto"/>
          <w:lang w:val="cs-CZ"/>
        </w:rPr>
        <w:t xml:space="preserve">článkem 6 </w:t>
      </w:r>
      <w:r w:rsidR="002552EB" w:rsidRPr="002D74AC">
        <w:rPr>
          <w:rFonts w:asciiTheme="minorHAnsi" w:hAnsiTheme="minorHAnsi" w:cstheme="minorHAnsi"/>
          <w:bCs/>
          <w:color w:val="auto"/>
          <w:lang w:val="cs-CZ"/>
        </w:rPr>
        <w:t>odstavcem</w:t>
      </w:r>
      <w:r w:rsidR="00C63161" w:rsidRPr="002D74AC">
        <w:rPr>
          <w:rFonts w:asciiTheme="minorHAnsi" w:hAnsiTheme="minorHAnsi" w:cstheme="minorHAnsi"/>
          <w:bCs/>
          <w:color w:val="auto"/>
          <w:lang w:val="cs-CZ"/>
        </w:rPr>
        <w:t xml:space="preserve"> </w:t>
      </w:r>
      <w:r w:rsidR="003974C6" w:rsidRPr="002D74AC">
        <w:rPr>
          <w:rFonts w:asciiTheme="minorHAnsi" w:hAnsiTheme="minorHAnsi" w:cstheme="minorHAnsi"/>
          <w:bCs/>
          <w:color w:val="auto"/>
          <w:lang w:val="cs-CZ"/>
        </w:rPr>
        <w:t>(</w:t>
      </w:r>
      <w:r w:rsidR="007D62CE" w:rsidRPr="002D74AC">
        <w:rPr>
          <w:rFonts w:asciiTheme="minorHAnsi" w:hAnsiTheme="minorHAnsi" w:cstheme="minorHAnsi"/>
          <w:bCs/>
          <w:color w:val="auto"/>
          <w:lang w:val="cs-CZ"/>
        </w:rPr>
        <w:t>D</w:t>
      </w:r>
      <w:r w:rsidR="003974C6" w:rsidRPr="002D74AC">
        <w:rPr>
          <w:rFonts w:asciiTheme="minorHAnsi" w:hAnsiTheme="minorHAnsi" w:cstheme="minorHAnsi"/>
          <w:bCs/>
          <w:color w:val="auto"/>
          <w:lang w:val="cs-CZ"/>
        </w:rPr>
        <w:t>)</w:t>
      </w:r>
      <w:r w:rsidR="00A20E9C" w:rsidRPr="002D74AC">
        <w:rPr>
          <w:rFonts w:asciiTheme="minorHAnsi" w:hAnsiTheme="minorHAnsi" w:cstheme="minorHAnsi"/>
          <w:bCs/>
          <w:color w:val="auto"/>
          <w:lang w:val="cs-CZ"/>
        </w:rPr>
        <w:t xml:space="preserve"> </w:t>
      </w:r>
      <w:r w:rsidR="00C63161" w:rsidRPr="002D74AC">
        <w:rPr>
          <w:rFonts w:asciiTheme="minorHAnsi" w:hAnsiTheme="minorHAnsi" w:cstheme="minorHAnsi"/>
          <w:bCs/>
          <w:color w:val="auto"/>
          <w:lang w:val="cs-CZ"/>
        </w:rPr>
        <w:t xml:space="preserve">níže, není-li v Popisu Služeb uveden jiný </w:t>
      </w:r>
      <w:r w:rsidR="007F7EC7" w:rsidRPr="002D74AC">
        <w:rPr>
          <w:rFonts w:asciiTheme="minorHAnsi" w:hAnsiTheme="minorHAnsi" w:cstheme="minorHAnsi"/>
          <w:bCs/>
          <w:color w:val="auto"/>
          <w:lang w:val="cs-CZ"/>
        </w:rPr>
        <w:t>proces</w:t>
      </w:r>
      <w:r w:rsidR="00C63161" w:rsidRPr="002D74AC">
        <w:rPr>
          <w:rFonts w:asciiTheme="minorHAnsi" w:hAnsiTheme="minorHAnsi" w:cstheme="minorHAnsi"/>
          <w:bCs/>
          <w:color w:val="auto"/>
          <w:lang w:val="cs-CZ"/>
        </w:rPr>
        <w:t xml:space="preserve"> akceptace. </w:t>
      </w:r>
    </w:p>
    <w:p w14:paraId="77617E59" w14:textId="77777777" w:rsidR="0070429F" w:rsidRPr="002D74AC" w:rsidRDefault="0070429F" w:rsidP="0070429F">
      <w:pPr>
        <w:pStyle w:val="Zkladntext"/>
        <w:jc w:val="both"/>
        <w:rPr>
          <w:rFonts w:asciiTheme="minorHAnsi" w:hAnsiTheme="minorHAnsi" w:cstheme="minorHAnsi"/>
          <w:b w:val="0"/>
          <w:sz w:val="20"/>
          <w:lang w:val="cs-CZ"/>
        </w:rPr>
      </w:pPr>
    </w:p>
    <w:p w14:paraId="723917D0" w14:textId="77777777" w:rsidR="0070429F" w:rsidRPr="002D74AC" w:rsidRDefault="00C63161" w:rsidP="00C63161">
      <w:pPr>
        <w:pStyle w:val="Zkladntext"/>
        <w:jc w:val="both"/>
        <w:rPr>
          <w:rFonts w:asciiTheme="minorHAnsi" w:hAnsiTheme="minorHAnsi" w:cstheme="minorHAnsi"/>
          <w:b w:val="0"/>
          <w:sz w:val="20"/>
          <w:lang w:val="cs-CZ"/>
        </w:rPr>
      </w:pPr>
      <w:r w:rsidRPr="002D74AC">
        <w:rPr>
          <w:rFonts w:asciiTheme="minorHAnsi" w:hAnsiTheme="minorHAnsi" w:cstheme="minorHAnsi"/>
          <w:b w:val="0"/>
          <w:sz w:val="20"/>
          <w:lang w:val="cs-CZ"/>
        </w:rPr>
        <w:t>Úhrada faktur, pokud k ní dojde, nebude považována za akceptaci Služeb</w:t>
      </w:r>
      <w:r w:rsidR="002552EB" w:rsidRPr="002D74AC">
        <w:rPr>
          <w:rFonts w:asciiTheme="minorHAnsi" w:hAnsiTheme="minorHAnsi" w:cstheme="minorHAnsi"/>
          <w:b w:val="0"/>
          <w:sz w:val="20"/>
          <w:lang w:val="cs-CZ"/>
        </w:rPr>
        <w:t xml:space="preserve">. Poskytované Služby a související Výstupy </w:t>
      </w:r>
      <w:r w:rsidRPr="002D74AC">
        <w:rPr>
          <w:rFonts w:asciiTheme="minorHAnsi" w:hAnsiTheme="minorHAnsi" w:cstheme="minorHAnsi"/>
          <w:b w:val="0"/>
          <w:sz w:val="20"/>
          <w:lang w:val="cs-CZ"/>
        </w:rPr>
        <w:t>budou předmětem zkoumání, testování, akceptace nebo zamítnutí v souladu s</w:t>
      </w:r>
      <w:r w:rsidR="002552EB" w:rsidRPr="002D74AC">
        <w:rPr>
          <w:rFonts w:asciiTheme="minorHAnsi" w:hAnsiTheme="minorHAnsi" w:cstheme="minorHAnsi"/>
          <w:b w:val="0"/>
          <w:sz w:val="20"/>
          <w:lang w:val="cs-CZ"/>
        </w:rPr>
        <w:t xml:space="preserve"> akceptačními</w:t>
      </w:r>
      <w:r w:rsidRPr="002D74AC">
        <w:rPr>
          <w:rFonts w:asciiTheme="minorHAnsi" w:hAnsiTheme="minorHAnsi" w:cstheme="minorHAnsi"/>
          <w:b w:val="0"/>
          <w:sz w:val="20"/>
          <w:lang w:val="cs-CZ"/>
        </w:rPr>
        <w:t xml:space="preserve"> kritérii </w:t>
      </w:r>
      <w:r w:rsidR="002552EB" w:rsidRPr="002D74AC">
        <w:rPr>
          <w:rFonts w:asciiTheme="minorHAnsi" w:hAnsiTheme="minorHAnsi" w:cstheme="minorHAnsi"/>
          <w:b w:val="0"/>
          <w:sz w:val="20"/>
          <w:lang w:val="cs-CZ"/>
        </w:rPr>
        <w:t xml:space="preserve">či podmínkami dokončení </w:t>
      </w:r>
      <w:r w:rsidRPr="002D74AC">
        <w:rPr>
          <w:rFonts w:asciiTheme="minorHAnsi" w:hAnsiTheme="minorHAnsi" w:cstheme="minorHAnsi"/>
          <w:b w:val="0"/>
          <w:sz w:val="20"/>
          <w:lang w:val="cs-CZ"/>
        </w:rPr>
        <w:t>uvedenými v příslušném Popisu Služeb nebo odsouhlasenými Smluvními stranami.</w:t>
      </w:r>
      <w:r w:rsidR="0070429F" w:rsidRPr="002D74AC">
        <w:rPr>
          <w:rFonts w:asciiTheme="minorHAnsi" w:hAnsiTheme="minorHAnsi" w:cstheme="minorHAnsi"/>
          <w:b w:val="0"/>
          <w:sz w:val="20"/>
          <w:lang w:val="cs-CZ"/>
        </w:rPr>
        <w:t xml:space="preserve"> </w:t>
      </w:r>
    </w:p>
    <w:p w14:paraId="13536D98" w14:textId="77777777" w:rsidR="0070429F" w:rsidRPr="002D74AC" w:rsidRDefault="0070429F" w:rsidP="0070429F">
      <w:pPr>
        <w:pStyle w:val="Zkladntext"/>
        <w:jc w:val="both"/>
        <w:rPr>
          <w:rFonts w:asciiTheme="minorHAnsi" w:hAnsiTheme="minorHAnsi" w:cstheme="minorHAnsi"/>
          <w:b w:val="0"/>
          <w:sz w:val="20"/>
          <w:lang w:val="cs-CZ"/>
        </w:rPr>
      </w:pPr>
    </w:p>
    <w:p w14:paraId="02A00A68" w14:textId="2156428E" w:rsidR="0070429F" w:rsidRPr="002D74AC" w:rsidRDefault="00C63161" w:rsidP="0070429F">
      <w:pPr>
        <w:pStyle w:val="Zkladntext"/>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Služby a/nebo Výstupy </w:t>
      </w:r>
      <w:r w:rsidR="00502342" w:rsidRPr="002D74AC">
        <w:rPr>
          <w:rFonts w:asciiTheme="minorHAnsi" w:hAnsiTheme="minorHAnsi" w:cstheme="minorHAnsi"/>
          <w:b w:val="0"/>
          <w:sz w:val="20"/>
          <w:lang w:val="cs-CZ"/>
        </w:rPr>
        <w:t>se považují</w:t>
      </w:r>
      <w:r w:rsidRPr="002D74AC">
        <w:rPr>
          <w:rFonts w:asciiTheme="minorHAnsi" w:hAnsiTheme="minorHAnsi" w:cstheme="minorHAnsi"/>
          <w:b w:val="0"/>
          <w:sz w:val="20"/>
          <w:lang w:val="cs-CZ"/>
        </w:rPr>
        <w:t xml:space="preserve"> za </w:t>
      </w:r>
      <w:r w:rsidR="00502342" w:rsidRPr="002D74AC">
        <w:rPr>
          <w:rFonts w:asciiTheme="minorHAnsi" w:hAnsiTheme="minorHAnsi" w:cstheme="minorHAnsi"/>
          <w:b w:val="0"/>
          <w:sz w:val="20"/>
          <w:lang w:val="cs-CZ"/>
        </w:rPr>
        <w:t xml:space="preserve">dodané až poté, co budou akceptovány ze strany </w:t>
      </w:r>
      <w:r w:rsidR="0070389A" w:rsidRPr="002D74AC">
        <w:rPr>
          <w:rFonts w:asciiTheme="minorHAnsi" w:hAnsiTheme="minorHAnsi" w:cstheme="minorHAnsi"/>
          <w:b w:val="0"/>
          <w:sz w:val="20"/>
          <w:lang w:val="cs-CZ"/>
        </w:rPr>
        <w:t>Hlavního</w:t>
      </w:r>
      <w:r w:rsidRPr="002D74AC">
        <w:rPr>
          <w:rFonts w:asciiTheme="minorHAnsi" w:hAnsiTheme="minorHAnsi" w:cstheme="minorHAnsi"/>
          <w:b w:val="0"/>
          <w:sz w:val="20"/>
          <w:lang w:val="cs-CZ"/>
        </w:rPr>
        <w:t xml:space="preserve"> klient</w:t>
      </w:r>
      <w:r w:rsidR="00502342" w:rsidRPr="002D74AC">
        <w:rPr>
          <w:rFonts w:asciiTheme="minorHAnsi" w:hAnsiTheme="minorHAnsi" w:cstheme="minorHAnsi"/>
          <w:b w:val="0"/>
          <w:sz w:val="20"/>
          <w:lang w:val="cs-CZ"/>
        </w:rPr>
        <w:t>a</w:t>
      </w:r>
      <w:r w:rsidRPr="002D74AC">
        <w:rPr>
          <w:rFonts w:asciiTheme="minorHAnsi" w:hAnsiTheme="minorHAnsi" w:cstheme="minorHAnsi"/>
          <w:b w:val="0"/>
          <w:sz w:val="20"/>
          <w:lang w:val="cs-CZ"/>
        </w:rPr>
        <w:t xml:space="preserve"> v souladu s Hlavní smlouvou. Strany potvrdí splnění akceptace podpisem Akceptačního protokolu (příloha </w:t>
      </w:r>
      <w:r w:rsidR="00085872" w:rsidRPr="002D74AC">
        <w:rPr>
          <w:rFonts w:asciiTheme="minorHAnsi" w:hAnsiTheme="minorHAnsi" w:cstheme="minorHAnsi"/>
          <w:b w:val="0"/>
          <w:sz w:val="20"/>
          <w:lang w:val="cs-CZ"/>
        </w:rPr>
        <w:t>B</w:t>
      </w:r>
      <w:r w:rsidR="0070429F" w:rsidRPr="002D74AC">
        <w:rPr>
          <w:rFonts w:asciiTheme="minorHAnsi" w:hAnsiTheme="minorHAnsi" w:cstheme="minorHAnsi"/>
          <w:b w:val="0"/>
          <w:sz w:val="20"/>
          <w:lang w:val="cs-CZ"/>
        </w:rPr>
        <w:t xml:space="preserve"> </w:t>
      </w:r>
      <w:r w:rsidRPr="002D74AC">
        <w:rPr>
          <w:rFonts w:asciiTheme="minorHAnsi" w:hAnsiTheme="minorHAnsi" w:cstheme="minorHAnsi"/>
          <w:b w:val="0"/>
          <w:sz w:val="20"/>
          <w:lang w:val="cs-CZ"/>
        </w:rPr>
        <w:t>této Smlouvy</w:t>
      </w:r>
      <w:r w:rsidR="0070429F" w:rsidRPr="002D74AC">
        <w:rPr>
          <w:rFonts w:asciiTheme="minorHAnsi" w:hAnsiTheme="minorHAnsi" w:cstheme="minorHAnsi"/>
          <w:b w:val="0"/>
          <w:sz w:val="20"/>
          <w:lang w:val="cs-CZ"/>
        </w:rPr>
        <w:t>).</w:t>
      </w:r>
    </w:p>
    <w:p w14:paraId="50BBF55F" w14:textId="7C1DC534" w:rsidR="0070429F" w:rsidRPr="002D74AC" w:rsidRDefault="0070429F" w:rsidP="00D45B59">
      <w:pPr>
        <w:pStyle w:val="Textkomente"/>
        <w:ind w:hanging="567"/>
        <w:jc w:val="both"/>
        <w:rPr>
          <w:rFonts w:asciiTheme="minorHAnsi" w:hAnsiTheme="minorHAnsi" w:cstheme="minorHAnsi"/>
          <w:color w:val="auto"/>
          <w:lang w:val="cs-CZ"/>
        </w:rPr>
      </w:pPr>
    </w:p>
    <w:p w14:paraId="676C6F8A" w14:textId="77777777" w:rsidR="006A702C" w:rsidRPr="002D74AC" w:rsidRDefault="006A702C">
      <w:pPr>
        <w:pStyle w:val="Zkladntext"/>
        <w:ind w:hanging="540"/>
        <w:jc w:val="both"/>
        <w:rPr>
          <w:rFonts w:asciiTheme="minorHAnsi" w:hAnsiTheme="minorHAnsi" w:cstheme="minorHAnsi"/>
          <w:b w:val="0"/>
          <w:bCs/>
          <w:sz w:val="20"/>
          <w:lang w:val="cs-CZ"/>
        </w:rPr>
      </w:pPr>
    </w:p>
    <w:p w14:paraId="45FFF07A" w14:textId="77777777" w:rsidR="006A702C" w:rsidRPr="002D74AC" w:rsidRDefault="006A702C">
      <w:pPr>
        <w:pStyle w:val="Zkladntext"/>
        <w:ind w:hanging="720"/>
        <w:jc w:val="both"/>
        <w:rPr>
          <w:rFonts w:asciiTheme="minorHAnsi" w:hAnsiTheme="minorHAnsi" w:cstheme="minorHAnsi"/>
          <w:sz w:val="20"/>
          <w:lang w:val="cs-CZ"/>
        </w:rPr>
      </w:pPr>
      <w:r w:rsidRPr="002D74AC">
        <w:rPr>
          <w:rFonts w:asciiTheme="minorHAnsi" w:hAnsiTheme="minorHAnsi" w:cstheme="minorHAnsi"/>
          <w:sz w:val="20"/>
          <w:lang w:val="cs-CZ"/>
        </w:rPr>
        <w:t>5.</w:t>
      </w:r>
      <w:r w:rsidRPr="002D74AC">
        <w:rPr>
          <w:rFonts w:asciiTheme="minorHAnsi" w:hAnsiTheme="minorHAnsi" w:cstheme="minorHAnsi"/>
          <w:sz w:val="20"/>
          <w:lang w:val="cs-CZ"/>
        </w:rPr>
        <w:tab/>
      </w:r>
      <w:r w:rsidR="001D7049" w:rsidRPr="002D74AC">
        <w:rPr>
          <w:rFonts w:asciiTheme="minorHAnsi" w:hAnsiTheme="minorHAnsi" w:cstheme="minorHAnsi"/>
          <w:sz w:val="20"/>
          <w:lang w:val="cs-CZ"/>
        </w:rPr>
        <w:t xml:space="preserve">ZÁVAZKY </w:t>
      </w:r>
      <w:r w:rsidR="00502342" w:rsidRPr="002D74AC">
        <w:rPr>
          <w:rFonts w:asciiTheme="minorHAnsi" w:hAnsiTheme="minorHAnsi" w:cstheme="minorHAnsi"/>
          <w:sz w:val="20"/>
          <w:lang w:val="cs-CZ"/>
        </w:rPr>
        <w:t xml:space="preserve">A POVINNOSTI </w:t>
      </w:r>
      <w:r w:rsidR="001D7049" w:rsidRPr="002D74AC">
        <w:rPr>
          <w:rFonts w:asciiTheme="minorHAnsi" w:hAnsiTheme="minorHAnsi" w:cstheme="minorHAnsi"/>
          <w:sz w:val="20"/>
          <w:lang w:val="cs-CZ"/>
        </w:rPr>
        <w:t xml:space="preserve">SUBDODAVATELE </w:t>
      </w:r>
    </w:p>
    <w:p w14:paraId="06B94F04" w14:textId="77777777" w:rsidR="006A702C" w:rsidRPr="002D74AC" w:rsidRDefault="006A702C">
      <w:pPr>
        <w:pStyle w:val="Zkladntext"/>
        <w:jc w:val="both"/>
        <w:rPr>
          <w:rFonts w:asciiTheme="minorHAnsi" w:hAnsiTheme="minorHAnsi" w:cstheme="minorHAnsi"/>
          <w:b w:val="0"/>
          <w:bCs/>
          <w:sz w:val="20"/>
          <w:lang w:val="cs-CZ"/>
        </w:rPr>
      </w:pPr>
    </w:p>
    <w:p w14:paraId="0E190600" w14:textId="50F20CF5" w:rsidR="006A702C" w:rsidRPr="002D74AC" w:rsidRDefault="0037675A" w:rsidP="0037675A">
      <w:pPr>
        <w:pStyle w:val="Zkladntext"/>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Subdodavatel </w:t>
      </w:r>
      <w:r w:rsidR="0044491F" w:rsidRPr="002D74AC">
        <w:rPr>
          <w:rFonts w:asciiTheme="minorHAnsi" w:hAnsiTheme="minorHAnsi" w:cstheme="minorHAnsi"/>
          <w:b w:val="0"/>
          <w:bCs/>
          <w:sz w:val="20"/>
          <w:lang w:val="cs-CZ"/>
        </w:rPr>
        <w:t xml:space="preserve">se v souvislosti </w:t>
      </w:r>
      <w:r w:rsidR="00676107" w:rsidRPr="002D74AC">
        <w:rPr>
          <w:rFonts w:asciiTheme="minorHAnsi" w:hAnsiTheme="minorHAnsi" w:cstheme="minorHAnsi"/>
          <w:b w:val="0"/>
          <w:bCs/>
          <w:sz w:val="20"/>
          <w:lang w:val="cs-CZ"/>
        </w:rPr>
        <w:t xml:space="preserve">plněními </w:t>
      </w:r>
      <w:r w:rsidR="00A16984" w:rsidRPr="002D74AC">
        <w:rPr>
          <w:rFonts w:asciiTheme="minorHAnsi" w:hAnsiTheme="minorHAnsi" w:cstheme="minorHAnsi"/>
          <w:b w:val="0"/>
          <w:bCs/>
          <w:sz w:val="20"/>
          <w:lang w:val="cs-CZ"/>
        </w:rPr>
        <w:t xml:space="preserve">poskytovaným na základě </w:t>
      </w:r>
      <w:r w:rsidR="00676107" w:rsidRPr="002D74AC">
        <w:rPr>
          <w:rFonts w:asciiTheme="minorHAnsi" w:hAnsiTheme="minorHAnsi" w:cstheme="minorHAnsi"/>
          <w:b w:val="0"/>
          <w:bCs/>
          <w:sz w:val="20"/>
          <w:lang w:val="cs-CZ"/>
        </w:rPr>
        <w:t>této Smlouvy zavazuje k následujícímu</w:t>
      </w:r>
      <w:r w:rsidRPr="002D74AC">
        <w:rPr>
          <w:rFonts w:asciiTheme="minorHAnsi" w:hAnsiTheme="minorHAnsi" w:cstheme="minorHAnsi"/>
          <w:b w:val="0"/>
          <w:bCs/>
          <w:sz w:val="20"/>
          <w:lang w:val="cs-CZ"/>
        </w:rPr>
        <w:t xml:space="preserve"> (dále jen „</w:t>
      </w:r>
      <w:r w:rsidRPr="002D74AC">
        <w:rPr>
          <w:rFonts w:asciiTheme="minorHAnsi" w:hAnsiTheme="minorHAnsi" w:cstheme="minorHAnsi"/>
          <w:bCs/>
          <w:sz w:val="20"/>
          <w:lang w:val="cs-CZ"/>
        </w:rPr>
        <w:t>Závazky</w:t>
      </w:r>
      <w:r w:rsidRPr="002D74AC">
        <w:rPr>
          <w:rFonts w:asciiTheme="minorHAnsi" w:hAnsiTheme="minorHAnsi" w:cstheme="minorHAnsi"/>
          <w:b w:val="0"/>
          <w:bCs/>
          <w:sz w:val="20"/>
          <w:lang w:val="cs-CZ"/>
        </w:rPr>
        <w:t>“)</w:t>
      </w:r>
      <w:r w:rsidR="006A702C" w:rsidRPr="002D74AC">
        <w:rPr>
          <w:rFonts w:asciiTheme="minorHAnsi" w:hAnsiTheme="minorHAnsi" w:cstheme="minorHAnsi"/>
          <w:b w:val="0"/>
          <w:bCs/>
          <w:sz w:val="20"/>
          <w:lang w:val="cs-CZ"/>
        </w:rPr>
        <w:t>:</w:t>
      </w:r>
    </w:p>
    <w:p w14:paraId="6367A5B9" w14:textId="77777777" w:rsidR="0044491F" w:rsidRPr="002D74AC" w:rsidRDefault="0044491F" w:rsidP="0037675A">
      <w:pPr>
        <w:pStyle w:val="Zkladntext"/>
        <w:jc w:val="both"/>
        <w:rPr>
          <w:rFonts w:asciiTheme="minorHAnsi" w:hAnsiTheme="minorHAnsi" w:cstheme="minorHAnsi"/>
          <w:b w:val="0"/>
          <w:bCs/>
          <w:sz w:val="20"/>
          <w:lang w:val="cs-CZ"/>
        </w:rPr>
      </w:pPr>
    </w:p>
    <w:p w14:paraId="7107F4A8" w14:textId="77777777" w:rsidR="0037675A" w:rsidRPr="002D74AC" w:rsidRDefault="00676107" w:rsidP="004E5571">
      <w:pPr>
        <w:pStyle w:val="Zkladntext"/>
        <w:numPr>
          <w:ilvl w:val="1"/>
          <w:numId w:val="17"/>
        </w:numPr>
        <w:tabs>
          <w:tab w:val="clear" w:pos="720"/>
          <w:tab w:val="num" w:pos="540"/>
        </w:tabs>
        <w:ind w:left="540"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provádět práce a poskytovat</w:t>
      </w:r>
      <w:r w:rsidR="0037675A" w:rsidRPr="002D74AC">
        <w:rPr>
          <w:rFonts w:asciiTheme="minorHAnsi" w:hAnsiTheme="minorHAnsi" w:cstheme="minorHAnsi"/>
          <w:b w:val="0"/>
          <w:bCs/>
          <w:sz w:val="20"/>
          <w:lang w:val="cs-CZ"/>
        </w:rPr>
        <w:t xml:space="preserve"> Služby v souladu s</w:t>
      </w:r>
      <w:r w:rsidRPr="002D74AC">
        <w:rPr>
          <w:rFonts w:asciiTheme="minorHAnsi" w:hAnsiTheme="minorHAnsi" w:cstheme="minorHAnsi"/>
          <w:b w:val="0"/>
          <w:bCs/>
          <w:sz w:val="20"/>
          <w:lang w:val="cs-CZ"/>
        </w:rPr>
        <w:t xml:space="preserve"> touto</w:t>
      </w:r>
      <w:r w:rsidR="0037675A" w:rsidRPr="002D74AC">
        <w:rPr>
          <w:rFonts w:asciiTheme="minorHAnsi" w:hAnsiTheme="minorHAnsi" w:cstheme="minorHAnsi"/>
          <w:b w:val="0"/>
          <w:bCs/>
          <w:sz w:val="20"/>
          <w:lang w:val="cs-CZ"/>
        </w:rPr>
        <w:t xml:space="preserve"> Smlouvou, </w:t>
      </w:r>
      <w:r w:rsidRPr="002D74AC">
        <w:rPr>
          <w:rFonts w:asciiTheme="minorHAnsi" w:hAnsiTheme="minorHAnsi" w:cstheme="minorHAnsi"/>
          <w:b w:val="0"/>
          <w:bCs/>
          <w:sz w:val="20"/>
          <w:lang w:val="cs-CZ"/>
        </w:rPr>
        <w:t>vynakládat maximální</w:t>
      </w:r>
      <w:r w:rsidR="0037675A" w:rsidRPr="002D74AC">
        <w:rPr>
          <w:rFonts w:asciiTheme="minorHAnsi" w:hAnsiTheme="minorHAnsi" w:cstheme="minorHAnsi"/>
          <w:b w:val="0"/>
          <w:bCs/>
          <w:sz w:val="20"/>
          <w:lang w:val="cs-CZ"/>
        </w:rPr>
        <w:t xml:space="preserve"> úsilí a využít veškerých odborných znalostí, zkušeností a dovedností v zájmu Deloitte,</w:t>
      </w:r>
    </w:p>
    <w:p w14:paraId="5941B5E2" w14:textId="77777777" w:rsidR="00676107" w:rsidRPr="002D74AC" w:rsidRDefault="00676107" w:rsidP="004E5571">
      <w:pPr>
        <w:pStyle w:val="Zkladntext"/>
        <w:numPr>
          <w:ilvl w:val="1"/>
          <w:numId w:val="17"/>
        </w:numPr>
        <w:tabs>
          <w:tab w:val="clear" w:pos="720"/>
          <w:tab w:val="num" w:pos="540"/>
          <w:tab w:val="num" w:pos="1440"/>
        </w:tabs>
        <w:ind w:left="540"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informovat Deloitte o materiálech, vybavení a ostatních prostředcích, které je nezbytné Subdodavateli ze strany Deloitte poskytnout či zpřístupnit pro poskytování Služeb v souladu s touto Smlouvou, </w:t>
      </w:r>
    </w:p>
    <w:p w14:paraId="48EB8BD3" w14:textId="77777777" w:rsidR="008B79F8" w:rsidRPr="002D74AC" w:rsidRDefault="00BF09D1" w:rsidP="004E5571">
      <w:pPr>
        <w:pStyle w:val="Zkladntext"/>
        <w:numPr>
          <w:ilvl w:val="1"/>
          <w:numId w:val="17"/>
        </w:numPr>
        <w:tabs>
          <w:tab w:val="clear" w:pos="720"/>
          <w:tab w:val="num" w:pos="540"/>
        </w:tabs>
        <w:ind w:left="540"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poskytovat materiály, vybavení a </w:t>
      </w:r>
      <w:r w:rsidR="003974C6" w:rsidRPr="002D74AC">
        <w:rPr>
          <w:rFonts w:asciiTheme="minorHAnsi" w:hAnsiTheme="minorHAnsi" w:cstheme="minorHAnsi"/>
          <w:b w:val="0"/>
          <w:bCs/>
          <w:sz w:val="20"/>
          <w:lang w:val="cs-CZ"/>
        </w:rPr>
        <w:t xml:space="preserve">ostatní </w:t>
      </w:r>
      <w:r w:rsidR="00676107" w:rsidRPr="002D74AC">
        <w:rPr>
          <w:rFonts w:asciiTheme="minorHAnsi" w:hAnsiTheme="minorHAnsi" w:cstheme="minorHAnsi"/>
          <w:b w:val="0"/>
          <w:bCs/>
          <w:sz w:val="20"/>
          <w:lang w:val="cs-CZ"/>
        </w:rPr>
        <w:t>prostředky</w:t>
      </w:r>
      <w:r w:rsidRPr="002D74AC">
        <w:rPr>
          <w:rFonts w:asciiTheme="minorHAnsi" w:hAnsiTheme="minorHAnsi" w:cstheme="minorHAnsi"/>
          <w:b w:val="0"/>
          <w:bCs/>
          <w:sz w:val="20"/>
          <w:lang w:val="cs-CZ"/>
        </w:rPr>
        <w:t xml:space="preserve">, které mohou být nezbytné k provedení prací a poskytnutí Služeb </w:t>
      </w:r>
      <w:r w:rsidR="002552EB" w:rsidRPr="002D74AC">
        <w:rPr>
          <w:rFonts w:asciiTheme="minorHAnsi" w:hAnsiTheme="minorHAnsi" w:cstheme="minorHAnsi"/>
          <w:b w:val="0"/>
          <w:bCs/>
          <w:sz w:val="20"/>
          <w:lang w:val="cs-CZ"/>
        </w:rPr>
        <w:t>v přiměřeném množství, rozsahu a</w:t>
      </w:r>
      <w:r w:rsidRPr="002D74AC">
        <w:rPr>
          <w:rFonts w:asciiTheme="minorHAnsi" w:hAnsiTheme="minorHAnsi" w:cstheme="minorHAnsi"/>
          <w:b w:val="0"/>
          <w:bCs/>
          <w:sz w:val="20"/>
          <w:lang w:val="cs-CZ"/>
        </w:rPr>
        <w:t xml:space="preserve"> </w:t>
      </w:r>
      <w:r w:rsidR="002552EB" w:rsidRPr="002D74AC">
        <w:rPr>
          <w:rFonts w:asciiTheme="minorHAnsi" w:hAnsiTheme="minorHAnsi" w:cstheme="minorHAnsi"/>
          <w:b w:val="0"/>
          <w:bCs/>
          <w:sz w:val="20"/>
          <w:lang w:val="cs-CZ"/>
        </w:rPr>
        <w:t xml:space="preserve">na </w:t>
      </w:r>
      <w:r w:rsidRPr="002D74AC">
        <w:rPr>
          <w:rFonts w:asciiTheme="minorHAnsi" w:hAnsiTheme="minorHAnsi" w:cstheme="minorHAnsi"/>
          <w:b w:val="0"/>
          <w:bCs/>
          <w:sz w:val="20"/>
          <w:lang w:val="cs-CZ"/>
        </w:rPr>
        <w:t xml:space="preserve">vlastní náklady, </w:t>
      </w:r>
    </w:p>
    <w:p w14:paraId="0F5FE6A3" w14:textId="34360A08" w:rsidR="00687452" w:rsidRPr="002D74AC" w:rsidRDefault="00676107" w:rsidP="004E5571">
      <w:pPr>
        <w:pStyle w:val="Zkladntext"/>
        <w:numPr>
          <w:ilvl w:val="1"/>
          <w:numId w:val="17"/>
        </w:numPr>
        <w:tabs>
          <w:tab w:val="clear" w:pos="720"/>
          <w:tab w:val="num" w:pos="540"/>
        </w:tabs>
        <w:ind w:left="540"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dodržovat směrnice o požární ochraně, ochraně při práci a další nařízení nebo vnitřní směrnice Deloitte (a/nebo Hlavního klienta) zpřístupněné Subdodavateli ke dni podpisu této Smlouvy a přijmout nezbytná opatření pro zamezení vzniku škod, nehod nebo úrazů v průběhu poskytování Služeb</w:t>
      </w:r>
      <w:r w:rsidR="00687452" w:rsidRPr="002D74AC">
        <w:rPr>
          <w:rFonts w:asciiTheme="minorHAnsi" w:hAnsiTheme="minorHAnsi" w:cstheme="minorHAnsi"/>
          <w:b w:val="0"/>
          <w:bCs/>
          <w:sz w:val="20"/>
          <w:lang w:val="cs-CZ"/>
        </w:rPr>
        <w:t>,</w:t>
      </w:r>
    </w:p>
    <w:p w14:paraId="6D1FAB8B" w14:textId="4D2C73A0" w:rsidR="0006005C" w:rsidRPr="002D74AC" w:rsidRDefault="0006005C" w:rsidP="004E5571">
      <w:pPr>
        <w:pStyle w:val="Zkladntext"/>
        <w:numPr>
          <w:ilvl w:val="1"/>
          <w:numId w:val="17"/>
        </w:numPr>
        <w:tabs>
          <w:tab w:val="clear" w:pos="720"/>
          <w:tab w:val="num" w:pos="540"/>
        </w:tabs>
        <w:ind w:left="54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pokud Služby nebo Výstupy </w:t>
      </w:r>
      <w:r w:rsidR="0DE9D8AD" w:rsidRPr="002D74AC">
        <w:rPr>
          <w:rFonts w:asciiTheme="minorHAnsi" w:hAnsiTheme="minorHAnsi" w:cstheme="minorHAnsi"/>
          <w:b w:val="0"/>
          <w:sz w:val="20"/>
          <w:lang w:val="cs-CZ"/>
        </w:rPr>
        <w:t>nesplňují standardy</w:t>
      </w:r>
      <w:r w:rsidR="005A1D10" w:rsidRPr="002D74AC">
        <w:rPr>
          <w:rFonts w:asciiTheme="minorHAnsi" w:hAnsiTheme="minorHAnsi" w:cstheme="minorHAnsi"/>
          <w:b w:val="0"/>
          <w:sz w:val="20"/>
          <w:lang w:val="cs-CZ"/>
        </w:rPr>
        <w:t xml:space="preserve"> stanovené v </w:t>
      </w:r>
      <w:r w:rsidRPr="002D74AC">
        <w:rPr>
          <w:rFonts w:asciiTheme="minorHAnsi" w:hAnsiTheme="minorHAnsi" w:cstheme="minorHAnsi"/>
          <w:b w:val="0"/>
          <w:sz w:val="20"/>
          <w:lang w:val="cs-CZ"/>
        </w:rPr>
        <w:t>této Smlouvě</w:t>
      </w:r>
      <w:r w:rsidR="005A1D10" w:rsidRPr="002D74AC">
        <w:rPr>
          <w:rFonts w:asciiTheme="minorHAnsi" w:hAnsiTheme="minorHAnsi" w:cstheme="minorHAnsi"/>
          <w:b w:val="0"/>
          <w:sz w:val="20"/>
          <w:lang w:val="cs-CZ"/>
        </w:rPr>
        <w:t xml:space="preserve"> či nebudou poskytovány v souladu s prohlášeními a ujištěními Subdodavatele</w:t>
      </w:r>
      <w:r w:rsidRPr="002D74AC">
        <w:rPr>
          <w:rFonts w:asciiTheme="minorHAnsi" w:hAnsiTheme="minorHAnsi" w:cstheme="minorHAnsi"/>
          <w:b w:val="0"/>
          <w:sz w:val="20"/>
          <w:lang w:val="cs-CZ"/>
        </w:rPr>
        <w:t>, Subdodavatel poskytne Služby znovu nebo opraví či nahradí Výstupy, a to bezplatně a v</w:t>
      </w:r>
      <w:r w:rsidR="005A1D10" w:rsidRPr="002D74AC">
        <w:rPr>
          <w:rFonts w:asciiTheme="minorHAnsi" w:hAnsiTheme="minorHAnsi" w:cstheme="minorHAnsi"/>
          <w:b w:val="0"/>
          <w:sz w:val="20"/>
          <w:lang w:val="cs-CZ"/>
        </w:rPr>
        <w:t> </w:t>
      </w:r>
      <w:r w:rsidRPr="002D74AC">
        <w:rPr>
          <w:rFonts w:asciiTheme="minorHAnsi" w:hAnsiTheme="minorHAnsi" w:cstheme="minorHAnsi"/>
          <w:b w:val="0"/>
          <w:sz w:val="20"/>
          <w:lang w:val="cs-CZ"/>
        </w:rPr>
        <w:t>náhradn</w:t>
      </w:r>
      <w:r w:rsidR="005A1D10" w:rsidRPr="002D74AC">
        <w:rPr>
          <w:rFonts w:asciiTheme="minorHAnsi" w:hAnsiTheme="minorHAnsi" w:cstheme="minorHAnsi"/>
          <w:b w:val="0"/>
          <w:sz w:val="20"/>
          <w:lang w:val="cs-CZ"/>
        </w:rPr>
        <w:t>í lhůtě</w:t>
      </w:r>
      <w:r w:rsidRPr="002D74AC">
        <w:rPr>
          <w:rFonts w:asciiTheme="minorHAnsi" w:hAnsiTheme="minorHAnsi" w:cstheme="minorHAnsi"/>
          <w:b w:val="0"/>
          <w:sz w:val="20"/>
          <w:lang w:val="cs-CZ"/>
        </w:rPr>
        <w:t xml:space="preserve"> </w:t>
      </w:r>
      <w:r w:rsidR="005A1D10" w:rsidRPr="002D74AC">
        <w:rPr>
          <w:rFonts w:asciiTheme="minorHAnsi" w:hAnsiTheme="minorHAnsi" w:cstheme="minorHAnsi"/>
          <w:b w:val="0"/>
          <w:sz w:val="20"/>
          <w:lang w:val="cs-CZ"/>
        </w:rPr>
        <w:t xml:space="preserve">či termínu </w:t>
      </w:r>
      <w:r w:rsidRPr="002D74AC">
        <w:rPr>
          <w:rFonts w:asciiTheme="minorHAnsi" w:hAnsiTheme="minorHAnsi" w:cstheme="minorHAnsi"/>
          <w:b w:val="0"/>
          <w:sz w:val="20"/>
          <w:lang w:val="cs-CZ"/>
        </w:rPr>
        <w:t>určen</w:t>
      </w:r>
      <w:r w:rsidR="005A1D10" w:rsidRPr="002D74AC">
        <w:rPr>
          <w:rFonts w:asciiTheme="minorHAnsi" w:hAnsiTheme="minorHAnsi" w:cstheme="minorHAnsi"/>
          <w:b w:val="0"/>
          <w:sz w:val="20"/>
          <w:lang w:val="cs-CZ"/>
        </w:rPr>
        <w:t>ými</w:t>
      </w:r>
      <w:r w:rsidRPr="002D74AC">
        <w:rPr>
          <w:rFonts w:asciiTheme="minorHAnsi" w:hAnsiTheme="minorHAnsi" w:cstheme="minorHAnsi"/>
          <w:b w:val="0"/>
          <w:sz w:val="20"/>
          <w:lang w:val="cs-CZ"/>
        </w:rPr>
        <w:t xml:space="preserve"> </w:t>
      </w:r>
      <w:r w:rsidR="005A1D10" w:rsidRPr="002D74AC">
        <w:rPr>
          <w:rFonts w:asciiTheme="minorHAnsi" w:hAnsiTheme="minorHAnsi" w:cstheme="minorHAnsi"/>
          <w:b w:val="0"/>
          <w:sz w:val="20"/>
          <w:lang w:val="cs-CZ"/>
        </w:rPr>
        <w:t xml:space="preserve">ze strany </w:t>
      </w:r>
      <w:r w:rsidRPr="002D74AC">
        <w:rPr>
          <w:rFonts w:asciiTheme="minorHAnsi" w:hAnsiTheme="minorHAnsi" w:cstheme="minorHAnsi"/>
          <w:b w:val="0"/>
          <w:sz w:val="20"/>
          <w:lang w:val="cs-CZ"/>
        </w:rPr>
        <w:t xml:space="preserve">Deloitte. Pokud tak Subdodavatel neučiní, Deloitte nebo Hlavní klient může Službu poskytnout znovu nebo opravit či nahradit Výstupy a Subdodavatel </w:t>
      </w:r>
      <w:r w:rsidR="005A1D10" w:rsidRPr="002D74AC">
        <w:rPr>
          <w:rFonts w:asciiTheme="minorHAnsi" w:hAnsiTheme="minorHAnsi" w:cstheme="minorHAnsi"/>
          <w:b w:val="0"/>
          <w:sz w:val="20"/>
          <w:lang w:val="cs-CZ"/>
        </w:rPr>
        <w:t xml:space="preserve">bude poté povinen uhradit </w:t>
      </w:r>
      <w:r w:rsidRPr="002D74AC">
        <w:rPr>
          <w:rFonts w:asciiTheme="minorHAnsi" w:hAnsiTheme="minorHAnsi" w:cstheme="minorHAnsi"/>
          <w:b w:val="0"/>
          <w:sz w:val="20"/>
          <w:lang w:val="cs-CZ"/>
        </w:rPr>
        <w:t xml:space="preserve">Deloitte skutečné </w:t>
      </w:r>
      <w:r w:rsidR="005A1D10" w:rsidRPr="002D74AC">
        <w:rPr>
          <w:rFonts w:asciiTheme="minorHAnsi" w:hAnsiTheme="minorHAnsi" w:cstheme="minorHAnsi"/>
          <w:b w:val="0"/>
          <w:sz w:val="20"/>
          <w:lang w:val="cs-CZ"/>
        </w:rPr>
        <w:t xml:space="preserve">a </w:t>
      </w:r>
      <w:r w:rsidRPr="002D74AC">
        <w:rPr>
          <w:rFonts w:asciiTheme="minorHAnsi" w:hAnsiTheme="minorHAnsi" w:cstheme="minorHAnsi"/>
          <w:b w:val="0"/>
          <w:sz w:val="20"/>
          <w:lang w:val="cs-CZ"/>
        </w:rPr>
        <w:t>přiměřené náklad</w:t>
      </w:r>
      <w:r w:rsidR="00644B09" w:rsidRPr="002D74AC">
        <w:rPr>
          <w:rFonts w:asciiTheme="minorHAnsi" w:hAnsiTheme="minorHAnsi" w:cstheme="minorHAnsi"/>
          <w:b w:val="0"/>
          <w:sz w:val="20"/>
          <w:lang w:val="cs-CZ"/>
        </w:rPr>
        <w:t>y</w:t>
      </w:r>
      <w:r w:rsidRPr="002D74AC">
        <w:rPr>
          <w:rFonts w:asciiTheme="minorHAnsi" w:hAnsiTheme="minorHAnsi" w:cstheme="minorHAnsi"/>
          <w:b w:val="0"/>
          <w:sz w:val="20"/>
          <w:lang w:val="cs-CZ"/>
        </w:rPr>
        <w:t xml:space="preserve"> vzniklé v této souvislosti,  </w:t>
      </w:r>
    </w:p>
    <w:p w14:paraId="7304D367" w14:textId="4E947811" w:rsidR="00AA7767" w:rsidRPr="002D74AC" w:rsidRDefault="0006005C" w:rsidP="004E5571">
      <w:pPr>
        <w:pStyle w:val="Zkladntext"/>
        <w:numPr>
          <w:ilvl w:val="1"/>
          <w:numId w:val="17"/>
        </w:numPr>
        <w:tabs>
          <w:tab w:val="clear" w:pos="720"/>
          <w:tab w:val="num" w:pos="540"/>
        </w:tabs>
        <w:ind w:left="540"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znát a </w:t>
      </w:r>
      <w:r w:rsidR="00676107" w:rsidRPr="002D74AC">
        <w:rPr>
          <w:rFonts w:asciiTheme="minorHAnsi" w:hAnsiTheme="minorHAnsi" w:cstheme="minorHAnsi"/>
          <w:b w:val="0"/>
          <w:bCs/>
          <w:sz w:val="20"/>
          <w:lang w:val="cs-CZ"/>
        </w:rPr>
        <w:t xml:space="preserve">přísně dodržovat všechny zákony a nařízení týkající se korupce, nečestného jednání a zakázaných obchodních postupů. Subdodavatel a jeho přidružené společnosti </w:t>
      </w:r>
      <w:r w:rsidR="00676107" w:rsidRPr="002D74AC">
        <w:rPr>
          <w:rFonts w:asciiTheme="minorHAnsi" w:hAnsiTheme="minorHAnsi" w:cstheme="minorHAnsi"/>
          <w:b w:val="0"/>
          <w:sz w:val="20"/>
          <w:lang w:val="cs-CZ"/>
        </w:rPr>
        <w:t xml:space="preserve">a členové Subdodavatelova týmu </w:t>
      </w:r>
      <w:r w:rsidR="00676107" w:rsidRPr="002D74AC">
        <w:rPr>
          <w:rFonts w:asciiTheme="minorHAnsi" w:hAnsiTheme="minorHAnsi" w:cstheme="minorHAnsi"/>
          <w:b w:val="0"/>
          <w:bCs/>
          <w:sz w:val="20"/>
          <w:lang w:val="cs-CZ"/>
        </w:rPr>
        <w:t>deklarují, že on sám ani jeho zaměstnanci, či ostatní spolupracovníci nenabídli ani nenabídnou, nepřislíbili a nepřislíbí, neposkytli a neposkytnou ani nesouhlasili a nebudou souhlasit, že komukoli přímo nebo nepřímo poskytnou platby nebo dary (peněžní nebo jakkoli hodnotné) za účelem ovlivnit nebo přimět někoho, aby ovlivnil přijetí či změnu rozhodnutí ve prospěch Deloitte nebo jakékoli společnosti skupiny Deloitte,</w:t>
      </w:r>
      <w:r w:rsidR="00676107" w:rsidRPr="002D74AC" w:rsidDel="00676107">
        <w:rPr>
          <w:rFonts w:asciiTheme="minorHAnsi" w:hAnsiTheme="minorHAnsi" w:cstheme="minorHAnsi"/>
          <w:b w:val="0"/>
          <w:bCs/>
          <w:sz w:val="20"/>
          <w:lang w:val="cs-CZ"/>
        </w:rPr>
        <w:t xml:space="preserve"> </w:t>
      </w:r>
    </w:p>
    <w:p w14:paraId="1B2F0371" w14:textId="77777777" w:rsidR="00AA7767" w:rsidRPr="002D74AC" w:rsidRDefault="00676107" w:rsidP="004E5571">
      <w:pPr>
        <w:pStyle w:val="Zkladntext"/>
        <w:numPr>
          <w:ilvl w:val="1"/>
          <w:numId w:val="17"/>
        </w:numPr>
        <w:tabs>
          <w:tab w:val="clear" w:pos="720"/>
          <w:tab w:val="num" w:pos="540"/>
        </w:tabs>
        <w:ind w:left="540" w:hanging="540"/>
        <w:jc w:val="both"/>
        <w:rPr>
          <w:rFonts w:asciiTheme="minorHAnsi" w:hAnsiTheme="minorHAnsi" w:cstheme="minorHAnsi"/>
          <w:b w:val="0"/>
          <w:sz w:val="20"/>
          <w:lang w:val="cs-CZ"/>
        </w:rPr>
      </w:pPr>
      <w:r w:rsidRPr="002D74AC">
        <w:rPr>
          <w:rFonts w:asciiTheme="minorHAnsi" w:hAnsiTheme="minorHAnsi" w:cstheme="minorHAnsi"/>
          <w:b w:val="0"/>
          <w:bCs/>
          <w:sz w:val="20"/>
          <w:lang w:val="cs-CZ"/>
        </w:rPr>
        <w:t>okamžitě informovat společnost Deloitte o jakýchkoli skutečnostech, které by mohly mít jakýkoli dopad nebo vliv na plnění podmínek této Smlouvy a Výstupy a/nebo Služby poskytnuté v souladu s ní</w:t>
      </w:r>
      <w:r w:rsidR="0006005C" w:rsidRPr="002D74AC">
        <w:rPr>
          <w:rFonts w:asciiTheme="minorHAnsi" w:hAnsiTheme="minorHAnsi" w:cstheme="minorHAnsi"/>
          <w:b w:val="0"/>
          <w:bCs/>
          <w:sz w:val="20"/>
          <w:lang w:val="cs-CZ"/>
        </w:rPr>
        <w:t>,</w:t>
      </w:r>
    </w:p>
    <w:p w14:paraId="75A3C49D" w14:textId="1DCBEB6E" w:rsidR="00AA7767" w:rsidRPr="002D74AC" w:rsidRDefault="0006005C" w:rsidP="004E5571">
      <w:pPr>
        <w:pStyle w:val="Zkladntext"/>
        <w:numPr>
          <w:ilvl w:val="1"/>
          <w:numId w:val="17"/>
        </w:numPr>
        <w:tabs>
          <w:tab w:val="clear" w:pos="720"/>
          <w:tab w:val="num" w:pos="540"/>
        </w:tabs>
        <w:ind w:left="540" w:hanging="540"/>
        <w:jc w:val="both"/>
        <w:rPr>
          <w:rFonts w:asciiTheme="minorHAnsi" w:hAnsiTheme="minorHAnsi" w:cstheme="minorHAnsi"/>
          <w:b w:val="0"/>
          <w:bCs/>
          <w:sz w:val="20"/>
          <w:lang w:val="cs-CZ"/>
        </w:rPr>
      </w:pPr>
      <w:r w:rsidRPr="002D74AC">
        <w:rPr>
          <w:rFonts w:asciiTheme="minorHAnsi" w:hAnsiTheme="minorHAnsi" w:cstheme="minorHAnsi"/>
          <w:b w:val="0"/>
          <w:sz w:val="20"/>
          <w:lang w:val="cs-CZ"/>
        </w:rPr>
        <w:t>v případě zpoždění (</w:t>
      </w:r>
      <w:r w:rsidR="00A258E9" w:rsidRPr="002D74AC">
        <w:rPr>
          <w:rFonts w:asciiTheme="minorHAnsi" w:hAnsiTheme="minorHAnsi" w:cstheme="minorHAnsi"/>
          <w:b w:val="0"/>
          <w:sz w:val="20"/>
          <w:lang w:val="cs-CZ"/>
        </w:rPr>
        <w:t>čímž</w:t>
      </w:r>
      <w:r w:rsidR="002B42CF" w:rsidRPr="002D74AC">
        <w:rPr>
          <w:rFonts w:asciiTheme="minorHAnsi" w:hAnsiTheme="minorHAnsi" w:cstheme="minorHAnsi"/>
          <w:b w:val="0"/>
          <w:sz w:val="20"/>
          <w:lang w:val="cs-CZ"/>
        </w:rPr>
        <w:t xml:space="preserve"> se rozumí buď pozdní plnění nebo včasné plnění, </w:t>
      </w:r>
      <w:r w:rsidR="005234EE" w:rsidRPr="002D74AC">
        <w:rPr>
          <w:rFonts w:asciiTheme="minorHAnsi" w:hAnsiTheme="minorHAnsi" w:cstheme="minorHAnsi"/>
          <w:b w:val="0"/>
          <w:sz w:val="20"/>
          <w:lang w:val="cs-CZ"/>
        </w:rPr>
        <w:t xml:space="preserve">které však není </w:t>
      </w:r>
      <w:r w:rsidR="00A16984" w:rsidRPr="002D74AC">
        <w:rPr>
          <w:rFonts w:asciiTheme="minorHAnsi" w:hAnsiTheme="minorHAnsi" w:cstheme="minorHAnsi"/>
          <w:b w:val="0"/>
          <w:sz w:val="20"/>
          <w:lang w:val="cs-CZ"/>
        </w:rPr>
        <w:t>řádným plněním</w:t>
      </w:r>
      <w:r w:rsidR="0044491F" w:rsidRPr="002D74AC">
        <w:rPr>
          <w:rFonts w:asciiTheme="minorHAnsi" w:hAnsiTheme="minorHAnsi" w:cstheme="minorHAnsi"/>
          <w:b w:val="0"/>
          <w:sz w:val="20"/>
          <w:lang w:val="cs-CZ"/>
        </w:rPr>
        <w:t xml:space="preserve"> podle této Smlouvy</w:t>
      </w:r>
      <w:r w:rsidR="002B42CF" w:rsidRPr="002D74AC">
        <w:rPr>
          <w:rFonts w:asciiTheme="minorHAnsi" w:hAnsiTheme="minorHAnsi" w:cstheme="minorHAnsi"/>
          <w:b w:val="0"/>
          <w:sz w:val="20"/>
          <w:lang w:val="cs-CZ"/>
        </w:rPr>
        <w:t>)</w:t>
      </w:r>
      <w:r w:rsidR="005234EE" w:rsidRPr="002D74AC">
        <w:rPr>
          <w:rFonts w:asciiTheme="minorHAnsi" w:hAnsiTheme="minorHAnsi" w:cstheme="minorHAnsi"/>
          <w:b w:val="0"/>
          <w:sz w:val="20"/>
          <w:lang w:val="cs-CZ"/>
        </w:rPr>
        <w:t xml:space="preserve"> s</w:t>
      </w:r>
      <w:r w:rsidR="002B42CF" w:rsidRPr="002D74AC">
        <w:rPr>
          <w:rFonts w:asciiTheme="minorHAnsi" w:hAnsiTheme="minorHAnsi" w:cstheme="minorHAnsi"/>
          <w:b w:val="0"/>
          <w:sz w:val="20"/>
          <w:lang w:val="cs-CZ"/>
        </w:rPr>
        <w:t xml:space="preserve"> plnění</w:t>
      </w:r>
      <w:r w:rsidR="005234EE" w:rsidRPr="002D74AC">
        <w:rPr>
          <w:rFonts w:asciiTheme="minorHAnsi" w:hAnsiTheme="minorHAnsi" w:cstheme="minorHAnsi"/>
          <w:b w:val="0"/>
          <w:sz w:val="20"/>
          <w:lang w:val="cs-CZ"/>
        </w:rPr>
        <w:t>m</w:t>
      </w:r>
      <w:r w:rsidR="002B42CF" w:rsidRPr="002D74AC">
        <w:rPr>
          <w:rFonts w:asciiTheme="minorHAnsi" w:hAnsiTheme="minorHAnsi" w:cstheme="minorHAnsi"/>
          <w:b w:val="0"/>
          <w:sz w:val="20"/>
          <w:lang w:val="cs-CZ"/>
        </w:rPr>
        <w:t xml:space="preserve"> Služeb nebo doručení</w:t>
      </w:r>
      <w:r w:rsidR="005234EE" w:rsidRPr="002D74AC">
        <w:rPr>
          <w:rFonts w:asciiTheme="minorHAnsi" w:hAnsiTheme="minorHAnsi" w:cstheme="minorHAnsi"/>
          <w:b w:val="0"/>
          <w:sz w:val="20"/>
          <w:lang w:val="cs-CZ"/>
        </w:rPr>
        <w:t>m</w:t>
      </w:r>
      <w:r w:rsidR="002B42CF" w:rsidRPr="002D74AC">
        <w:rPr>
          <w:rFonts w:asciiTheme="minorHAnsi" w:hAnsiTheme="minorHAnsi" w:cstheme="minorHAnsi"/>
          <w:b w:val="0"/>
          <w:sz w:val="20"/>
          <w:lang w:val="cs-CZ"/>
        </w:rPr>
        <w:t xml:space="preserve"> Výstupů podle této Smlouvy může Deloitte podle vlastního uvážení účtovat</w:t>
      </w:r>
      <w:r w:rsidR="00676107" w:rsidRPr="002D74AC">
        <w:rPr>
          <w:rFonts w:asciiTheme="minorHAnsi" w:hAnsiTheme="minorHAnsi" w:cstheme="minorHAnsi"/>
          <w:b w:val="0"/>
          <w:sz w:val="20"/>
          <w:lang w:val="cs-CZ"/>
        </w:rPr>
        <w:t xml:space="preserve"> </w:t>
      </w:r>
      <w:r w:rsidR="003974C6" w:rsidRPr="002D74AC">
        <w:rPr>
          <w:rFonts w:asciiTheme="minorHAnsi" w:hAnsiTheme="minorHAnsi" w:cstheme="minorHAnsi"/>
          <w:b w:val="0"/>
          <w:sz w:val="20"/>
          <w:lang w:val="cs-CZ"/>
        </w:rPr>
        <w:t>smluvní pokutu</w:t>
      </w:r>
      <w:r w:rsidR="002B42CF" w:rsidRPr="002D74AC">
        <w:rPr>
          <w:rFonts w:asciiTheme="minorHAnsi" w:hAnsiTheme="minorHAnsi" w:cstheme="minorHAnsi"/>
          <w:b w:val="0"/>
          <w:sz w:val="20"/>
          <w:lang w:val="cs-CZ"/>
        </w:rPr>
        <w:t xml:space="preserve"> za pozdní plnění. </w:t>
      </w:r>
      <w:r w:rsidR="00A16984" w:rsidRPr="002D74AC">
        <w:rPr>
          <w:rFonts w:asciiTheme="minorHAnsi" w:hAnsiTheme="minorHAnsi" w:cstheme="minorHAnsi"/>
          <w:b w:val="0"/>
          <w:sz w:val="20"/>
          <w:lang w:val="cs-CZ"/>
        </w:rPr>
        <w:t>S</w:t>
      </w:r>
      <w:r w:rsidR="003974C6" w:rsidRPr="002D74AC">
        <w:rPr>
          <w:rFonts w:asciiTheme="minorHAnsi" w:hAnsiTheme="minorHAnsi" w:cstheme="minorHAnsi"/>
          <w:b w:val="0"/>
          <w:sz w:val="20"/>
          <w:lang w:val="cs-CZ"/>
        </w:rPr>
        <w:t>mluvní pokut</w:t>
      </w:r>
      <w:r w:rsidR="00A16984" w:rsidRPr="002D74AC">
        <w:rPr>
          <w:rFonts w:asciiTheme="minorHAnsi" w:hAnsiTheme="minorHAnsi" w:cstheme="minorHAnsi"/>
          <w:b w:val="0"/>
          <w:sz w:val="20"/>
          <w:lang w:val="cs-CZ"/>
        </w:rPr>
        <w:t>a činí</w:t>
      </w:r>
      <w:r w:rsidR="002B42CF" w:rsidRPr="002D74AC">
        <w:rPr>
          <w:rFonts w:asciiTheme="minorHAnsi" w:hAnsiTheme="minorHAnsi" w:cstheme="minorHAnsi"/>
          <w:b w:val="0"/>
          <w:sz w:val="20"/>
          <w:lang w:val="cs-CZ"/>
        </w:rPr>
        <w:t xml:space="preserve"> </w:t>
      </w:r>
      <w:r w:rsidR="00041AEB" w:rsidRPr="002D74AC">
        <w:rPr>
          <w:rFonts w:asciiTheme="minorHAnsi" w:hAnsiTheme="minorHAnsi" w:cstheme="minorHAnsi"/>
          <w:b w:val="0"/>
          <w:sz w:val="20"/>
          <w:lang w:val="cs-CZ"/>
        </w:rPr>
        <w:t>1</w:t>
      </w:r>
      <w:r w:rsidR="002B42CF" w:rsidRPr="002D74AC">
        <w:rPr>
          <w:rFonts w:asciiTheme="minorHAnsi" w:hAnsiTheme="minorHAnsi" w:cstheme="minorHAnsi"/>
          <w:b w:val="0"/>
          <w:sz w:val="20"/>
          <w:lang w:val="cs-CZ"/>
        </w:rPr>
        <w:t xml:space="preserve"> </w:t>
      </w:r>
      <w:r w:rsidR="00041AEB" w:rsidRPr="002D74AC">
        <w:rPr>
          <w:rFonts w:asciiTheme="minorHAnsi" w:hAnsiTheme="minorHAnsi" w:cstheme="minorHAnsi"/>
          <w:b w:val="0"/>
          <w:sz w:val="20"/>
          <w:lang w:val="cs-CZ"/>
        </w:rPr>
        <w:t xml:space="preserve">% </w:t>
      </w:r>
      <w:r w:rsidR="003974C6" w:rsidRPr="002D74AC">
        <w:rPr>
          <w:rFonts w:asciiTheme="minorHAnsi" w:hAnsiTheme="minorHAnsi" w:cstheme="minorHAnsi"/>
          <w:b w:val="0"/>
          <w:sz w:val="20"/>
          <w:lang w:val="cs-CZ"/>
        </w:rPr>
        <w:t xml:space="preserve">z </w:t>
      </w:r>
      <w:r w:rsidR="002B42CF" w:rsidRPr="002D74AC">
        <w:rPr>
          <w:rFonts w:asciiTheme="minorHAnsi" w:hAnsiTheme="minorHAnsi" w:cstheme="minorHAnsi"/>
          <w:b w:val="0"/>
          <w:sz w:val="20"/>
          <w:lang w:val="cs-CZ"/>
        </w:rPr>
        <w:t>částky celkové odměny</w:t>
      </w:r>
      <w:r w:rsidR="00CD1682" w:rsidRPr="002D74AC">
        <w:rPr>
          <w:rFonts w:asciiTheme="minorHAnsi" w:hAnsiTheme="minorHAnsi" w:cstheme="minorHAnsi"/>
          <w:b w:val="0"/>
          <w:sz w:val="20"/>
          <w:lang w:val="cs-CZ"/>
        </w:rPr>
        <w:t xml:space="preserve"> </w:t>
      </w:r>
      <w:r w:rsidR="00CF7ACB" w:rsidRPr="002D74AC">
        <w:rPr>
          <w:rFonts w:asciiTheme="minorHAnsi" w:hAnsiTheme="minorHAnsi" w:cstheme="minorHAnsi"/>
          <w:b w:val="0"/>
          <w:sz w:val="20"/>
          <w:lang w:val="cs-CZ"/>
        </w:rPr>
        <w:t>dle příslušného Popisu Služeb</w:t>
      </w:r>
      <w:r w:rsidR="002B42CF" w:rsidRPr="002D74AC">
        <w:rPr>
          <w:rFonts w:asciiTheme="minorHAnsi" w:hAnsiTheme="minorHAnsi" w:cstheme="minorHAnsi"/>
          <w:b w:val="0"/>
          <w:sz w:val="20"/>
          <w:lang w:val="cs-CZ"/>
        </w:rPr>
        <w:t xml:space="preserve"> za každý den prodlení</w:t>
      </w:r>
      <w:r w:rsidR="004421D9" w:rsidRPr="002D74AC">
        <w:rPr>
          <w:rFonts w:asciiTheme="minorHAnsi" w:hAnsiTheme="minorHAnsi" w:cstheme="minorHAnsi"/>
          <w:b w:val="0"/>
          <w:sz w:val="20"/>
          <w:lang w:val="cs-CZ"/>
        </w:rPr>
        <w:t xml:space="preserve">. </w:t>
      </w:r>
      <w:r w:rsidR="00A258E9" w:rsidRPr="002D74AC">
        <w:rPr>
          <w:rFonts w:asciiTheme="minorHAnsi" w:hAnsiTheme="minorHAnsi" w:cstheme="minorHAnsi"/>
          <w:b w:val="0"/>
          <w:sz w:val="20"/>
          <w:lang w:val="cs-CZ"/>
        </w:rPr>
        <w:t>Zaplacením smluvní pokuty Subdodavatelem není nijak dotčeno p</w:t>
      </w:r>
      <w:r w:rsidR="004421D9" w:rsidRPr="002D74AC">
        <w:rPr>
          <w:rFonts w:asciiTheme="minorHAnsi" w:hAnsiTheme="minorHAnsi" w:cstheme="minorHAnsi"/>
          <w:b w:val="0"/>
          <w:sz w:val="20"/>
          <w:lang w:val="cs-CZ"/>
        </w:rPr>
        <w:t>rávo Deloitte na náhradu škody vzniklé takovým zpožděním</w:t>
      </w:r>
      <w:r w:rsidR="002B42CF" w:rsidRPr="002D74AC">
        <w:rPr>
          <w:rFonts w:asciiTheme="minorHAnsi" w:hAnsiTheme="minorHAnsi" w:cstheme="minorHAnsi"/>
          <w:b w:val="0"/>
          <w:sz w:val="20"/>
          <w:lang w:val="cs-CZ"/>
        </w:rPr>
        <w:t xml:space="preserve">, </w:t>
      </w:r>
    </w:p>
    <w:p w14:paraId="26BAAE94" w14:textId="46EEE9C3" w:rsidR="00676107" w:rsidRPr="002D74AC" w:rsidRDefault="008C7968" w:rsidP="004E5571">
      <w:pPr>
        <w:pStyle w:val="Zkladntext"/>
        <w:numPr>
          <w:ilvl w:val="1"/>
          <w:numId w:val="17"/>
        </w:numPr>
        <w:tabs>
          <w:tab w:val="clear" w:pos="720"/>
          <w:tab w:val="num" w:pos="540"/>
          <w:tab w:val="num" w:pos="1440"/>
        </w:tabs>
        <w:ind w:left="54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lastRenderedPageBreak/>
        <w:t>Subdodavatel</w:t>
      </w:r>
      <w:r w:rsidR="003D3F25" w:rsidRPr="002D74AC">
        <w:rPr>
          <w:rFonts w:asciiTheme="minorHAnsi" w:hAnsiTheme="minorHAnsi" w:cstheme="minorHAnsi"/>
          <w:b w:val="0"/>
          <w:sz w:val="20"/>
          <w:lang w:val="cs-CZ"/>
        </w:rPr>
        <w:t xml:space="preserve"> se </w:t>
      </w:r>
      <w:r w:rsidR="00676107" w:rsidRPr="002D74AC">
        <w:rPr>
          <w:rFonts w:asciiTheme="minorHAnsi" w:hAnsiTheme="minorHAnsi" w:cstheme="minorHAnsi"/>
          <w:b w:val="0"/>
          <w:sz w:val="20"/>
          <w:lang w:val="cs-CZ"/>
        </w:rPr>
        <w:t>zaruč</w:t>
      </w:r>
      <w:r w:rsidR="003D3F25" w:rsidRPr="002D74AC">
        <w:rPr>
          <w:rFonts w:asciiTheme="minorHAnsi" w:hAnsiTheme="minorHAnsi" w:cstheme="minorHAnsi"/>
          <w:b w:val="0"/>
          <w:sz w:val="20"/>
          <w:lang w:val="cs-CZ"/>
        </w:rPr>
        <w:t>uje</w:t>
      </w:r>
      <w:r w:rsidR="00676107" w:rsidRPr="002D74AC">
        <w:rPr>
          <w:rFonts w:asciiTheme="minorHAnsi" w:hAnsiTheme="minorHAnsi" w:cstheme="minorHAnsi"/>
          <w:b w:val="0"/>
          <w:sz w:val="20"/>
          <w:lang w:val="cs-CZ"/>
        </w:rPr>
        <w:t>, že před uzavřením této Smlouvy</w:t>
      </w:r>
      <w:r w:rsidR="00AB44EB" w:rsidRPr="002D74AC">
        <w:rPr>
          <w:rFonts w:asciiTheme="minorHAnsi" w:hAnsiTheme="minorHAnsi" w:cstheme="minorHAnsi"/>
          <w:b w:val="0"/>
          <w:sz w:val="20"/>
          <w:lang w:val="cs-CZ"/>
        </w:rPr>
        <w:t xml:space="preserve"> se společností Deloitte</w:t>
      </w:r>
      <w:r w:rsidR="00676107" w:rsidRPr="002D74AC">
        <w:rPr>
          <w:rFonts w:asciiTheme="minorHAnsi" w:hAnsiTheme="minorHAnsi" w:cstheme="minorHAnsi"/>
          <w:b w:val="0"/>
          <w:sz w:val="20"/>
          <w:lang w:val="cs-CZ"/>
        </w:rPr>
        <w:t xml:space="preserve">: </w:t>
      </w:r>
    </w:p>
    <w:p w14:paraId="5376A3CD" w14:textId="4A584DB8" w:rsidR="0076552A" w:rsidRPr="002D74AC" w:rsidRDefault="00AB44EB" w:rsidP="000C279E">
      <w:pPr>
        <w:pStyle w:val="Bul-2"/>
        <w:keepNext/>
        <w:spacing w:before="240" w:after="0"/>
        <w:ind w:left="993" w:hanging="426"/>
        <w:rPr>
          <w:rFonts w:asciiTheme="minorHAnsi" w:hAnsiTheme="minorHAnsi" w:cstheme="minorHAnsi"/>
          <w:sz w:val="20"/>
          <w:szCs w:val="20"/>
          <w:lang w:val="cs-CZ"/>
        </w:rPr>
      </w:pPr>
      <w:r w:rsidRPr="002D74AC">
        <w:rPr>
          <w:rFonts w:asciiTheme="minorHAnsi" w:hAnsiTheme="minorHAnsi" w:cstheme="minorHAnsi"/>
          <w:sz w:val="20"/>
          <w:szCs w:val="20"/>
          <w:lang w:val="cs-CZ"/>
        </w:rPr>
        <w:t>(a)</w:t>
      </w:r>
      <w:r w:rsidR="00D54545" w:rsidRPr="002D74AC">
        <w:rPr>
          <w:rFonts w:asciiTheme="minorHAnsi" w:hAnsiTheme="minorHAnsi" w:cstheme="minorHAnsi"/>
          <w:sz w:val="20"/>
          <w:szCs w:val="20"/>
          <w:lang w:val="cs-CZ"/>
        </w:rPr>
        <w:tab/>
      </w:r>
      <w:r w:rsidR="0076552A" w:rsidRPr="002D74AC">
        <w:rPr>
          <w:rFonts w:asciiTheme="minorHAnsi" w:hAnsiTheme="minorHAnsi" w:cstheme="minorHAnsi"/>
          <w:sz w:val="20"/>
          <w:szCs w:val="20"/>
          <w:lang w:val="cs-CZ"/>
        </w:rPr>
        <w:t>poskytl Deloitte veškeré a přesné informace ohledně akcionářů</w:t>
      </w:r>
      <w:r w:rsidRPr="002D74AC">
        <w:rPr>
          <w:rFonts w:asciiTheme="minorHAnsi" w:hAnsiTheme="minorHAnsi" w:cstheme="minorHAnsi"/>
          <w:sz w:val="20"/>
          <w:szCs w:val="20"/>
          <w:lang w:val="cs-CZ"/>
        </w:rPr>
        <w:t xml:space="preserve"> Subdodavatel</w:t>
      </w:r>
      <w:r w:rsidR="003D3F25" w:rsidRPr="002D74AC">
        <w:rPr>
          <w:rFonts w:asciiTheme="minorHAnsi" w:hAnsiTheme="minorHAnsi" w:cstheme="minorHAnsi"/>
          <w:sz w:val="20"/>
          <w:szCs w:val="20"/>
          <w:lang w:val="cs-CZ"/>
        </w:rPr>
        <w:t>e</w:t>
      </w:r>
      <w:r w:rsidR="0076552A" w:rsidRPr="002D74AC">
        <w:rPr>
          <w:rFonts w:asciiTheme="minorHAnsi" w:hAnsiTheme="minorHAnsi" w:cstheme="minorHAnsi"/>
          <w:sz w:val="20"/>
          <w:szCs w:val="20"/>
          <w:lang w:val="cs-CZ"/>
        </w:rPr>
        <w:t>, jejich příslušných podílů či kapitálové účasti</w:t>
      </w:r>
      <w:r w:rsidRPr="002D74AC">
        <w:rPr>
          <w:rFonts w:asciiTheme="minorHAnsi" w:hAnsiTheme="minorHAnsi" w:cstheme="minorHAnsi"/>
          <w:sz w:val="20"/>
          <w:szCs w:val="20"/>
          <w:lang w:val="cs-CZ"/>
        </w:rPr>
        <w:t>; a</w:t>
      </w:r>
      <w:r w:rsidR="00881F86" w:rsidRPr="002D74AC">
        <w:rPr>
          <w:rFonts w:asciiTheme="minorHAnsi" w:hAnsiTheme="minorHAnsi" w:cstheme="minorHAnsi"/>
          <w:sz w:val="20"/>
          <w:szCs w:val="20"/>
          <w:lang w:val="cs-CZ"/>
        </w:rPr>
        <w:t xml:space="preserve"> že</w:t>
      </w:r>
    </w:p>
    <w:p w14:paraId="0976C8B7" w14:textId="3919BB89" w:rsidR="007F0903" w:rsidRPr="002D74AC" w:rsidRDefault="00AB44EB" w:rsidP="000C279E">
      <w:pPr>
        <w:pStyle w:val="Bul-2"/>
        <w:keepNext/>
        <w:spacing w:before="240" w:after="0"/>
        <w:ind w:left="993" w:hanging="426"/>
        <w:rPr>
          <w:rFonts w:asciiTheme="minorHAnsi" w:hAnsiTheme="minorHAnsi" w:cstheme="minorHAnsi"/>
          <w:sz w:val="20"/>
          <w:szCs w:val="20"/>
          <w:lang w:val="cs-CZ"/>
        </w:rPr>
      </w:pPr>
      <w:r w:rsidRPr="002D74AC">
        <w:rPr>
          <w:rFonts w:asciiTheme="minorHAnsi" w:hAnsiTheme="minorHAnsi" w:cstheme="minorHAnsi"/>
          <w:sz w:val="20"/>
          <w:szCs w:val="20"/>
          <w:lang w:val="cs-CZ"/>
        </w:rPr>
        <w:t>(b)</w:t>
      </w:r>
      <w:r w:rsidR="00D54545" w:rsidRPr="002D74AC">
        <w:rPr>
          <w:rFonts w:asciiTheme="minorHAnsi" w:hAnsiTheme="minorHAnsi" w:cstheme="minorHAnsi"/>
          <w:sz w:val="20"/>
          <w:szCs w:val="20"/>
          <w:lang w:val="cs-CZ"/>
        </w:rPr>
        <w:tab/>
      </w:r>
      <w:r w:rsidR="007F0903" w:rsidRPr="002D74AC">
        <w:rPr>
          <w:rFonts w:asciiTheme="minorHAnsi" w:hAnsiTheme="minorHAnsi" w:cstheme="minorHAnsi"/>
          <w:sz w:val="20"/>
          <w:szCs w:val="20"/>
          <w:lang w:val="cs-CZ"/>
        </w:rPr>
        <w:t xml:space="preserve">bude Deloitte informovat o jakékoli změně nebo potenciální změně vlastnických vztahů </w:t>
      </w:r>
      <w:r w:rsidRPr="002D74AC">
        <w:rPr>
          <w:rFonts w:asciiTheme="minorHAnsi" w:hAnsiTheme="minorHAnsi" w:cstheme="minorHAnsi"/>
          <w:sz w:val="20"/>
          <w:szCs w:val="20"/>
          <w:lang w:val="cs-CZ"/>
        </w:rPr>
        <w:t>Subdodavatel</w:t>
      </w:r>
      <w:r w:rsidR="001E1192" w:rsidRPr="002D74AC">
        <w:rPr>
          <w:rFonts w:asciiTheme="minorHAnsi" w:hAnsiTheme="minorHAnsi" w:cstheme="minorHAnsi"/>
          <w:sz w:val="20"/>
          <w:szCs w:val="20"/>
          <w:lang w:val="cs-CZ"/>
        </w:rPr>
        <w:t>e</w:t>
      </w:r>
      <w:r w:rsidR="007F0903" w:rsidRPr="002D74AC">
        <w:rPr>
          <w:rFonts w:asciiTheme="minorHAnsi" w:hAnsiTheme="minorHAnsi" w:cstheme="minorHAnsi"/>
          <w:sz w:val="20"/>
          <w:szCs w:val="20"/>
          <w:lang w:val="cs-CZ"/>
        </w:rPr>
        <w:t xml:space="preserve"> vznikl</w:t>
      </w:r>
      <w:r w:rsidR="00881F86" w:rsidRPr="002D74AC">
        <w:rPr>
          <w:rFonts w:asciiTheme="minorHAnsi" w:hAnsiTheme="minorHAnsi" w:cstheme="minorHAnsi"/>
          <w:sz w:val="20"/>
          <w:szCs w:val="20"/>
          <w:lang w:val="cs-CZ"/>
        </w:rPr>
        <w:t>é</w:t>
      </w:r>
      <w:r w:rsidR="007F0903" w:rsidRPr="002D74AC">
        <w:rPr>
          <w:rFonts w:asciiTheme="minorHAnsi" w:hAnsiTheme="minorHAnsi" w:cstheme="minorHAnsi"/>
          <w:sz w:val="20"/>
          <w:szCs w:val="20"/>
          <w:lang w:val="cs-CZ"/>
        </w:rPr>
        <w:t xml:space="preserve"> v </w:t>
      </w:r>
      <w:r w:rsidR="001C5B38" w:rsidRPr="002D74AC">
        <w:rPr>
          <w:rFonts w:asciiTheme="minorHAnsi" w:hAnsiTheme="minorHAnsi" w:cstheme="minorHAnsi"/>
          <w:sz w:val="20"/>
          <w:szCs w:val="20"/>
          <w:lang w:val="cs-CZ"/>
        </w:rPr>
        <w:t>Době</w:t>
      </w:r>
      <w:r w:rsidR="007F0903" w:rsidRPr="002D74AC">
        <w:rPr>
          <w:rFonts w:asciiTheme="minorHAnsi" w:hAnsiTheme="minorHAnsi" w:cstheme="minorHAnsi"/>
          <w:sz w:val="20"/>
          <w:szCs w:val="20"/>
          <w:lang w:val="cs-CZ"/>
        </w:rPr>
        <w:t xml:space="preserve"> trvání této Smlouvy, a to jakmile se o takové změně dozví. </w:t>
      </w:r>
    </w:p>
    <w:p w14:paraId="2CFED4C5" w14:textId="77777777" w:rsidR="007F0903" w:rsidRPr="002D74AC" w:rsidRDefault="007F0903" w:rsidP="000C279E">
      <w:pPr>
        <w:pStyle w:val="Bul-2"/>
        <w:spacing w:after="0"/>
        <w:ind w:left="540" w:firstLine="0"/>
        <w:rPr>
          <w:rFonts w:asciiTheme="minorHAnsi" w:hAnsiTheme="minorHAnsi" w:cstheme="minorHAnsi"/>
          <w:sz w:val="20"/>
          <w:szCs w:val="20"/>
          <w:lang w:val="cs-CZ"/>
        </w:rPr>
      </w:pPr>
    </w:p>
    <w:p w14:paraId="47355D90" w14:textId="7F20799D" w:rsidR="007F0903" w:rsidRPr="002D74AC" w:rsidRDefault="007F0903" w:rsidP="1A9D4722">
      <w:pPr>
        <w:pStyle w:val="Bul-2"/>
        <w:spacing w:after="0"/>
        <w:ind w:left="567" w:firstLine="0"/>
        <w:rPr>
          <w:rFonts w:asciiTheme="minorHAnsi" w:hAnsiTheme="minorHAnsi" w:cstheme="minorHAnsi"/>
          <w:sz w:val="20"/>
          <w:szCs w:val="20"/>
          <w:lang w:val="cs-CZ"/>
        </w:rPr>
      </w:pPr>
      <w:r w:rsidRPr="002D74AC">
        <w:rPr>
          <w:rFonts w:asciiTheme="minorHAnsi" w:hAnsiTheme="minorHAnsi" w:cstheme="minorHAnsi"/>
          <w:sz w:val="20"/>
          <w:szCs w:val="20"/>
          <w:lang w:val="cs-CZ"/>
        </w:rPr>
        <w:t xml:space="preserve">V případě, že Deloitte oznámí </w:t>
      </w:r>
      <w:r w:rsidR="004315B7" w:rsidRPr="002D74AC">
        <w:rPr>
          <w:rFonts w:asciiTheme="minorHAnsi" w:hAnsiTheme="minorHAnsi" w:cstheme="minorHAnsi"/>
          <w:sz w:val="20"/>
          <w:szCs w:val="20"/>
          <w:lang w:val="cs-CZ"/>
        </w:rPr>
        <w:t>Subdodavateli</w:t>
      </w:r>
      <w:r w:rsidRPr="002D74AC">
        <w:rPr>
          <w:rFonts w:asciiTheme="minorHAnsi" w:hAnsiTheme="minorHAnsi" w:cstheme="minorHAnsi"/>
          <w:sz w:val="20"/>
          <w:szCs w:val="20"/>
          <w:lang w:val="cs-CZ"/>
        </w:rPr>
        <w:t xml:space="preserve"> zjištění jakých</w:t>
      </w:r>
      <w:r w:rsidR="0071189B" w:rsidRPr="002D74AC">
        <w:rPr>
          <w:rFonts w:asciiTheme="minorHAnsi" w:hAnsiTheme="minorHAnsi" w:cstheme="minorHAnsi"/>
          <w:sz w:val="20"/>
          <w:szCs w:val="20"/>
          <w:lang w:val="cs-CZ"/>
        </w:rPr>
        <w:t>koli skutečností</w:t>
      </w:r>
      <w:r w:rsidRPr="002D74AC">
        <w:rPr>
          <w:rFonts w:asciiTheme="minorHAnsi" w:hAnsiTheme="minorHAnsi" w:cstheme="minorHAnsi"/>
          <w:sz w:val="20"/>
          <w:szCs w:val="20"/>
          <w:lang w:val="cs-CZ"/>
        </w:rPr>
        <w:t>,</w:t>
      </w:r>
      <w:r w:rsidR="0071189B" w:rsidRPr="002D74AC">
        <w:rPr>
          <w:rFonts w:asciiTheme="minorHAnsi" w:hAnsiTheme="minorHAnsi" w:cstheme="minorHAnsi"/>
          <w:sz w:val="20"/>
          <w:szCs w:val="20"/>
          <w:lang w:val="cs-CZ"/>
        </w:rPr>
        <w:t xml:space="preserve"> </w:t>
      </w:r>
      <w:r w:rsidRPr="002D74AC">
        <w:rPr>
          <w:rFonts w:asciiTheme="minorHAnsi" w:hAnsiTheme="minorHAnsi" w:cstheme="minorHAnsi"/>
          <w:sz w:val="20"/>
          <w:szCs w:val="20"/>
          <w:lang w:val="cs-CZ"/>
        </w:rPr>
        <w:t xml:space="preserve">které by mohly mít dopad na nezávislost Deloitte nebo jakékoli společnosti skupiny Deloitte ve vztahu k jakémukoli klientovi tím, že by došlo k porušení platných požadavků a pravidel ohledně nezávislosti auditora (včetně mj. změny akcionáře nebo externího auditora), </w:t>
      </w:r>
      <w:r w:rsidR="08CE914E" w:rsidRPr="002D74AC">
        <w:rPr>
          <w:rFonts w:asciiTheme="minorHAnsi" w:hAnsiTheme="minorHAnsi" w:cstheme="minorHAnsi"/>
          <w:sz w:val="20"/>
          <w:szCs w:val="20"/>
          <w:lang w:val="cs-CZ"/>
        </w:rPr>
        <w:t>Subdodavatel souhlasí</w:t>
      </w:r>
      <w:r w:rsidRPr="002D74AC">
        <w:rPr>
          <w:rFonts w:asciiTheme="minorHAnsi" w:hAnsiTheme="minorHAnsi" w:cstheme="minorHAnsi"/>
          <w:sz w:val="20"/>
          <w:szCs w:val="20"/>
          <w:lang w:val="cs-CZ"/>
        </w:rPr>
        <w:t xml:space="preserve"> s tím, že Deloitte může tuto Smlouvu s okamžitou platností ukončit v souladu s článkem 6 odstavcem (D) této Smlouvy. </w:t>
      </w:r>
    </w:p>
    <w:p w14:paraId="6553288A" w14:textId="77777777" w:rsidR="00AB44EB" w:rsidRPr="002D74AC" w:rsidRDefault="00AB44EB" w:rsidP="007F0903">
      <w:pPr>
        <w:pStyle w:val="Bul-2"/>
        <w:spacing w:after="0"/>
        <w:ind w:left="567" w:firstLine="0"/>
        <w:rPr>
          <w:rFonts w:asciiTheme="minorHAnsi" w:hAnsiTheme="minorHAnsi" w:cstheme="minorHAnsi"/>
          <w:sz w:val="20"/>
          <w:szCs w:val="20"/>
          <w:lang w:val="cs-CZ"/>
        </w:rPr>
      </w:pPr>
    </w:p>
    <w:p w14:paraId="2F151A32" w14:textId="61E86EA8" w:rsidR="006A702C" w:rsidRPr="002D74AC" w:rsidRDefault="006A702C">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6.</w:t>
      </w:r>
      <w:r w:rsidRPr="002D74AC">
        <w:rPr>
          <w:rFonts w:asciiTheme="minorHAnsi" w:hAnsiTheme="minorHAnsi" w:cstheme="minorHAnsi"/>
          <w:b/>
          <w:bCs/>
          <w:color w:val="auto"/>
          <w:sz w:val="20"/>
          <w:szCs w:val="20"/>
          <w:lang w:val="cs-CZ"/>
        </w:rPr>
        <w:tab/>
      </w:r>
      <w:r w:rsidR="00393787" w:rsidRPr="002D74AC">
        <w:rPr>
          <w:rFonts w:asciiTheme="minorHAnsi" w:hAnsiTheme="minorHAnsi" w:cstheme="minorHAnsi"/>
          <w:b/>
          <w:bCs/>
          <w:color w:val="auto"/>
          <w:sz w:val="20"/>
          <w:szCs w:val="20"/>
          <w:lang w:val="cs-CZ"/>
        </w:rPr>
        <w:t>UKONČENÍ SMLOUVY</w:t>
      </w:r>
    </w:p>
    <w:p w14:paraId="579AC821" w14:textId="77777777" w:rsidR="006A702C" w:rsidRPr="002D74AC" w:rsidRDefault="006A702C">
      <w:pPr>
        <w:ind w:left="540" w:hanging="540"/>
        <w:jc w:val="both"/>
        <w:rPr>
          <w:rFonts w:asciiTheme="minorHAnsi" w:hAnsiTheme="minorHAnsi" w:cstheme="minorHAnsi"/>
          <w:color w:val="auto"/>
          <w:sz w:val="20"/>
          <w:szCs w:val="20"/>
          <w:lang w:val="cs-CZ"/>
        </w:rPr>
      </w:pPr>
    </w:p>
    <w:p w14:paraId="67FC7D44" w14:textId="1E07B201" w:rsidR="00566014" w:rsidRPr="002D74AC" w:rsidRDefault="00566014" w:rsidP="004E5571">
      <w:pPr>
        <w:numPr>
          <w:ilvl w:val="0"/>
          <w:numId w:val="8"/>
        </w:numPr>
        <w:tabs>
          <w:tab w:val="clear" w:pos="928"/>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Deloitte </w:t>
      </w:r>
      <w:r w:rsidR="00FD441A" w:rsidRPr="002D74AC">
        <w:rPr>
          <w:rFonts w:asciiTheme="minorHAnsi" w:hAnsiTheme="minorHAnsi" w:cstheme="minorHAnsi"/>
          <w:color w:val="auto"/>
          <w:sz w:val="20"/>
          <w:szCs w:val="20"/>
          <w:lang w:val="cs-CZ"/>
        </w:rPr>
        <w:t xml:space="preserve">může </w:t>
      </w:r>
      <w:r w:rsidR="005A1D10" w:rsidRPr="002D74AC">
        <w:rPr>
          <w:rFonts w:asciiTheme="minorHAnsi" w:hAnsiTheme="minorHAnsi" w:cstheme="minorHAnsi"/>
          <w:color w:val="auto"/>
          <w:sz w:val="20"/>
          <w:szCs w:val="20"/>
          <w:lang w:val="cs-CZ"/>
        </w:rPr>
        <w:t>dle vlastního uvážení a z jakéhokoli důvodu zastavit plnění Subdodavatele poskytovaná</w:t>
      </w:r>
      <w:r w:rsidR="00F322C0" w:rsidRPr="002D74AC">
        <w:rPr>
          <w:rFonts w:asciiTheme="minorHAnsi" w:hAnsiTheme="minorHAnsi" w:cstheme="minorHAnsi"/>
          <w:color w:val="auto"/>
          <w:sz w:val="20"/>
          <w:szCs w:val="20"/>
          <w:lang w:val="cs-CZ"/>
        </w:rPr>
        <w:t xml:space="preserve"> podle této Smlouvy, a to celkově nebo částečně, výpovědí </w:t>
      </w:r>
      <w:r w:rsidR="005A1D10" w:rsidRPr="002D74AC">
        <w:rPr>
          <w:rFonts w:asciiTheme="minorHAnsi" w:hAnsiTheme="minorHAnsi" w:cstheme="minorHAnsi"/>
          <w:color w:val="auto"/>
          <w:sz w:val="20"/>
          <w:szCs w:val="20"/>
          <w:lang w:val="cs-CZ"/>
        </w:rPr>
        <w:t xml:space="preserve">zaslanou </w:t>
      </w:r>
      <w:r w:rsidR="00F322C0" w:rsidRPr="002D74AC">
        <w:rPr>
          <w:rFonts w:asciiTheme="minorHAnsi" w:hAnsiTheme="minorHAnsi" w:cstheme="minorHAnsi"/>
          <w:color w:val="auto"/>
          <w:sz w:val="20"/>
          <w:szCs w:val="20"/>
          <w:lang w:val="cs-CZ"/>
        </w:rPr>
        <w:t xml:space="preserve">Subdodavateli, v níž </w:t>
      </w:r>
      <w:r w:rsidR="005A1D10" w:rsidRPr="002D74AC">
        <w:rPr>
          <w:rFonts w:asciiTheme="minorHAnsi" w:hAnsiTheme="minorHAnsi" w:cstheme="minorHAnsi"/>
          <w:color w:val="auto"/>
          <w:sz w:val="20"/>
          <w:szCs w:val="20"/>
          <w:lang w:val="cs-CZ"/>
        </w:rPr>
        <w:t xml:space="preserve">bude uveden </w:t>
      </w:r>
      <w:r w:rsidR="00EC4A98" w:rsidRPr="002D74AC">
        <w:rPr>
          <w:rFonts w:asciiTheme="minorHAnsi" w:hAnsiTheme="minorHAnsi" w:cstheme="minorHAnsi"/>
          <w:color w:val="auto"/>
          <w:sz w:val="20"/>
          <w:szCs w:val="20"/>
          <w:lang w:val="cs-CZ"/>
        </w:rPr>
        <w:t>rozsah, v jakém bude toto plnění ukončeno</w:t>
      </w:r>
      <w:r w:rsidR="005A1D10" w:rsidRPr="002D74AC">
        <w:rPr>
          <w:rFonts w:asciiTheme="minorHAnsi" w:hAnsiTheme="minorHAnsi" w:cstheme="minorHAnsi"/>
          <w:color w:val="auto"/>
          <w:sz w:val="20"/>
          <w:szCs w:val="20"/>
          <w:lang w:val="cs-CZ"/>
        </w:rPr>
        <w:t>,</w:t>
      </w:r>
      <w:r w:rsidR="00EC4A98" w:rsidRPr="002D74AC">
        <w:rPr>
          <w:rFonts w:asciiTheme="minorHAnsi" w:hAnsiTheme="minorHAnsi" w:cstheme="minorHAnsi"/>
          <w:color w:val="auto"/>
          <w:sz w:val="20"/>
          <w:szCs w:val="20"/>
          <w:lang w:val="cs-CZ"/>
        </w:rPr>
        <w:t xml:space="preserve"> a datum účinnosti ukončení plnění. Výpovědní lhůta nesmí být kratší než 15 dní. Při obdržení výp</w:t>
      </w:r>
      <w:r w:rsidR="000F2DE4" w:rsidRPr="002D74AC">
        <w:rPr>
          <w:rFonts w:asciiTheme="minorHAnsi" w:hAnsiTheme="minorHAnsi" w:cstheme="minorHAnsi"/>
          <w:color w:val="auto"/>
          <w:sz w:val="20"/>
          <w:szCs w:val="20"/>
          <w:lang w:val="cs-CZ"/>
        </w:rPr>
        <w:t>o</w:t>
      </w:r>
      <w:r w:rsidR="00EC4A98" w:rsidRPr="002D74AC">
        <w:rPr>
          <w:rFonts w:asciiTheme="minorHAnsi" w:hAnsiTheme="minorHAnsi" w:cstheme="minorHAnsi"/>
          <w:color w:val="auto"/>
          <w:sz w:val="20"/>
          <w:szCs w:val="20"/>
          <w:lang w:val="cs-CZ"/>
        </w:rPr>
        <w:t xml:space="preserve">vědi Subdodavatel: </w:t>
      </w:r>
    </w:p>
    <w:p w14:paraId="5C5E8D64" w14:textId="77777777" w:rsidR="006A702C" w:rsidRPr="002D74AC" w:rsidRDefault="006A702C">
      <w:pPr>
        <w:ind w:hanging="540"/>
        <w:jc w:val="both"/>
        <w:rPr>
          <w:rFonts w:asciiTheme="minorHAnsi" w:hAnsiTheme="minorHAnsi" w:cstheme="minorHAnsi"/>
          <w:color w:val="auto"/>
          <w:sz w:val="20"/>
          <w:szCs w:val="20"/>
          <w:lang w:val="cs-CZ"/>
        </w:rPr>
      </w:pPr>
    </w:p>
    <w:p w14:paraId="3263208D" w14:textId="6CBF8D2C" w:rsidR="00EC4A98" w:rsidRPr="002D74AC" w:rsidRDefault="00EC4A98" w:rsidP="004E5571">
      <w:pPr>
        <w:numPr>
          <w:ilvl w:val="0"/>
          <w:numId w:val="9"/>
        </w:numPr>
        <w:tabs>
          <w:tab w:val="clear" w:pos="1140"/>
          <w:tab w:val="num" w:pos="540"/>
        </w:tabs>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zastaví </w:t>
      </w:r>
      <w:r w:rsidR="005A1D10" w:rsidRPr="002D74AC">
        <w:rPr>
          <w:rFonts w:asciiTheme="minorHAnsi" w:hAnsiTheme="minorHAnsi" w:cstheme="minorHAnsi"/>
          <w:color w:val="auto"/>
          <w:sz w:val="20"/>
          <w:szCs w:val="20"/>
          <w:lang w:val="cs-CZ"/>
        </w:rPr>
        <w:t>veškeré činnosti vedoucí k poskytování Služeb či Výstupů</w:t>
      </w:r>
      <w:r w:rsidRPr="002D74AC">
        <w:rPr>
          <w:rFonts w:asciiTheme="minorHAnsi" w:hAnsiTheme="minorHAnsi" w:cstheme="minorHAnsi"/>
          <w:color w:val="auto"/>
          <w:sz w:val="20"/>
          <w:szCs w:val="20"/>
          <w:lang w:val="cs-CZ"/>
        </w:rPr>
        <w:t xml:space="preserve"> k datu a v rozsahu uvedeném ve výpovědi, </w:t>
      </w:r>
      <w:r w:rsidR="00936C3B" w:rsidRPr="002D74AC">
        <w:rPr>
          <w:rFonts w:asciiTheme="minorHAnsi" w:hAnsiTheme="minorHAnsi" w:cstheme="minorHAnsi"/>
          <w:color w:val="auto"/>
          <w:sz w:val="20"/>
          <w:szCs w:val="20"/>
          <w:lang w:val="cs-CZ"/>
        </w:rPr>
        <w:t>a</w:t>
      </w:r>
    </w:p>
    <w:p w14:paraId="1FE4984B" w14:textId="77777777" w:rsidR="006A702C" w:rsidRPr="002D74AC" w:rsidRDefault="00EC4A98" w:rsidP="004E5571">
      <w:pPr>
        <w:numPr>
          <w:ilvl w:val="0"/>
          <w:numId w:val="9"/>
        </w:numPr>
        <w:tabs>
          <w:tab w:val="clear" w:pos="1140"/>
          <w:tab w:val="num" w:pos="540"/>
        </w:tabs>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provede další kroky ohledně ukončení Služeb podle pokynů Deloitte, </w:t>
      </w:r>
      <w:r w:rsidR="00936C3B" w:rsidRPr="002D74AC">
        <w:rPr>
          <w:rFonts w:asciiTheme="minorHAnsi" w:hAnsiTheme="minorHAnsi" w:cstheme="minorHAnsi"/>
          <w:color w:val="auto"/>
          <w:sz w:val="20"/>
          <w:szCs w:val="20"/>
          <w:lang w:val="cs-CZ"/>
        </w:rPr>
        <w:t>a</w:t>
      </w:r>
    </w:p>
    <w:p w14:paraId="1FB32B46" w14:textId="77777777" w:rsidR="009D6427" w:rsidRPr="002D74AC" w:rsidRDefault="00EC4A98" w:rsidP="004E5571">
      <w:pPr>
        <w:numPr>
          <w:ilvl w:val="0"/>
          <w:numId w:val="9"/>
        </w:numPr>
        <w:tabs>
          <w:tab w:val="clear" w:pos="1140"/>
          <w:tab w:val="num" w:pos="540"/>
        </w:tabs>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připraví a předloží Deloitte seznam všech </w:t>
      </w:r>
      <w:r w:rsidR="005A1D10" w:rsidRPr="002D74AC">
        <w:rPr>
          <w:rFonts w:asciiTheme="minorHAnsi" w:hAnsiTheme="minorHAnsi" w:cstheme="minorHAnsi"/>
          <w:color w:val="auto"/>
          <w:sz w:val="20"/>
          <w:szCs w:val="20"/>
          <w:lang w:val="cs-CZ"/>
        </w:rPr>
        <w:t xml:space="preserve">poskytnutých </w:t>
      </w:r>
      <w:r w:rsidRPr="002D74AC">
        <w:rPr>
          <w:rFonts w:asciiTheme="minorHAnsi" w:hAnsiTheme="minorHAnsi" w:cstheme="minorHAnsi"/>
          <w:color w:val="auto"/>
          <w:sz w:val="20"/>
          <w:szCs w:val="20"/>
          <w:lang w:val="cs-CZ"/>
        </w:rPr>
        <w:t xml:space="preserve">a částečně </w:t>
      </w:r>
      <w:r w:rsidR="005A1D10" w:rsidRPr="002D74AC">
        <w:rPr>
          <w:rFonts w:asciiTheme="minorHAnsi" w:hAnsiTheme="minorHAnsi" w:cstheme="minorHAnsi"/>
          <w:color w:val="auto"/>
          <w:sz w:val="20"/>
          <w:szCs w:val="20"/>
          <w:lang w:val="cs-CZ"/>
        </w:rPr>
        <w:t xml:space="preserve">poskytnutých </w:t>
      </w:r>
      <w:r w:rsidR="000F2DE4" w:rsidRPr="002D74AC">
        <w:rPr>
          <w:rFonts w:asciiTheme="minorHAnsi" w:hAnsiTheme="minorHAnsi" w:cstheme="minorHAnsi"/>
          <w:color w:val="auto"/>
          <w:sz w:val="20"/>
          <w:szCs w:val="20"/>
          <w:lang w:val="cs-CZ"/>
        </w:rPr>
        <w:t>S</w:t>
      </w:r>
      <w:r w:rsidRPr="002D74AC">
        <w:rPr>
          <w:rFonts w:asciiTheme="minorHAnsi" w:hAnsiTheme="minorHAnsi" w:cstheme="minorHAnsi"/>
          <w:color w:val="auto"/>
          <w:sz w:val="20"/>
          <w:szCs w:val="20"/>
          <w:lang w:val="cs-CZ"/>
        </w:rPr>
        <w:t xml:space="preserve">lužeb, </w:t>
      </w:r>
      <w:r w:rsidR="00936C3B" w:rsidRPr="002D74AC">
        <w:rPr>
          <w:rFonts w:asciiTheme="minorHAnsi" w:hAnsiTheme="minorHAnsi" w:cstheme="minorHAnsi"/>
          <w:color w:val="auto"/>
          <w:sz w:val="20"/>
          <w:szCs w:val="20"/>
          <w:lang w:val="cs-CZ"/>
        </w:rPr>
        <w:t>a</w:t>
      </w:r>
    </w:p>
    <w:p w14:paraId="378FCE7C" w14:textId="77777777" w:rsidR="009D6427" w:rsidRPr="002D74AC" w:rsidRDefault="00EC4A98" w:rsidP="004E5571">
      <w:pPr>
        <w:numPr>
          <w:ilvl w:val="0"/>
          <w:numId w:val="9"/>
        </w:numPr>
        <w:tabs>
          <w:tab w:val="clear" w:pos="1140"/>
          <w:tab w:val="num" w:pos="540"/>
        </w:tabs>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dodá Deloitte Výstupy uspokojivě dokončené </w:t>
      </w:r>
      <w:r w:rsidR="005A1D10" w:rsidRPr="002D74AC">
        <w:rPr>
          <w:rFonts w:asciiTheme="minorHAnsi" w:hAnsiTheme="minorHAnsi" w:cstheme="minorHAnsi"/>
          <w:color w:val="auto"/>
          <w:sz w:val="20"/>
          <w:szCs w:val="20"/>
          <w:lang w:val="cs-CZ"/>
        </w:rPr>
        <w:t xml:space="preserve">(akceptované) </w:t>
      </w:r>
      <w:r w:rsidRPr="002D74AC">
        <w:rPr>
          <w:rFonts w:asciiTheme="minorHAnsi" w:hAnsiTheme="minorHAnsi" w:cstheme="minorHAnsi"/>
          <w:color w:val="auto"/>
          <w:sz w:val="20"/>
          <w:szCs w:val="20"/>
          <w:lang w:val="cs-CZ"/>
        </w:rPr>
        <w:t xml:space="preserve">do data ukončení </w:t>
      </w:r>
      <w:r w:rsidR="000F2DE4" w:rsidRPr="002D74AC">
        <w:rPr>
          <w:rFonts w:asciiTheme="minorHAnsi" w:hAnsiTheme="minorHAnsi" w:cstheme="minorHAnsi"/>
          <w:color w:val="auto"/>
          <w:sz w:val="20"/>
          <w:szCs w:val="20"/>
          <w:lang w:val="cs-CZ"/>
        </w:rPr>
        <w:t>S</w:t>
      </w:r>
      <w:r w:rsidRPr="002D74AC">
        <w:rPr>
          <w:rFonts w:asciiTheme="minorHAnsi" w:hAnsiTheme="minorHAnsi" w:cstheme="minorHAnsi"/>
          <w:color w:val="auto"/>
          <w:sz w:val="20"/>
          <w:szCs w:val="20"/>
          <w:lang w:val="cs-CZ"/>
        </w:rPr>
        <w:t xml:space="preserve">mlouvy za dohodnutou cenu, </w:t>
      </w:r>
      <w:r w:rsidR="00936C3B" w:rsidRPr="002D74AC">
        <w:rPr>
          <w:rFonts w:asciiTheme="minorHAnsi" w:hAnsiTheme="minorHAnsi" w:cstheme="minorHAnsi"/>
          <w:color w:val="auto"/>
          <w:sz w:val="20"/>
          <w:szCs w:val="20"/>
          <w:lang w:val="cs-CZ"/>
        </w:rPr>
        <w:t>a</w:t>
      </w:r>
    </w:p>
    <w:p w14:paraId="22F12B6A" w14:textId="77777777" w:rsidR="009D6427" w:rsidRPr="002D74AC" w:rsidRDefault="00EC4A98" w:rsidP="004E5571">
      <w:pPr>
        <w:numPr>
          <w:ilvl w:val="0"/>
          <w:numId w:val="9"/>
        </w:numPr>
        <w:tabs>
          <w:tab w:val="clear" w:pos="1140"/>
          <w:tab w:val="num" w:pos="540"/>
        </w:tabs>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na požádání dodá </w:t>
      </w:r>
      <w:r w:rsidR="005A1D10" w:rsidRPr="002D74AC">
        <w:rPr>
          <w:rFonts w:asciiTheme="minorHAnsi" w:hAnsiTheme="minorHAnsi" w:cstheme="minorHAnsi"/>
          <w:color w:val="auto"/>
          <w:sz w:val="20"/>
          <w:szCs w:val="20"/>
          <w:lang w:val="cs-CZ"/>
        </w:rPr>
        <w:t xml:space="preserve">další </w:t>
      </w:r>
      <w:r w:rsidRPr="002D74AC">
        <w:rPr>
          <w:rFonts w:asciiTheme="minorHAnsi" w:hAnsiTheme="minorHAnsi" w:cstheme="minorHAnsi"/>
          <w:color w:val="auto"/>
          <w:sz w:val="20"/>
          <w:szCs w:val="20"/>
          <w:lang w:val="cs-CZ"/>
        </w:rPr>
        <w:t xml:space="preserve">rozpracované položky.  </w:t>
      </w:r>
    </w:p>
    <w:p w14:paraId="191B361C" w14:textId="77777777" w:rsidR="006A702C" w:rsidRPr="002D74AC" w:rsidRDefault="006A702C">
      <w:pPr>
        <w:ind w:hanging="540"/>
        <w:jc w:val="both"/>
        <w:rPr>
          <w:rFonts w:asciiTheme="minorHAnsi" w:hAnsiTheme="minorHAnsi" w:cstheme="minorHAnsi"/>
          <w:color w:val="auto"/>
          <w:sz w:val="20"/>
          <w:szCs w:val="20"/>
          <w:lang w:val="cs-CZ"/>
        </w:rPr>
      </w:pPr>
    </w:p>
    <w:p w14:paraId="43F79747" w14:textId="51B73EBA" w:rsidR="00EC4A98" w:rsidRPr="002D74AC" w:rsidRDefault="00EC4A98" w:rsidP="004E5571">
      <w:pPr>
        <w:numPr>
          <w:ilvl w:val="0"/>
          <w:numId w:val="8"/>
        </w:numPr>
        <w:tabs>
          <w:tab w:val="clear" w:pos="928"/>
          <w:tab w:val="num" w:pos="-324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 případě ukončení bude odměna splatná Subdodavateli odpovídat částce stanovené v</w:t>
      </w:r>
      <w:r w:rsidR="00B9142D" w:rsidRPr="002D74AC">
        <w:rPr>
          <w:rFonts w:asciiTheme="minorHAnsi" w:hAnsiTheme="minorHAnsi" w:cstheme="minorHAnsi"/>
          <w:color w:val="auto"/>
          <w:sz w:val="20"/>
          <w:szCs w:val="20"/>
          <w:lang w:val="cs-CZ"/>
        </w:rPr>
        <w:t> </w:t>
      </w:r>
      <w:r w:rsidR="00936C3B" w:rsidRPr="002D74AC">
        <w:rPr>
          <w:rFonts w:asciiTheme="minorHAnsi" w:hAnsiTheme="minorHAnsi" w:cstheme="minorHAnsi"/>
          <w:color w:val="auto"/>
          <w:sz w:val="20"/>
          <w:szCs w:val="20"/>
          <w:lang w:val="cs-CZ"/>
        </w:rPr>
        <w:t>článku</w:t>
      </w:r>
      <w:r w:rsidR="00B9142D" w:rsidRPr="002D74AC">
        <w:rPr>
          <w:rFonts w:asciiTheme="minorHAnsi" w:hAnsiTheme="minorHAnsi" w:cstheme="minorHAnsi"/>
          <w:color w:val="auto"/>
          <w:sz w:val="20"/>
          <w:szCs w:val="20"/>
          <w:lang w:val="cs-CZ"/>
        </w:rPr>
        <w:t xml:space="preserve"> 7</w:t>
      </w:r>
      <w:r w:rsidR="00936C3B" w:rsidRPr="002D74AC">
        <w:rPr>
          <w:rFonts w:asciiTheme="minorHAnsi" w:hAnsiTheme="minorHAnsi" w:cstheme="minorHAnsi"/>
          <w:color w:val="auto"/>
          <w:sz w:val="20"/>
          <w:szCs w:val="20"/>
          <w:lang w:val="cs-CZ"/>
        </w:rPr>
        <w:t xml:space="preserve"> </w:t>
      </w:r>
      <w:r w:rsidR="00B9142D"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CENA A PLATEBNÍ PODMÍNKY</w:t>
      </w:r>
      <w:r w:rsidR="00B9142D"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 která ještě nebyla vyplacena, do dne (včetně), kdy nabude toto ukončení účinnosti, a to za podmínky, že příslušné Služby byly poskytnuty řádně dle této Smlouvy</w:t>
      </w:r>
      <w:r w:rsidR="000F2DE4" w:rsidRPr="002D74AC">
        <w:rPr>
          <w:rFonts w:asciiTheme="minorHAnsi" w:hAnsiTheme="minorHAnsi" w:cstheme="minorHAnsi"/>
          <w:color w:val="auto"/>
          <w:sz w:val="20"/>
          <w:szCs w:val="20"/>
          <w:lang w:val="cs-CZ"/>
        </w:rPr>
        <w:t xml:space="preserve"> a/nebo Popisu Služeb</w:t>
      </w:r>
      <w:r w:rsidRPr="002D74AC">
        <w:rPr>
          <w:rFonts w:asciiTheme="minorHAnsi" w:hAnsiTheme="minorHAnsi" w:cstheme="minorHAnsi"/>
          <w:color w:val="auto"/>
          <w:sz w:val="20"/>
          <w:szCs w:val="20"/>
          <w:lang w:val="cs-CZ"/>
        </w:rPr>
        <w:t xml:space="preserve">. Tato platba bude považována za jediný závazek Deloitte vůči Subdodavateli </w:t>
      </w:r>
      <w:r w:rsidR="005A1D10" w:rsidRPr="002D74AC">
        <w:rPr>
          <w:rFonts w:asciiTheme="minorHAnsi" w:hAnsiTheme="minorHAnsi" w:cstheme="minorHAnsi"/>
          <w:color w:val="auto"/>
          <w:sz w:val="20"/>
          <w:szCs w:val="20"/>
          <w:lang w:val="cs-CZ"/>
        </w:rPr>
        <w:t>související s</w:t>
      </w:r>
      <w:r w:rsidR="00D02C0B" w:rsidRPr="002D74AC">
        <w:rPr>
          <w:rFonts w:asciiTheme="minorHAnsi" w:hAnsiTheme="minorHAnsi" w:cstheme="minorHAnsi"/>
          <w:color w:val="auto"/>
          <w:sz w:val="20"/>
          <w:szCs w:val="20"/>
          <w:lang w:val="cs-CZ"/>
        </w:rPr>
        <w:t xml:space="preserve"> takovým </w:t>
      </w:r>
      <w:r w:rsidRPr="002D74AC">
        <w:rPr>
          <w:rFonts w:asciiTheme="minorHAnsi" w:hAnsiTheme="minorHAnsi" w:cstheme="minorHAnsi"/>
          <w:color w:val="auto"/>
          <w:sz w:val="20"/>
          <w:szCs w:val="20"/>
          <w:lang w:val="cs-CZ"/>
        </w:rPr>
        <w:t>ukončení</w:t>
      </w:r>
      <w:r w:rsidR="00D02C0B" w:rsidRPr="002D74AC">
        <w:rPr>
          <w:rFonts w:asciiTheme="minorHAnsi" w:hAnsiTheme="minorHAnsi" w:cstheme="minorHAnsi"/>
          <w:color w:val="auto"/>
          <w:sz w:val="20"/>
          <w:szCs w:val="20"/>
          <w:lang w:val="cs-CZ"/>
        </w:rPr>
        <w:t>m</w:t>
      </w:r>
      <w:r w:rsidRPr="002D74AC">
        <w:rPr>
          <w:rFonts w:asciiTheme="minorHAnsi" w:hAnsiTheme="minorHAnsi" w:cstheme="minorHAnsi"/>
          <w:color w:val="auto"/>
          <w:sz w:val="20"/>
          <w:szCs w:val="20"/>
          <w:lang w:val="cs-CZ"/>
        </w:rPr>
        <w:t xml:space="preserve">. V případě, že se Hlavní Klient rozhodne ukončit </w:t>
      </w:r>
      <w:r w:rsidR="00E15B16" w:rsidRPr="002D74AC">
        <w:rPr>
          <w:rFonts w:asciiTheme="minorHAnsi" w:hAnsiTheme="minorHAnsi" w:cstheme="minorHAnsi"/>
          <w:color w:val="auto"/>
          <w:sz w:val="20"/>
          <w:szCs w:val="20"/>
          <w:lang w:val="cs-CZ"/>
        </w:rPr>
        <w:t xml:space="preserve">Hlavní </w:t>
      </w:r>
      <w:r w:rsidRPr="002D74AC">
        <w:rPr>
          <w:rFonts w:asciiTheme="minorHAnsi" w:hAnsiTheme="minorHAnsi" w:cstheme="minorHAnsi"/>
          <w:color w:val="auto"/>
          <w:sz w:val="20"/>
          <w:szCs w:val="20"/>
          <w:lang w:val="cs-CZ"/>
        </w:rPr>
        <w:t xml:space="preserve">smlouvu </w:t>
      </w:r>
      <w:r w:rsidR="00E15B16" w:rsidRPr="002D74AC">
        <w:rPr>
          <w:rFonts w:asciiTheme="minorHAnsi" w:hAnsiTheme="minorHAnsi" w:cstheme="minorHAnsi"/>
          <w:color w:val="auto"/>
          <w:sz w:val="20"/>
          <w:szCs w:val="20"/>
          <w:lang w:val="cs-CZ"/>
        </w:rPr>
        <w:t>nebo odmítne celkově či částečně akceptovat</w:t>
      </w:r>
      <w:r w:rsidRPr="002D74AC">
        <w:rPr>
          <w:rFonts w:asciiTheme="minorHAnsi" w:hAnsiTheme="minorHAnsi" w:cstheme="minorHAnsi"/>
          <w:color w:val="auto"/>
          <w:sz w:val="20"/>
          <w:szCs w:val="20"/>
          <w:lang w:val="cs-CZ"/>
        </w:rPr>
        <w:t xml:space="preserve"> Služb</w:t>
      </w:r>
      <w:r w:rsidR="00E15B16" w:rsidRPr="002D74AC">
        <w:rPr>
          <w:rFonts w:asciiTheme="minorHAnsi" w:hAnsiTheme="minorHAnsi" w:cstheme="minorHAnsi"/>
          <w:color w:val="auto"/>
          <w:sz w:val="20"/>
          <w:szCs w:val="20"/>
          <w:lang w:val="cs-CZ"/>
        </w:rPr>
        <w:t>y a Výstupy</w:t>
      </w:r>
      <w:r w:rsidRPr="002D74AC">
        <w:rPr>
          <w:rFonts w:asciiTheme="minorHAnsi" w:hAnsiTheme="minorHAnsi" w:cstheme="minorHAnsi"/>
          <w:color w:val="auto"/>
          <w:sz w:val="20"/>
          <w:szCs w:val="20"/>
          <w:lang w:val="cs-CZ"/>
        </w:rPr>
        <w:t xml:space="preserve"> a </w:t>
      </w:r>
      <w:r w:rsidR="00D02C0B" w:rsidRPr="002D74AC">
        <w:rPr>
          <w:rFonts w:asciiTheme="minorHAnsi" w:hAnsiTheme="minorHAnsi" w:cstheme="minorHAnsi"/>
          <w:color w:val="auto"/>
          <w:sz w:val="20"/>
          <w:szCs w:val="20"/>
          <w:lang w:val="cs-CZ"/>
        </w:rPr>
        <w:t xml:space="preserve">v důsledku těchto skutečností </w:t>
      </w:r>
      <w:r w:rsidRPr="002D74AC">
        <w:rPr>
          <w:rFonts w:asciiTheme="minorHAnsi" w:hAnsiTheme="minorHAnsi" w:cstheme="minorHAnsi"/>
          <w:color w:val="auto"/>
          <w:sz w:val="20"/>
          <w:szCs w:val="20"/>
          <w:lang w:val="cs-CZ"/>
        </w:rPr>
        <w:t>odmítne uhradit odměnu za Služby</w:t>
      </w:r>
      <w:r w:rsidR="00E15B16" w:rsidRPr="002D74AC">
        <w:rPr>
          <w:rFonts w:asciiTheme="minorHAnsi" w:hAnsiTheme="minorHAnsi" w:cstheme="minorHAnsi"/>
          <w:color w:val="auto"/>
          <w:sz w:val="20"/>
          <w:szCs w:val="20"/>
          <w:lang w:val="cs-CZ"/>
        </w:rPr>
        <w:t xml:space="preserve"> a Výstupy</w:t>
      </w:r>
      <w:r w:rsidR="00005030">
        <w:rPr>
          <w:rFonts w:asciiTheme="minorHAnsi" w:hAnsiTheme="minorHAnsi" w:cstheme="minorHAnsi"/>
          <w:color w:val="auto"/>
          <w:sz w:val="20"/>
          <w:szCs w:val="20"/>
          <w:lang w:val="cs-CZ"/>
        </w:rPr>
        <w:t xml:space="preserve"> na základě prokazatelně nekvalitně odvedené práce Subdodavatele</w:t>
      </w:r>
      <w:r w:rsidRPr="002D74AC">
        <w:rPr>
          <w:rFonts w:asciiTheme="minorHAnsi" w:hAnsiTheme="minorHAnsi" w:cstheme="minorHAnsi"/>
          <w:color w:val="auto"/>
          <w:sz w:val="20"/>
          <w:szCs w:val="20"/>
          <w:lang w:val="cs-CZ"/>
        </w:rPr>
        <w:t xml:space="preserve">, Subdodavatel nebude oprávněn </w:t>
      </w:r>
      <w:r w:rsidR="00E15B16" w:rsidRPr="002D74AC">
        <w:rPr>
          <w:rFonts w:asciiTheme="minorHAnsi" w:hAnsiTheme="minorHAnsi" w:cstheme="minorHAnsi"/>
          <w:color w:val="auto"/>
          <w:sz w:val="20"/>
          <w:szCs w:val="20"/>
          <w:lang w:val="cs-CZ"/>
        </w:rPr>
        <w:t>nárokovat si odměnu za Služby a/nebo Výstupy nebo její příslušnou část</w:t>
      </w:r>
      <w:r w:rsidRPr="002D74AC">
        <w:rPr>
          <w:rFonts w:asciiTheme="minorHAnsi" w:hAnsiTheme="minorHAnsi" w:cstheme="minorHAnsi"/>
          <w:color w:val="auto"/>
          <w:sz w:val="20"/>
          <w:szCs w:val="20"/>
          <w:lang w:val="cs-CZ"/>
        </w:rPr>
        <w:t xml:space="preserve">. Právo Deloitte uplatnit vůči Subdodavateli nárok na náhradu škody není tímto dotčeno. </w:t>
      </w:r>
    </w:p>
    <w:p w14:paraId="0C736719" w14:textId="77777777" w:rsidR="006A702C" w:rsidRPr="002D74AC" w:rsidRDefault="006A702C">
      <w:pPr>
        <w:ind w:hanging="540"/>
        <w:jc w:val="both"/>
        <w:rPr>
          <w:rFonts w:asciiTheme="minorHAnsi" w:hAnsiTheme="minorHAnsi" w:cstheme="minorHAnsi"/>
          <w:color w:val="auto"/>
          <w:sz w:val="20"/>
          <w:szCs w:val="20"/>
          <w:lang w:val="cs-CZ"/>
        </w:rPr>
      </w:pPr>
    </w:p>
    <w:p w14:paraId="4246D790" w14:textId="77777777" w:rsidR="00E15B16" w:rsidRPr="002D74AC" w:rsidRDefault="00E15B16" w:rsidP="004E5571">
      <w:pPr>
        <w:numPr>
          <w:ilvl w:val="0"/>
          <w:numId w:val="8"/>
        </w:numPr>
        <w:tabs>
          <w:tab w:val="clear" w:pos="928"/>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 případě částečného ukončení bude Subdodavatel pokračovat v poskytování plnění té části Služeb, na něž se ukončení nevztahuje, a odměna stanovená touto Smlouvou bude na základě specifikace Deloitte</w:t>
      </w:r>
      <w:r w:rsidR="00D02C0B" w:rsidRPr="002D74AC">
        <w:rPr>
          <w:rFonts w:asciiTheme="minorHAnsi" w:hAnsiTheme="minorHAnsi" w:cstheme="minorHAnsi"/>
          <w:color w:val="auto"/>
          <w:sz w:val="20"/>
          <w:szCs w:val="20"/>
          <w:lang w:val="cs-CZ"/>
        </w:rPr>
        <w:t xml:space="preserve"> příslušně snížena tak</w:t>
      </w:r>
      <w:r w:rsidRPr="002D74AC">
        <w:rPr>
          <w:rFonts w:asciiTheme="minorHAnsi" w:hAnsiTheme="minorHAnsi" w:cstheme="minorHAnsi"/>
          <w:color w:val="auto"/>
          <w:sz w:val="20"/>
          <w:szCs w:val="20"/>
          <w:lang w:val="cs-CZ"/>
        </w:rPr>
        <w:t xml:space="preserve">, aby odpovídala nadále poskytovanému plnění. </w:t>
      </w:r>
    </w:p>
    <w:p w14:paraId="32C892F8" w14:textId="77777777" w:rsidR="00E15B16" w:rsidRPr="002D74AC" w:rsidRDefault="00E15B16" w:rsidP="00E15B16">
      <w:pPr>
        <w:pStyle w:val="Odstavecseseznamem"/>
        <w:rPr>
          <w:rFonts w:asciiTheme="minorHAnsi" w:hAnsiTheme="minorHAnsi" w:cstheme="minorHAnsi"/>
          <w:color w:val="auto"/>
          <w:sz w:val="20"/>
          <w:szCs w:val="20"/>
          <w:lang w:val="cs-CZ"/>
        </w:rPr>
      </w:pPr>
    </w:p>
    <w:p w14:paraId="53BAFDE6" w14:textId="0B97B41E" w:rsidR="006A702C" w:rsidRPr="002D74AC" w:rsidRDefault="00E15B16" w:rsidP="004E5571">
      <w:pPr>
        <w:numPr>
          <w:ilvl w:val="0"/>
          <w:numId w:val="8"/>
        </w:numPr>
        <w:tabs>
          <w:tab w:val="clear" w:pos="928"/>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Deloitte </w:t>
      </w:r>
      <w:r w:rsidR="00D02C0B" w:rsidRPr="002D74AC">
        <w:rPr>
          <w:rFonts w:asciiTheme="minorHAnsi" w:hAnsiTheme="minorHAnsi" w:cstheme="minorHAnsi"/>
          <w:color w:val="auto"/>
          <w:sz w:val="20"/>
          <w:szCs w:val="20"/>
          <w:lang w:val="cs-CZ"/>
        </w:rPr>
        <w:t xml:space="preserve">je </w:t>
      </w:r>
      <w:r w:rsidRPr="002D74AC">
        <w:rPr>
          <w:rFonts w:asciiTheme="minorHAnsi" w:hAnsiTheme="minorHAnsi" w:cstheme="minorHAnsi"/>
          <w:color w:val="auto"/>
          <w:sz w:val="20"/>
          <w:szCs w:val="20"/>
          <w:lang w:val="cs-CZ"/>
        </w:rPr>
        <w:t>oprávněna k jednostrannému odstoupení od této Smlouvy s okamžitým účinkem</w:t>
      </w:r>
      <w:r w:rsidR="00D02C0B" w:rsidRPr="002D74AC">
        <w:rPr>
          <w:rFonts w:asciiTheme="minorHAnsi" w:hAnsiTheme="minorHAnsi" w:cstheme="minorHAnsi"/>
          <w:color w:val="auto"/>
          <w:sz w:val="20"/>
          <w:szCs w:val="20"/>
          <w:lang w:val="cs-CZ"/>
        </w:rPr>
        <w:t xml:space="preserve"> v následujících případech</w:t>
      </w:r>
      <w:r w:rsidRPr="002D74AC">
        <w:rPr>
          <w:rFonts w:asciiTheme="minorHAnsi" w:hAnsiTheme="minorHAnsi" w:cstheme="minorHAnsi"/>
          <w:color w:val="auto"/>
          <w:sz w:val="20"/>
          <w:szCs w:val="20"/>
          <w:lang w:val="cs-CZ"/>
        </w:rPr>
        <w:t xml:space="preserve">: </w:t>
      </w:r>
    </w:p>
    <w:p w14:paraId="0E706BED" w14:textId="097FA50E" w:rsidR="00B56E7E" w:rsidRPr="002D74AC" w:rsidRDefault="00E15B16" w:rsidP="004E5571">
      <w:pPr>
        <w:pStyle w:val="Zkladntext"/>
        <w:numPr>
          <w:ilvl w:val="2"/>
          <w:numId w:val="18"/>
        </w:numPr>
        <w:tabs>
          <w:tab w:val="clear" w:pos="2160"/>
          <w:tab w:val="num" w:pos="540"/>
        </w:tabs>
        <w:ind w:left="540" w:hanging="256"/>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pokud </w:t>
      </w:r>
      <w:r w:rsidR="007F7EC7" w:rsidRPr="002D74AC">
        <w:rPr>
          <w:rFonts w:asciiTheme="minorHAnsi" w:hAnsiTheme="minorHAnsi" w:cstheme="minorHAnsi"/>
          <w:b w:val="0"/>
          <w:bCs/>
          <w:sz w:val="20"/>
          <w:lang w:val="cs-CZ"/>
        </w:rPr>
        <w:t>Hlavní</w:t>
      </w:r>
      <w:r w:rsidRPr="002D74AC">
        <w:rPr>
          <w:rFonts w:asciiTheme="minorHAnsi" w:hAnsiTheme="minorHAnsi" w:cstheme="minorHAnsi"/>
          <w:b w:val="0"/>
          <w:bCs/>
          <w:sz w:val="20"/>
          <w:lang w:val="cs-CZ"/>
        </w:rPr>
        <w:t xml:space="preserve"> klient z jakéhokoli důvodu </w:t>
      </w:r>
      <w:proofErr w:type="gramStart"/>
      <w:r w:rsidRPr="002D74AC">
        <w:rPr>
          <w:rFonts w:asciiTheme="minorHAnsi" w:hAnsiTheme="minorHAnsi" w:cstheme="minorHAnsi"/>
          <w:b w:val="0"/>
          <w:bCs/>
          <w:sz w:val="20"/>
          <w:lang w:val="cs-CZ"/>
        </w:rPr>
        <w:t>ukončí</w:t>
      </w:r>
      <w:proofErr w:type="gramEnd"/>
      <w:r w:rsidRPr="002D74AC">
        <w:rPr>
          <w:rFonts w:asciiTheme="minorHAnsi" w:hAnsiTheme="minorHAnsi" w:cstheme="minorHAnsi"/>
          <w:b w:val="0"/>
          <w:bCs/>
          <w:sz w:val="20"/>
          <w:lang w:val="cs-CZ"/>
        </w:rPr>
        <w:t xml:space="preserve"> Hlavní smlouvu</w:t>
      </w:r>
      <w:r w:rsidR="00330C78">
        <w:rPr>
          <w:rFonts w:asciiTheme="minorHAnsi" w:hAnsiTheme="minorHAnsi" w:cstheme="minorHAnsi"/>
          <w:b w:val="0"/>
          <w:bCs/>
          <w:sz w:val="20"/>
          <w:lang w:val="cs-CZ"/>
        </w:rPr>
        <w:t xml:space="preserve"> (v takovém případě ovšem Deloitte uhradí </w:t>
      </w:r>
      <w:r w:rsidR="00C24FEE">
        <w:rPr>
          <w:rFonts w:asciiTheme="minorHAnsi" w:hAnsiTheme="minorHAnsi" w:cstheme="minorHAnsi"/>
          <w:b w:val="0"/>
          <w:bCs/>
          <w:sz w:val="20"/>
          <w:lang w:val="cs-CZ"/>
        </w:rPr>
        <w:t xml:space="preserve">Subdodavateli </w:t>
      </w:r>
      <w:r w:rsidR="00330C78">
        <w:rPr>
          <w:rFonts w:asciiTheme="minorHAnsi" w:hAnsiTheme="minorHAnsi" w:cstheme="minorHAnsi"/>
          <w:b w:val="0"/>
          <w:bCs/>
          <w:sz w:val="20"/>
          <w:lang w:val="cs-CZ"/>
        </w:rPr>
        <w:t xml:space="preserve">poměrnou část odměny za </w:t>
      </w:r>
      <w:r w:rsidR="00C24FEE">
        <w:rPr>
          <w:rFonts w:asciiTheme="minorHAnsi" w:hAnsiTheme="minorHAnsi" w:cstheme="minorHAnsi"/>
          <w:b w:val="0"/>
          <w:bCs/>
          <w:sz w:val="20"/>
          <w:lang w:val="cs-CZ"/>
        </w:rPr>
        <w:t>skutečně a účelně poskytnuté Služby</w:t>
      </w:r>
      <w:r w:rsidR="00330C78">
        <w:rPr>
          <w:rFonts w:asciiTheme="minorHAnsi" w:hAnsiTheme="minorHAnsi" w:cstheme="minorHAnsi"/>
          <w:b w:val="0"/>
          <w:bCs/>
          <w:sz w:val="20"/>
          <w:lang w:val="cs-CZ"/>
        </w:rPr>
        <w:t>)</w:t>
      </w:r>
      <w:r w:rsidRPr="002D74AC">
        <w:rPr>
          <w:rFonts w:asciiTheme="minorHAnsi" w:hAnsiTheme="minorHAnsi" w:cstheme="minorHAnsi"/>
          <w:b w:val="0"/>
          <w:bCs/>
          <w:sz w:val="20"/>
          <w:lang w:val="cs-CZ"/>
        </w:rPr>
        <w:t>, pokud Subdodavatel vážně poruší své Závazky</w:t>
      </w:r>
      <w:r w:rsidR="00D02C0B" w:rsidRPr="002D74AC">
        <w:rPr>
          <w:rFonts w:asciiTheme="minorHAnsi" w:hAnsiTheme="minorHAnsi" w:cstheme="minorHAnsi"/>
          <w:b w:val="0"/>
          <w:bCs/>
          <w:sz w:val="20"/>
          <w:lang w:val="cs-CZ"/>
        </w:rPr>
        <w:t xml:space="preserve"> či povinnosti</w:t>
      </w:r>
      <w:r w:rsidRPr="002D74AC">
        <w:rPr>
          <w:rFonts w:asciiTheme="minorHAnsi" w:hAnsiTheme="minorHAnsi" w:cstheme="minorHAnsi"/>
          <w:b w:val="0"/>
          <w:bCs/>
          <w:sz w:val="20"/>
          <w:lang w:val="cs-CZ"/>
        </w:rPr>
        <w:t xml:space="preserve"> definované v této Smlouvě, </w:t>
      </w:r>
    </w:p>
    <w:p w14:paraId="09E92DE1" w14:textId="77777777" w:rsidR="006A702C" w:rsidRPr="002D74AC" w:rsidRDefault="00E15B16" w:rsidP="004E5571">
      <w:pPr>
        <w:pStyle w:val="Zkladntext"/>
        <w:numPr>
          <w:ilvl w:val="2"/>
          <w:numId w:val="18"/>
        </w:numPr>
        <w:tabs>
          <w:tab w:val="clear" w:pos="2160"/>
          <w:tab w:val="num" w:pos="540"/>
        </w:tabs>
        <w:ind w:left="540" w:hanging="256"/>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pokud Subdodavatel </w:t>
      </w:r>
      <w:r w:rsidR="00556722" w:rsidRPr="002D74AC">
        <w:rPr>
          <w:rFonts w:asciiTheme="minorHAnsi" w:hAnsiTheme="minorHAnsi" w:cstheme="minorHAnsi"/>
          <w:b w:val="0"/>
          <w:bCs/>
          <w:sz w:val="20"/>
          <w:lang w:val="cs-CZ"/>
        </w:rPr>
        <w:t>poruší jakékoli Závazky</w:t>
      </w:r>
      <w:r w:rsidR="00D02C0B" w:rsidRPr="002D74AC">
        <w:rPr>
          <w:rFonts w:asciiTheme="minorHAnsi" w:hAnsiTheme="minorHAnsi" w:cstheme="minorHAnsi"/>
          <w:b w:val="0"/>
          <w:bCs/>
          <w:sz w:val="20"/>
          <w:lang w:val="cs-CZ"/>
        </w:rPr>
        <w:t xml:space="preserve"> či povinnosti </w:t>
      </w:r>
      <w:r w:rsidR="00556722" w:rsidRPr="002D74AC">
        <w:rPr>
          <w:rFonts w:asciiTheme="minorHAnsi" w:hAnsiTheme="minorHAnsi" w:cstheme="minorHAnsi"/>
          <w:b w:val="0"/>
          <w:bCs/>
          <w:sz w:val="20"/>
          <w:lang w:val="cs-CZ"/>
        </w:rPr>
        <w:t xml:space="preserve"> definované v této Smlouvě a nezjedná nápravu v přiměřené lhůtě stanovené Deloitte v oznámení o porušení, </w:t>
      </w:r>
    </w:p>
    <w:p w14:paraId="5191CEDA" w14:textId="5D3AB2AA" w:rsidR="00041AEB" w:rsidRPr="002D74AC" w:rsidRDefault="00556722" w:rsidP="004E5571">
      <w:pPr>
        <w:pStyle w:val="Zkladntext"/>
        <w:numPr>
          <w:ilvl w:val="2"/>
          <w:numId w:val="18"/>
        </w:numPr>
        <w:tabs>
          <w:tab w:val="clear" w:pos="2160"/>
          <w:tab w:val="num" w:pos="540"/>
        </w:tabs>
        <w:ind w:left="540" w:hanging="256"/>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pokud Subdodavatel během </w:t>
      </w:r>
      <w:r w:rsidR="001C5B38" w:rsidRPr="002D74AC">
        <w:rPr>
          <w:rFonts w:asciiTheme="minorHAnsi" w:hAnsiTheme="minorHAnsi" w:cstheme="minorHAnsi"/>
          <w:b w:val="0"/>
          <w:bCs/>
          <w:sz w:val="20"/>
          <w:lang w:val="cs-CZ"/>
        </w:rPr>
        <w:t>D</w:t>
      </w:r>
      <w:r w:rsidRPr="002D74AC">
        <w:rPr>
          <w:rFonts w:asciiTheme="minorHAnsi" w:hAnsiTheme="minorHAnsi" w:cstheme="minorHAnsi"/>
          <w:b w:val="0"/>
          <w:bCs/>
          <w:sz w:val="20"/>
          <w:lang w:val="cs-CZ"/>
        </w:rPr>
        <w:t xml:space="preserve">oby trvání Smlouvy </w:t>
      </w:r>
      <w:r w:rsidR="00EC3F41" w:rsidRPr="002D74AC">
        <w:rPr>
          <w:rFonts w:asciiTheme="minorHAnsi" w:hAnsiTheme="minorHAnsi" w:cstheme="minorHAnsi"/>
          <w:b w:val="0"/>
          <w:bCs/>
          <w:sz w:val="20"/>
          <w:lang w:val="cs-CZ"/>
        </w:rPr>
        <w:t xml:space="preserve">prokazatelně a závažným způsobem </w:t>
      </w:r>
      <w:r w:rsidR="00500B3D" w:rsidRPr="002D74AC">
        <w:rPr>
          <w:rFonts w:asciiTheme="minorHAnsi" w:hAnsiTheme="minorHAnsi" w:cstheme="minorHAnsi"/>
          <w:b w:val="0"/>
          <w:bCs/>
          <w:sz w:val="20"/>
          <w:lang w:val="cs-CZ"/>
        </w:rPr>
        <w:t>poruší právní předpisy</w:t>
      </w:r>
      <w:r w:rsidR="006D632B" w:rsidRPr="002D74AC">
        <w:rPr>
          <w:rFonts w:asciiTheme="minorHAnsi" w:hAnsiTheme="minorHAnsi" w:cstheme="minorHAnsi"/>
          <w:b w:val="0"/>
          <w:bCs/>
          <w:sz w:val="20"/>
          <w:lang w:val="cs-CZ"/>
        </w:rPr>
        <w:t xml:space="preserve"> nebo pokud Subdodavatel poruší jakoukoliv povinnost stanovenou v </w:t>
      </w:r>
      <w:r w:rsidR="00500B3D" w:rsidRPr="002D74AC">
        <w:rPr>
          <w:rFonts w:asciiTheme="minorHAnsi" w:hAnsiTheme="minorHAnsi" w:cstheme="minorHAnsi"/>
          <w:b w:val="0"/>
          <w:bCs/>
          <w:sz w:val="20"/>
          <w:lang w:val="cs-CZ"/>
        </w:rPr>
        <w:t>článcích</w:t>
      </w:r>
      <w:r w:rsidR="006D632B" w:rsidRPr="002D74AC">
        <w:rPr>
          <w:rFonts w:asciiTheme="minorHAnsi" w:hAnsiTheme="minorHAnsi" w:cstheme="minorHAnsi"/>
          <w:b w:val="0"/>
          <w:bCs/>
          <w:sz w:val="20"/>
          <w:lang w:val="cs-CZ"/>
        </w:rPr>
        <w:t xml:space="preserve"> 3 a 13 nebo pokud záruky </w:t>
      </w:r>
      <w:r w:rsidR="00500B3D" w:rsidRPr="002D74AC">
        <w:rPr>
          <w:rFonts w:asciiTheme="minorHAnsi" w:hAnsiTheme="minorHAnsi" w:cstheme="minorHAnsi"/>
          <w:b w:val="0"/>
          <w:bCs/>
          <w:sz w:val="20"/>
          <w:lang w:val="cs-CZ"/>
        </w:rPr>
        <w:t>uvedené</w:t>
      </w:r>
      <w:r w:rsidR="006D632B" w:rsidRPr="002D74AC">
        <w:rPr>
          <w:rFonts w:asciiTheme="minorHAnsi" w:hAnsiTheme="minorHAnsi" w:cstheme="minorHAnsi"/>
          <w:b w:val="0"/>
          <w:bCs/>
          <w:sz w:val="20"/>
          <w:lang w:val="cs-CZ"/>
        </w:rPr>
        <w:t xml:space="preserve"> v</w:t>
      </w:r>
      <w:r w:rsidR="009D2CA6" w:rsidRPr="002D74AC">
        <w:rPr>
          <w:rFonts w:asciiTheme="minorHAnsi" w:hAnsiTheme="minorHAnsi" w:cstheme="minorHAnsi"/>
          <w:b w:val="0"/>
          <w:bCs/>
          <w:sz w:val="20"/>
          <w:lang w:val="cs-CZ"/>
        </w:rPr>
        <w:t xml:space="preserve"> článku 13 </w:t>
      </w:r>
      <w:r w:rsidR="006D632B" w:rsidRPr="002D74AC">
        <w:rPr>
          <w:rFonts w:asciiTheme="minorHAnsi" w:hAnsiTheme="minorHAnsi" w:cstheme="minorHAnsi"/>
          <w:b w:val="0"/>
          <w:bCs/>
          <w:sz w:val="20"/>
          <w:lang w:val="cs-CZ"/>
        </w:rPr>
        <w:t xml:space="preserve">odstavci </w:t>
      </w:r>
      <w:r w:rsidR="00500B3D" w:rsidRPr="002D74AC">
        <w:rPr>
          <w:rFonts w:asciiTheme="minorHAnsi" w:hAnsiTheme="minorHAnsi" w:cstheme="minorHAnsi"/>
          <w:b w:val="0"/>
          <w:bCs/>
          <w:sz w:val="20"/>
          <w:lang w:val="cs-CZ"/>
        </w:rPr>
        <w:t>(</w:t>
      </w:r>
      <w:r w:rsidR="006D632B" w:rsidRPr="002D74AC">
        <w:rPr>
          <w:rFonts w:asciiTheme="minorHAnsi" w:hAnsiTheme="minorHAnsi" w:cstheme="minorHAnsi"/>
          <w:b w:val="0"/>
          <w:bCs/>
          <w:sz w:val="20"/>
          <w:lang w:val="cs-CZ"/>
        </w:rPr>
        <w:t>C</w:t>
      </w:r>
      <w:r w:rsidR="00500B3D" w:rsidRPr="002D74AC">
        <w:rPr>
          <w:rFonts w:asciiTheme="minorHAnsi" w:hAnsiTheme="minorHAnsi" w:cstheme="minorHAnsi"/>
          <w:b w:val="0"/>
          <w:bCs/>
          <w:sz w:val="20"/>
          <w:lang w:val="cs-CZ"/>
        </w:rPr>
        <w:t>)</w:t>
      </w:r>
      <w:r w:rsidR="006D632B" w:rsidRPr="002D74AC">
        <w:rPr>
          <w:rFonts w:asciiTheme="minorHAnsi" w:hAnsiTheme="minorHAnsi" w:cstheme="minorHAnsi"/>
          <w:b w:val="0"/>
          <w:bCs/>
          <w:sz w:val="20"/>
          <w:lang w:val="cs-CZ"/>
        </w:rPr>
        <w:t xml:space="preserve"> jsou nebo se stanou nepravdivými, nepřesnými nebo zavádějícími, nebo</w:t>
      </w:r>
      <w:r w:rsidRPr="002D74AC">
        <w:rPr>
          <w:rFonts w:asciiTheme="minorHAnsi" w:hAnsiTheme="minorHAnsi" w:cstheme="minorHAnsi"/>
          <w:b w:val="0"/>
          <w:bCs/>
          <w:sz w:val="20"/>
          <w:lang w:val="cs-CZ"/>
        </w:rPr>
        <w:t xml:space="preserve"> </w:t>
      </w:r>
    </w:p>
    <w:p w14:paraId="61B97149" w14:textId="77777777" w:rsidR="006A702C" w:rsidRPr="002D74AC" w:rsidRDefault="00556722" w:rsidP="004E5571">
      <w:pPr>
        <w:pStyle w:val="Zkladntext"/>
        <w:numPr>
          <w:ilvl w:val="2"/>
          <w:numId w:val="18"/>
        </w:numPr>
        <w:tabs>
          <w:tab w:val="clear" w:pos="2160"/>
          <w:tab w:val="num" w:pos="540"/>
          <w:tab w:val="left" w:pos="5685"/>
        </w:tabs>
        <w:ind w:left="540" w:hanging="256"/>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pokud je to výslovně sjednáno v této </w:t>
      </w:r>
      <w:r w:rsidR="000F2DE4" w:rsidRPr="002D74AC">
        <w:rPr>
          <w:rFonts w:asciiTheme="minorHAnsi" w:hAnsiTheme="minorHAnsi" w:cstheme="minorHAnsi"/>
          <w:b w:val="0"/>
          <w:bCs/>
          <w:sz w:val="20"/>
          <w:lang w:val="cs-CZ"/>
        </w:rPr>
        <w:t>S</w:t>
      </w:r>
      <w:r w:rsidRPr="002D74AC">
        <w:rPr>
          <w:rFonts w:asciiTheme="minorHAnsi" w:hAnsiTheme="minorHAnsi" w:cstheme="minorHAnsi"/>
          <w:b w:val="0"/>
          <w:bCs/>
          <w:sz w:val="20"/>
          <w:lang w:val="cs-CZ"/>
        </w:rPr>
        <w:t xml:space="preserve">mlouvě, </w:t>
      </w:r>
    </w:p>
    <w:p w14:paraId="223BF389" w14:textId="55E5A25D" w:rsidR="001666A4" w:rsidRPr="002D74AC" w:rsidRDefault="00556722" w:rsidP="004E5571">
      <w:pPr>
        <w:pStyle w:val="Zkladntext"/>
        <w:numPr>
          <w:ilvl w:val="2"/>
          <w:numId w:val="18"/>
        </w:numPr>
        <w:tabs>
          <w:tab w:val="clear" w:pos="2160"/>
          <w:tab w:val="num" w:pos="540"/>
          <w:tab w:val="left" w:pos="5685"/>
        </w:tabs>
        <w:ind w:left="540" w:hanging="256"/>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lastRenderedPageBreak/>
        <w:t xml:space="preserve">pokud je Subdodavatel </w:t>
      </w:r>
      <w:r w:rsidR="00500B3D" w:rsidRPr="002D74AC">
        <w:rPr>
          <w:rFonts w:asciiTheme="minorHAnsi" w:hAnsiTheme="minorHAnsi" w:cstheme="minorHAnsi"/>
          <w:b w:val="0"/>
          <w:bCs/>
          <w:sz w:val="20"/>
          <w:lang w:val="cs-CZ"/>
        </w:rPr>
        <w:t xml:space="preserve">nebo člen jeho </w:t>
      </w:r>
      <w:proofErr w:type="spellStart"/>
      <w:r w:rsidR="00500B3D" w:rsidRPr="002D74AC">
        <w:rPr>
          <w:rFonts w:asciiTheme="minorHAnsi" w:hAnsiTheme="minorHAnsi" w:cstheme="minorHAnsi"/>
          <w:b w:val="0"/>
          <w:bCs/>
          <w:sz w:val="20"/>
          <w:lang w:val="cs-CZ"/>
        </w:rPr>
        <w:t>stutárního</w:t>
      </w:r>
      <w:proofErr w:type="spellEnd"/>
      <w:r w:rsidR="00500B3D" w:rsidRPr="002D74AC">
        <w:rPr>
          <w:rFonts w:asciiTheme="minorHAnsi" w:hAnsiTheme="minorHAnsi" w:cstheme="minorHAnsi"/>
          <w:b w:val="0"/>
          <w:bCs/>
          <w:sz w:val="20"/>
          <w:lang w:val="cs-CZ"/>
        </w:rPr>
        <w:t xml:space="preserve"> orgánu či jeho zástupce</w:t>
      </w:r>
      <w:r w:rsidR="00686132" w:rsidRPr="002D74AC">
        <w:rPr>
          <w:rFonts w:asciiTheme="minorHAnsi" w:hAnsiTheme="minorHAnsi" w:cstheme="minorHAnsi"/>
          <w:b w:val="0"/>
          <w:bCs/>
          <w:sz w:val="20"/>
          <w:lang w:val="cs-CZ"/>
        </w:rPr>
        <w:t xml:space="preserve"> </w:t>
      </w:r>
      <w:r w:rsidR="00EC3F41" w:rsidRPr="002D74AC">
        <w:rPr>
          <w:rFonts w:asciiTheme="minorHAnsi" w:hAnsiTheme="minorHAnsi" w:cstheme="minorHAnsi"/>
          <w:b w:val="0"/>
          <w:bCs/>
          <w:sz w:val="20"/>
          <w:lang w:val="cs-CZ"/>
        </w:rPr>
        <w:t>pravomocně odsouzen</w:t>
      </w:r>
      <w:r w:rsidR="00500B3D" w:rsidRPr="002D74AC">
        <w:rPr>
          <w:rFonts w:asciiTheme="minorHAnsi" w:hAnsiTheme="minorHAnsi" w:cstheme="minorHAnsi"/>
          <w:b w:val="0"/>
          <w:bCs/>
          <w:sz w:val="20"/>
          <w:lang w:val="cs-CZ"/>
        </w:rPr>
        <w:t xml:space="preserve"> za</w:t>
      </w:r>
      <w:r w:rsidRPr="002D74AC">
        <w:rPr>
          <w:rFonts w:asciiTheme="minorHAnsi" w:hAnsiTheme="minorHAnsi" w:cstheme="minorHAnsi"/>
          <w:b w:val="0"/>
          <w:bCs/>
          <w:sz w:val="20"/>
          <w:lang w:val="cs-CZ"/>
        </w:rPr>
        <w:t xml:space="preserve"> jak</w:t>
      </w:r>
      <w:r w:rsidR="00500B3D" w:rsidRPr="002D74AC">
        <w:rPr>
          <w:rFonts w:asciiTheme="minorHAnsi" w:hAnsiTheme="minorHAnsi" w:cstheme="minorHAnsi"/>
          <w:b w:val="0"/>
          <w:bCs/>
          <w:sz w:val="20"/>
          <w:lang w:val="cs-CZ"/>
        </w:rPr>
        <w:t>ý</w:t>
      </w:r>
      <w:r w:rsidRPr="002D74AC">
        <w:rPr>
          <w:rFonts w:asciiTheme="minorHAnsi" w:hAnsiTheme="minorHAnsi" w:cstheme="minorHAnsi"/>
          <w:b w:val="0"/>
          <w:bCs/>
          <w:sz w:val="20"/>
          <w:lang w:val="cs-CZ"/>
        </w:rPr>
        <w:t>koli</w:t>
      </w:r>
      <w:r w:rsidR="00500B3D" w:rsidRPr="002D74AC">
        <w:rPr>
          <w:rFonts w:asciiTheme="minorHAnsi" w:hAnsiTheme="minorHAnsi" w:cstheme="minorHAnsi"/>
          <w:b w:val="0"/>
          <w:bCs/>
          <w:sz w:val="20"/>
          <w:lang w:val="cs-CZ"/>
        </w:rPr>
        <w:t>v</w:t>
      </w:r>
      <w:r w:rsidRPr="002D74AC">
        <w:rPr>
          <w:rFonts w:asciiTheme="minorHAnsi" w:hAnsiTheme="minorHAnsi" w:cstheme="minorHAnsi"/>
          <w:b w:val="0"/>
          <w:bCs/>
          <w:sz w:val="20"/>
          <w:lang w:val="cs-CZ"/>
        </w:rPr>
        <w:t xml:space="preserve"> trestn</w:t>
      </w:r>
      <w:r w:rsidR="00500B3D" w:rsidRPr="002D74AC">
        <w:rPr>
          <w:rFonts w:asciiTheme="minorHAnsi" w:hAnsiTheme="minorHAnsi" w:cstheme="minorHAnsi"/>
          <w:b w:val="0"/>
          <w:bCs/>
          <w:sz w:val="20"/>
          <w:lang w:val="cs-CZ"/>
        </w:rPr>
        <w:t>ý</w:t>
      </w:r>
      <w:r w:rsidRPr="002D74AC">
        <w:rPr>
          <w:rFonts w:asciiTheme="minorHAnsi" w:hAnsiTheme="minorHAnsi" w:cstheme="minorHAnsi"/>
          <w:b w:val="0"/>
          <w:bCs/>
          <w:sz w:val="20"/>
          <w:lang w:val="cs-CZ"/>
        </w:rPr>
        <w:t xml:space="preserve"> čin. </w:t>
      </w:r>
    </w:p>
    <w:p w14:paraId="70FA8577" w14:textId="77777777" w:rsidR="008D7C2C" w:rsidRPr="002D74AC" w:rsidRDefault="00F07585" w:rsidP="00F07585">
      <w:pPr>
        <w:pStyle w:val="Zkladntext"/>
        <w:tabs>
          <w:tab w:val="left" w:pos="6660"/>
        </w:tabs>
        <w:ind w:left="180" w:hanging="18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ab/>
      </w:r>
      <w:r w:rsidRPr="002D74AC">
        <w:rPr>
          <w:rFonts w:asciiTheme="minorHAnsi" w:hAnsiTheme="minorHAnsi" w:cstheme="minorHAnsi"/>
          <w:b w:val="0"/>
          <w:bCs/>
          <w:sz w:val="20"/>
          <w:lang w:val="cs-CZ"/>
        </w:rPr>
        <w:tab/>
      </w:r>
    </w:p>
    <w:p w14:paraId="55DF16FF" w14:textId="2375D75F" w:rsidR="008D7C2C" w:rsidRPr="002D74AC" w:rsidRDefault="00120022" w:rsidP="004E5571">
      <w:pPr>
        <w:numPr>
          <w:ilvl w:val="0"/>
          <w:numId w:val="8"/>
        </w:numPr>
        <w:tabs>
          <w:tab w:val="clear" w:pos="928"/>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Smlouva může být </w:t>
      </w:r>
      <w:r w:rsidR="00936C3B" w:rsidRPr="002D74AC">
        <w:rPr>
          <w:rFonts w:asciiTheme="minorHAnsi" w:hAnsiTheme="minorHAnsi" w:cstheme="minorHAnsi"/>
          <w:color w:val="auto"/>
          <w:sz w:val="20"/>
          <w:szCs w:val="20"/>
          <w:lang w:val="cs-CZ"/>
        </w:rPr>
        <w:t>u</w:t>
      </w:r>
      <w:r w:rsidRPr="002D74AC">
        <w:rPr>
          <w:rFonts w:asciiTheme="minorHAnsi" w:hAnsiTheme="minorHAnsi" w:cstheme="minorHAnsi"/>
          <w:color w:val="auto"/>
          <w:sz w:val="20"/>
          <w:szCs w:val="20"/>
          <w:lang w:val="cs-CZ"/>
        </w:rPr>
        <w:t xml:space="preserve">končena </w:t>
      </w:r>
      <w:r w:rsidR="00045002" w:rsidRPr="002D74AC">
        <w:rPr>
          <w:rFonts w:asciiTheme="minorHAnsi" w:hAnsiTheme="minorHAnsi" w:cstheme="minorHAnsi"/>
          <w:color w:val="auto"/>
          <w:sz w:val="20"/>
          <w:szCs w:val="20"/>
          <w:lang w:val="cs-CZ"/>
        </w:rPr>
        <w:t xml:space="preserve">též </w:t>
      </w:r>
      <w:r w:rsidRPr="002D74AC">
        <w:rPr>
          <w:rFonts w:asciiTheme="minorHAnsi" w:hAnsiTheme="minorHAnsi" w:cstheme="minorHAnsi"/>
          <w:color w:val="auto"/>
          <w:sz w:val="20"/>
          <w:szCs w:val="20"/>
          <w:lang w:val="cs-CZ"/>
        </w:rPr>
        <w:t>vzájemnou dohodou Stran.</w:t>
      </w:r>
    </w:p>
    <w:p w14:paraId="6A821CB6" w14:textId="446D3BFB" w:rsidR="006A702C" w:rsidRPr="002D74AC" w:rsidRDefault="006A702C">
      <w:pPr>
        <w:ind w:left="540" w:hanging="540"/>
        <w:jc w:val="both"/>
        <w:rPr>
          <w:rFonts w:asciiTheme="minorHAnsi" w:hAnsiTheme="minorHAnsi" w:cstheme="minorHAnsi"/>
          <w:bCs/>
          <w:color w:val="auto"/>
          <w:sz w:val="20"/>
          <w:szCs w:val="20"/>
          <w:lang w:val="cs-CZ"/>
        </w:rPr>
      </w:pPr>
    </w:p>
    <w:p w14:paraId="1C94576C" w14:textId="77777777" w:rsidR="006A702C" w:rsidRPr="002D74AC" w:rsidRDefault="006A702C">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7.</w:t>
      </w:r>
      <w:r w:rsidRPr="002D74AC">
        <w:rPr>
          <w:rFonts w:asciiTheme="minorHAnsi" w:hAnsiTheme="minorHAnsi" w:cstheme="minorHAnsi"/>
          <w:b/>
          <w:bCs/>
          <w:color w:val="auto"/>
          <w:sz w:val="20"/>
          <w:szCs w:val="20"/>
          <w:lang w:val="cs-CZ"/>
        </w:rPr>
        <w:tab/>
      </w:r>
      <w:r w:rsidR="00120022" w:rsidRPr="002D74AC">
        <w:rPr>
          <w:rFonts w:asciiTheme="minorHAnsi" w:hAnsiTheme="minorHAnsi" w:cstheme="minorHAnsi"/>
          <w:b/>
          <w:bCs/>
          <w:color w:val="auto"/>
          <w:sz w:val="20"/>
          <w:szCs w:val="20"/>
          <w:lang w:val="cs-CZ"/>
        </w:rPr>
        <w:t xml:space="preserve">CENA A PLATEBNÍ PODMÍNKY </w:t>
      </w:r>
    </w:p>
    <w:p w14:paraId="01EA93E5" w14:textId="77777777" w:rsidR="006A702C" w:rsidRPr="002D74AC" w:rsidRDefault="006A702C">
      <w:pPr>
        <w:ind w:hanging="540"/>
        <w:jc w:val="both"/>
        <w:rPr>
          <w:rFonts w:asciiTheme="minorHAnsi" w:hAnsiTheme="minorHAnsi" w:cstheme="minorHAnsi"/>
          <w:color w:val="auto"/>
          <w:sz w:val="20"/>
          <w:szCs w:val="20"/>
          <w:lang w:val="cs-CZ"/>
        </w:rPr>
      </w:pPr>
    </w:p>
    <w:p w14:paraId="1F385A83" w14:textId="65929DDA" w:rsidR="00120022" w:rsidRPr="002D74AC" w:rsidRDefault="00120022" w:rsidP="004E5571">
      <w:pPr>
        <w:numPr>
          <w:ilvl w:val="0"/>
          <w:numId w:val="10"/>
        </w:numPr>
        <w:tabs>
          <w:tab w:val="clear" w:pos="1079"/>
          <w:tab w:val="num" w:pos="-342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Za </w:t>
      </w:r>
      <w:r w:rsidR="0071189B" w:rsidRPr="002D74AC">
        <w:rPr>
          <w:rFonts w:asciiTheme="minorHAnsi" w:hAnsiTheme="minorHAnsi" w:cstheme="minorHAnsi"/>
          <w:color w:val="auto"/>
          <w:sz w:val="20"/>
          <w:szCs w:val="20"/>
          <w:lang w:val="cs-CZ"/>
        </w:rPr>
        <w:t>řádné poskytování Služeb bude Subdodavateli během Doby trvání Smlouvy vyplacena odměna v sazbě nebo ve výši stanovené v příloze A, která tvoří nedílnou součást této Smlouvy. V případě, že Služby budou poskytov</w:t>
      </w:r>
      <w:r w:rsidR="00FD441A" w:rsidRPr="002D74AC">
        <w:rPr>
          <w:rFonts w:asciiTheme="minorHAnsi" w:hAnsiTheme="minorHAnsi" w:cstheme="minorHAnsi"/>
          <w:color w:val="auto"/>
          <w:sz w:val="20"/>
          <w:szCs w:val="20"/>
          <w:lang w:val="cs-CZ"/>
        </w:rPr>
        <w:t>ány</w:t>
      </w:r>
      <w:r w:rsidR="0071189B" w:rsidRPr="002D74AC">
        <w:rPr>
          <w:rFonts w:asciiTheme="minorHAnsi" w:hAnsiTheme="minorHAnsi" w:cstheme="minorHAnsi"/>
          <w:color w:val="auto"/>
          <w:sz w:val="20"/>
          <w:szCs w:val="20"/>
          <w:lang w:val="cs-CZ"/>
        </w:rPr>
        <w:t xml:space="preserve"> po dobu kratší, než je stanoveno touto Smlouvou, bude výše odměny poměrně upravena. V případě ukončení této Smlouvy není Deloitte v žádném případě povinna provádět jakékoli úhrady ve prospěch Subdodavatele.</w:t>
      </w:r>
    </w:p>
    <w:p w14:paraId="4FF50E69" w14:textId="77777777" w:rsidR="006A702C" w:rsidRPr="003F3BCC" w:rsidRDefault="000125CE" w:rsidP="000125CE">
      <w:pPr>
        <w:tabs>
          <w:tab w:val="left" w:pos="4665"/>
        </w:tabs>
        <w:ind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ab/>
      </w:r>
      <w:r w:rsidRPr="002D74AC">
        <w:rPr>
          <w:rFonts w:asciiTheme="minorHAnsi" w:hAnsiTheme="minorHAnsi" w:cstheme="minorHAnsi"/>
          <w:color w:val="auto"/>
          <w:sz w:val="20"/>
          <w:szCs w:val="20"/>
          <w:lang w:val="cs-CZ"/>
        </w:rPr>
        <w:tab/>
      </w:r>
    </w:p>
    <w:p w14:paraId="4DCB2551" w14:textId="4DC5785F" w:rsidR="004F2ACE" w:rsidRPr="002D74AC" w:rsidRDefault="00C04ED5" w:rsidP="004E5571">
      <w:pPr>
        <w:numPr>
          <w:ilvl w:val="0"/>
          <w:numId w:val="10"/>
        </w:numPr>
        <w:tabs>
          <w:tab w:val="clear" w:pos="1079"/>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Odměna za Služby uvedená v Příloze A již zahrnuje veškeré náklady Subdodavatele související s poskytnutými Službami.</w:t>
      </w:r>
      <w:r w:rsidRPr="002D74AC" w:rsidDel="004F2ACE">
        <w:rPr>
          <w:rFonts w:asciiTheme="minorHAnsi" w:hAnsiTheme="minorHAnsi" w:cstheme="minorHAnsi"/>
          <w:color w:val="auto"/>
          <w:sz w:val="20"/>
          <w:szCs w:val="20"/>
          <w:lang w:val="cs-CZ"/>
        </w:rPr>
        <w:t xml:space="preserve"> </w:t>
      </w:r>
    </w:p>
    <w:p w14:paraId="5884A7CD" w14:textId="77777777" w:rsidR="0089534D" w:rsidRPr="002D74AC" w:rsidRDefault="0089534D" w:rsidP="0089534D">
      <w:pPr>
        <w:ind w:left="-540"/>
        <w:jc w:val="both"/>
        <w:rPr>
          <w:rFonts w:asciiTheme="minorHAnsi" w:hAnsiTheme="minorHAnsi" w:cstheme="minorHAnsi"/>
          <w:color w:val="auto"/>
          <w:sz w:val="20"/>
          <w:szCs w:val="20"/>
          <w:lang w:val="cs-CZ"/>
        </w:rPr>
      </w:pPr>
    </w:p>
    <w:p w14:paraId="7426573C" w14:textId="55C319ED" w:rsidR="00BE7948" w:rsidRPr="002D74AC" w:rsidRDefault="003F46CF" w:rsidP="004E5571">
      <w:pPr>
        <w:numPr>
          <w:ilvl w:val="0"/>
          <w:numId w:val="10"/>
        </w:numPr>
        <w:tabs>
          <w:tab w:val="clear" w:pos="1079"/>
        </w:tabs>
        <w:ind w:left="0" w:hanging="540"/>
        <w:jc w:val="both"/>
        <w:rPr>
          <w:rFonts w:asciiTheme="minorHAnsi" w:hAnsiTheme="minorHAnsi" w:cstheme="minorHAnsi"/>
          <w:color w:val="auto"/>
          <w:sz w:val="20"/>
          <w:szCs w:val="20"/>
          <w:lang w:val="cs-CZ"/>
        </w:rPr>
      </w:pPr>
      <w:r>
        <w:rPr>
          <w:rFonts w:asciiTheme="minorHAnsi" w:hAnsiTheme="minorHAnsi" w:cstheme="minorHAnsi"/>
          <w:color w:val="auto"/>
          <w:sz w:val="20"/>
          <w:szCs w:val="20"/>
          <w:lang w:val="cs-CZ"/>
        </w:rPr>
        <w:t xml:space="preserve">Subdodavatel je oprávněn </w:t>
      </w:r>
      <w:r w:rsidR="00C566F8">
        <w:rPr>
          <w:rFonts w:asciiTheme="minorHAnsi" w:hAnsiTheme="minorHAnsi" w:cstheme="minorHAnsi"/>
          <w:color w:val="auto"/>
          <w:sz w:val="20"/>
          <w:szCs w:val="20"/>
          <w:lang w:val="cs-CZ"/>
        </w:rPr>
        <w:t>vystavit zálohou f</w:t>
      </w:r>
      <w:r w:rsidR="004D5D4F">
        <w:rPr>
          <w:rFonts w:asciiTheme="minorHAnsi" w:hAnsiTheme="minorHAnsi" w:cstheme="minorHAnsi"/>
          <w:color w:val="auto"/>
          <w:sz w:val="20"/>
          <w:szCs w:val="20"/>
          <w:lang w:val="cs-CZ"/>
        </w:rPr>
        <w:t>a</w:t>
      </w:r>
      <w:r w:rsidR="00C566F8">
        <w:rPr>
          <w:rFonts w:asciiTheme="minorHAnsi" w:hAnsiTheme="minorHAnsi" w:cstheme="minorHAnsi"/>
          <w:color w:val="auto"/>
          <w:sz w:val="20"/>
          <w:szCs w:val="20"/>
          <w:lang w:val="cs-CZ"/>
        </w:rPr>
        <w:t>k</w:t>
      </w:r>
      <w:r w:rsidR="004D5D4F">
        <w:rPr>
          <w:rFonts w:asciiTheme="minorHAnsi" w:hAnsiTheme="minorHAnsi" w:cstheme="minorHAnsi"/>
          <w:color w:val="auto"/>
          <w:sz w:val="20"/>
          <w:szCs w:val="20"/>
          <w:lang w:val="cs-CZ"/>
        </w:rPr>
        <w:t>t</w:t>
      </w:r>
      <w:r w:rsidR="00C566F8">
        <w:rPr>
          <w:rFonts w:asciiTheme="minorHAnsi" w:hAnsiTheme="minorHAnsi" w:cstheme="minorHAnsi"/>
          <w:color w:val="auto"/>
          <w:sz w:val="20"/>
          <w:szCs w:val="20"/>
          <w:lang w:val="cs-CZ"/>
        </w:rPr>
        <w:t>uru</w:t>
      </w:r>
      <w:r>
        <w:rPr>
          <w:rFonts w:asciiTheme="minorHAnsi" w:hAnsiTheme="minorHAnsi" w:cstheme="minorHAnsi"/>
          <w:color w:val="auto"/>
          <w:sz w:val="20"/>
          <w:szCs w:val="20"/>
          <w:lang w:val="cs-CZ"/>
        </w:rPr>
        <w:t xml:space="preserve"> </w:t>
      </w:r>
      <w:r w:rsidR="000E1001">
        <w:rPr>
          <w:rFonts w:asciiTheme="minorHAnsi" w:hAnsiTheme="minorHAnsi" w:cstheme="minorHAnsi"/>
          <w:color w:val="auto"/>
          <w:sz w:val="20"/>
          <w:szCs w:val="20"/>
          <w:lang w:val="cs-CZ"/>
        </w:rPr>
        <w:t xml:space="preserve">na </w:t>
      </w:r>
      <w:r>
        <w:rPr>
          <w:rFonts w:asciiTheme="minorHAnsi" w:hAnsiTheme="minorHAnsi" w:cstheme="minorHAnsi"/>
          <w:color w:val="auto"/>
          <w:sz w:val="20"/>
          <w:szCs w:val="20"/>
          <w:lang w:val="cs-CZ"/>
        </w:rPr>
        <w:t xml:space="preserve">20 % konečné odměny za </w:t>
      </w:r>
      <w:r w:rsidR="00C566F8">
        <w:rPr>
          <w:rFonts w:asciiTheme="minorHAnsi" w:hAnsiTheme="minorHAnsi" w:cstheme="minorHAnsi"/>
          <w:color w:val="auto"/>
          <w:sz w:val="20"/>
          <w:szCs w:val="20"/>
          <w:lang w:val="cs-CZ"/>
        </w:rPr>
        <w:t>Služby</w:t>
      </w:r>
      <w:r w:rsidR="000E1001">
        <w:rPr>
          <w:rFonts w:asciiTheme="minorHAnsi" w:hAnsiTheme="minorHAnsi" w:cstheme="minorHAnsi"/>
          <w:color w:val="auto"/>
          <w:sz w:val="20"/>
          <w:szCs w:val="20"/>
          <w:lang w:val="cs-CZ"/>
        </w:rPr>
        <w:t xml:space="preserve"> po uzavření této Smlouvy.</w:t>
      </w:r>
      <w:r w:rsidR="00C566F8">
        <w:rPr>
          <w:rFonts w:asciiTheme="minorHAnsi" w:hAnsiTheme="minorHAnsi" w:cstheme="minorHAnsi"/>
          <w:color w:val="auto"/>
          <w:sz w:val="20"/>
          <w:szCs w:val="20"/>
          <w:lang w:val="cs-CZ"/>
        </w:rPr>
        <w:t xml:space="preserve"> </w:t>
      </w:r>
      <w:r w:rsidR="008142E7" w:rsidRPr="002D74AC">
        <w:rPr>
          <w:rFonts w:asciiTheme="minorHAnsi" w:hAnsiTheme="minorHAnsi" w:cstheme="minorHAnsi"/>
          <w:color w:val="auto"/>
          <w:sz w:val="20"/>
          <w:szCs w:val="20"/>
          <w:lang w:val="cs-CZ"/>
        </w:rPr>
        <w:t xml:space="preserve">Subdodavatel předloží </w:t>
      </w:r>
      <w:r w:rsidR="000E1001">
        <w:rPr>
          <w:rFonts w:asciiTheme="minorHAnsi" w:hAnsiTheme="minorHAnsi" w:cstheme="minorHAnsi"/>
          <w:color w:val="auto"/>
          <w:sz w:val="20"/>
          <w:szCs w:val="20"/>
          <w:lang w:val="cs-CZ"/>
        </w:rPr>
        <w:t xml:space="preserve">konečnou </w:t>
      </w:r>
      <w:r w:rsidR="008142E7" w:rsidRPr="002D74AC">
        <w:rPr>
          <w:rFonts w:asciiTheme="minorHAnsi" w:hAnsiTheme="minorHAnsi" w:cstheme="minorHAnsi"/>
          <w:color w:val="auto"/>
          <w:sz w:val="20"/>
          <w:szCs w:val="20"/>
          <w:lang w:val="cs-CZ"/>
        </w:rPr>
        <w:t>fakturu za poskytnuté Služby</w:t>
      </w:r>
      <w:r w:rsidR="000A51E2">
        <w:rPr>
          <w:rFonts w:asciiTheme="minorHAnsi" w:hAnsiTheme="minorHAnsi" w:cstheme="minorHAnsi"/>
          <w:color w:val="auto"/>
          <w:sz w:val="20"/>
          <w:szCs w:val="20"/>
          <w:lang w:val="cs-CZ"/>
        </w:rPr>
        <w:t xml:space="preserve"> s vypořádanou zálohou</w:t>
      </w:r>
      <w:r w:rsidR="008142E7" w:rsidRPr="002D74AC">
        <w:rPr>
          <w:rFonts w:asciiTheme="minorHAnsi" w:hAnsiTheme="minorHAnsi" w:cstheme="minorHAnsi"/>
          <w:color w:val="auto"/>
          <w:sz w:val="20"/>
          <w:szCs w:val="20"/>
          <w:lang w:val="cs-CZ"/>
        </w:rPr>
        <w:t xml:space="preserve"> včetně pracovních výkazů personálu poskytujícího Služby, odvedené práce a vzniklých nákladů. Tyto výkazy budou zpracovány v souladu s požadavky Deloitte, zejména co se týče  jejich formy, či podrobnosti zpracování. Příslušné faktury budou v případě jejich akceptace ze strany Deloitte  uhrazeny během 30 dní od přijetí. Faktura bude vystavena poté, co Hlavní klient akceptuje části Služeb a/nebo Výstupů specifikovaných v příloze A. </w:t>
      </w:r>
    </w:p>
    <w:p w14:paraId="19E8E043" w14:textId="6550E7D9" w:rsidR="002D4556" w:rsidRPr="002D74AC" w:rsidRDefault="002D4556" w:rsidP="00F27DCE">
      <w:pPr>
        <w:jc w:val="both"/>
        <w:rPr>
          <w:rFonts w:asciiTheme="minorHAnsi" w:hAnsiTheme="minorHAnsi" w:cstheme="minorHAnsi"/>
          <w:color w:val="auto"/>
          <w:sz w:val="20"/>
          <w:szCs w:val="20"/>
          <w:lang w:val="cs-CZ"/>
        </w:rPr>
      </w:pPr>
    </w:p>
    <w:p w14:paraId="15F02204" w14:textId="3A76CCFA" w:rsidR="00F27DCE" w:rsidRPr="002D74AC" w:rsidRDefault="00EE1FBF" w:rsidP="004E5571">
      <w:pPr>
        <w:numPr>
          <w:ilvl w:val="0"/>
          <w:numId w:val="10"/>
        </w:numPr>
        <w:tabs>
          <w:tab w:val="clear" w:pos="1079"/>
          <w:tab w:val="num" w:pos="-360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 případě, že je to v souladu s platnými zákony</w:t>
      </w:r>
      <w:r w:rsidR="00704B1B" w:rsidRPr="002D74AC">
        <w:rPr>
          <w:rFonts w:asciiTheme="minorHAnsi" w:hAnsiTheme="minorHAnsi" w:cstheme="minorHAnsi"/>
          <w:color w:val="auto"/>
          <w:sz w:val="20"/>
          <w:szCs w:val="20"/>
          <w:lang w:val="cs-CZ"/>
        </w:rPr>
        <w:t>,</w:t>
      </w:r>
      <w:r w:rsidR="00836BE6" w:rsidRPr="002D74AC">
        <w:rPr>
          <w:rFonts w:asciiTheme="minorHAnsi" w:hAnsiTheme="minorHAnsi" w:cstheme="minorHAnsi"/>
          <w:color w:val="auto"/>
          <w:sz w:val="20"/>
          <w:szCs w:val="20"/>
          <w:lang w:val="cs-CZ"/>
        </w:rPr>
        <w:t xml:space="preserve"> </w:t>
      </w:r>
      <w:r w:rsidR="00704B1B" w:rsidRPr="002D74AC">
        <w:rPr>
          <w:rFonts w:asciiTheme="minorHAnsi" w:hAnsiTheme="minorHAnsi" w:cstheme="minorHAnsi"/>
          <w:color w:val="auto"/>
          <w:sz w:val="20"/>
          <w:szCs w:val="20"/>
          <w:lang w:val="cs-CZ"/>
        </w:rPr>
        <w:t xml:space="preserve">je </w:t>
      </w:r>
      <w:r w:rsidR="00836BE6" w:rsidRPr="002D74AC">
        <w:rPr>
          <w:rFonts w:asciiTheme="minorHAnsi" w:hAnsiTheme="minorHAnsi" w:cstheme="minorHAnsi"/>
          <w:color w:val="auto"/>
          <w:sz w:val="20"/>
          <w:szCs w:val="20"/>
          <w:lang w:val="cs-CZ"/>
        </w:rPr>
        <w:t xml:space="preserve">Subdodavatel </w:t>
      </w:r>
      <w:r w:rsidR="00704B1B" w:rsidRPr="002D74AC">
        <w:rPr>
          <w:rFonts w:asciiTheme="minorHAnsi" w:hAnsiTheme="minorHAnsi" w:cstheme="minorHAnsi"/>
          <w:color w:val="auto"/>
          <w:sz w:val="20"/>
          <w:szCs w:val="20"/>
          <w:lang w:val="cs-CZ"/>
        </w:rPr>
        <w:t xml:space="preserve">povinen </w:t>
      </w:r>
      <w:r w:rsidR="00836BE6" w:rsidRPr="002D74AC">
        <w:rPr>
          <w:rFonts w:asciiTheme="minorHAnsi" w:hAnsiTheme="minorHAnsi" w:cstheme="minorHAnsi"/>
          <w:color w:val="auto"/>
          <w:sz w:val="20"/>
          <w:szCs w:val="20"/>
          <w:lang w:val="cs-CZ"/>
        </w:rPr>
        <w:t xml:space="preserve">opravené faktury nebo jiné částky nárokované k úhradě </w:t>
      </w:r>
      <w:r w:rsidR="00704B1B" w:rsidRPr="002D74AC">
        <w:rPr>
          <w:rFonts w:asciiTheme="minorHAnsi" w:hAnsiTheme="minorHAnsi" w:cstheme="minorHAnsi"/>
          <w:color w:val="auto"/>
          <w:sz w:val="20"/>
          <w:szCs w:val="20"/>
          <w:lang w:val="cs-CZ"/>
        </w:rPr>
        <w:t xml:space="preserve">předložit </w:t>
      </w:r>
      <w:r w:rsidR="00836BE6" w:rsidRPr="002D74AC">
        <w:rPr>
          <w:rFonts w:asciiTheme="minorHAnsi" w:hAnsiTheme="minorHAnsi" w:cstheme="minorHAnsi"/>
          <w:color w:val="auto"/>
          <w:sz w:val="20"/>
          <w:szCs w:val="20"/>
          <w:lang w:val="cs-CZ"/>
        </w:rPr>
        <w:t>Deloitte ve lhůtě 1 roku od data akceptace Služeb</w:t>
      </w:r>
      <w:r w:rsidR="00704B1B" w:rsidRPr="002D74AC">
        <w:rPr>
          <w:rFonts w:asciiTheme="minorHAnsi" w:hAnsiTheme="minorHAnsi" w:cstheme="minorHAnsi"/>
          <w:color w:val="auto"/>
          <w:sz w:val="20"/>
          <w:szCs w:val="20"/>
          <w:lang w:val="cs-CZ"/>
        </w:rPr>
        <w:t>, přičemž jakákoli smluvní omezení, či vzdání se nároků anebo práv nebudou v daném případě aplikovatelné. Veškeré v</w:t>
      </w:r>
      <w:r w:rsidR="00BA56D0" w:rsidRPr="002D74AC">
        <w:rPr>
          <w:rFonts w:asciiTheme="minorHAnsi" w:hAnsiTheme="minorHAnsi" w:cstheme="minorHAnsi"/>
          <w:color w:val="auto"/>
          <w:sz w:val="20"/>
          <w:szCs w:val="20"/>
          <w:lang w:val="cs-CZ"/>
        </w:rPr>
        <w:t xml:space="preserve">ýjimky </w:t>
      </w:r>
      <w:r w:rsidR="00704B1B" w:rsidRPr="002D74AC">
        <w:rPr>
          <w:rFonts w:asciiTheme="minorHAnsi" w:hAnsiTheme="minorHAnsi" w:cstheme="minorHAnsi"/>
          <w:color w:val="auto"/>
          <w:sz w:val="20"/>
          <w:szCs w:val="20"/>
          <w:lang w:val="cs-CZ"/>
        </w:rPr>
        <w:t xml:space="preserve">z výše uvedeného pravidla </w:t>
      </w:r>
      <w:r w:rsidR="00BA56D0" w:rsidRPr="002D74AC">
        <w:rPr>
          <w:rFonts w:asciiTheme="minorHAnsi" w:hAnsiTheme="minorHAnsi" w:cstheme="minorHAnsi"/>
          <w:color w:val="auto"/>
          <w:sz w:val="20"/>
          <w:szCs w:val="20"/>
          <w:lang w:val="cs-CZ"/>
        </w:rPr>
        <w:t xml:space="preserve">musí být </w:t>
      </w:r>
      <w:r w:rsidR="00704B1B" w:rsidRPr="002D74AC">
        <w:rPr>
          <w:rFonts w:asciiTheme="minorHAnsi" w:hAnsiTheme="minorHAnsi" w:cstheme="minorHAnsi"/>
          <w:color w:val="auto"/>
          <w:sz w:val="20"/>
          <w:szCs w:val="20"/>
          <w:lang w:val="cs-CZ"/>
        </w:rPr>
        <w:t xml:space="preserve"> písemně </w:t>
      </w:r>
      <w:r w:rsidR="00BA56D0" w:rsidRPr="002D74AC">
        <w:rPr>
          <w:rFonts w:asciiTheme="minorHAnsi" w:hAnsiTheme="minorHAnsi" w:cstheme="minorHAnsi"/>
          <w:color w:val="auto"/>
          <w:sz w:val="20"/>
          <w:szCs w:val="20"/>
          <w:lang w:val="cs-CZ"/>
        </w:rPr>
        <w:t xml:space="preserve">schváleny </w:t>
      </w:r>
      <w:r w:rsidR="00704B1B" w:rsidRPr="002D74AC">
        <w:rPr>
          <w:rFonts w:asciiTheme="minorHAnsi" w:hAnsiTheme="minorHAnsi" w:cstheme="minorHAnsi"/>
          <w:color w:val="auto"/>
          <w:sz w:val="20"/>
          <w:szCs w:val="20"/>
          <w:lang w:val="cs-CZ"/>
        </w:rPr>
        <w:t xml:space="preserve"> ze strany </w:t>
      </w:r>
      <w:r w:rsidR="00BA56D0" w:rsidRPr="002D74AC">
        <w:rPr>
          <w:rFonts w:asciiTheme="minorHAnsi" w:hAnsiTheme="minorHAnsi" w:cstheme="minorHAnsi"/>
          <w:color w:val="auto"/>
          <w:sz w:val="20"/>
          <w:szCs w:val="20"/>
          <w:lang w:val="cs-CZ"/>
        </w:rPr>
        <w:t>Deloitte</w:t>
      </w:r>
      <w:r w:rsidR="00936C3B" w:rsidRPr="002D74AC">
        <w:rPr>
          <w:rFonts w:asciiTheme="minorHAnsi" w:hAnsiTheme="minorHAnsi" w:cstheme="minorHAnsi"/>
          <w:color w:val="auto"/>
          <w:sz w:val="20"/>
          <w:szCs w:val="20"/>
          <w:lang w:val="cs-CZ"/>
        </w:rPr>
        <w:t>.</w:t>
      </w:r>
    </w:p>
    <w:p w14:paraId="3855A55B" w14:textId="77777777" w:rsidR="00F27DCE" w:rsidRPr="002D74AC" w:rsidRDefault="00F27DCE" w:rsidP="00F27DCE">
      <w:pPr>
        <w:jc w:val="both"/>
        <w:rPr>
          <w:rFonts w:asciiTheme="minorHAnsi" w:hAnsiTheme="minorHAnsi" w:cstheme="minorHAnsi"/>
          <w:color w:val="auto"/>
          <w:sz w:val="20"/>
          <w:szCs w:val="20"/>
          <w:lang w:val="cs-CZ"/>
        </w:rPr>
      </w:pPr>
    </w:p>
    <w:p w14:paraId="48B56CD9" w14:textId="38F936FA" w:rsidR="006A702C" w:rsidRPr="002D74AC" w:rsidRDefault="003F4F79" w:rsidP="004E5571">
      <w:pPr>
        <w:numPr>
          <w:ilvl w:val="0"/>
          <w:numId w:val="10"/>
        </w:numPr>
        <w:tabs>
          <w:tab w:val="clear" w:pos="1079"/>
          <w:tab w:val="num" w:pos="-342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Z jakýchkoli a veškerých daňových závazků včetně mj. franšízy, daně z čistého nebo hrubého příjmu, licence, profesní daně nebo daně z nemovitosti, je odpovědný Subdodavatel, přičemž Deloitte nemá vůči Subdodavateli v tomto ohledu žádné závazky či jiné povinnosti. Subdodavatel </w:t>
      </w:r>
      <w:r w:rsidR="00EC3F41" w:rsidRPr="002D74AC">
        <w:rPr>
          <w:rFonts w:asciiTheme="minorHAnsi" w:hAnsiTheme="minorHAnsi" w:cstheme="minorHAnsi"/>
          <w:color w:val="auto"/>
          <w:sz w:val="20"/>
          <w:szCs w:val="20"/>
          <w:lang w:val="cs-CZ"/>
        </w:rPr>
        <w:t xml:space="preserve">v souladu s platnými právními předpisy </w:t>
      </w:r>
      <w:r w:rsidRPr="002D74AC">
        <w:rPr>
          <w:rFonts w:asciiTheme="minorHAnsi" w:hAnsiTheme="minorHAnsi" w:cstheme="minorHAnsi"/>
          <w:color w:val="auto"/>
          <w:sz w:val="20"/>
          <w:szCs w:val="20"/>
          <w:lang w:val="cs-CZ"/>
        </w:rPr>
        <w:t xml:space="preserve">přizná a </w:t>
      </w:r>
      <w:r w:rsidR="00DD7D49" w:rsidRPr="002D74AC">
        <w:rPr>
          <w:rFonts w:asciiTheme="minorHAnsi" w:hAnsiTheme="minorHAnsi" w:cstheme="minorHAnsi"/>
          <w:color w:val="auto"/>
          <w:sz w:val="20"/>
          <w:szCs w:val="20"/>
          <w:lang w:val="cs-CZ"/>
        </w:rPr>
        <w:t>odvede</w:t>
      </w:r>
      <w:r w:rsidRPr="002D74AC">
        <w:rPr>
          <w:rFonts w:asciiTheme="minorHAnsi" w:hAnsiTheme="minorHAnsi" w:cstheme="minorHAnsi"/>
          <w:color w:val="auto"/>
          <w:sz w:val="20"/>
          <w:szCs w:val="20"/>
          <w:lang w:val="cs-CZ"/>
        </w:rPr>
        <w:t xml:space="preserve">, jakožto nezávislý dodavatel, veškeré daně, které se vztahují na částky uhrazené v jeho prospěch ze strany Deloitte podle této Smlouvy. V případech vyžadovaných zákonem provede Deloitte příslušnou srážku daně z částek placených Subdodavateli. Faktura </w:t>
      </w:r>
      <w:r w:rsidR="0070389A" w:rsidRPr="002D74AC">
        <w:rPr>
          <w:rFonts w:asciiTheme="minorHAnsi" w:hAnsiTheme="minorHAnsi" w:cstheme="minorHAnsi"/>
          <w:color w:val="auto"/>
          <w:sz w:val="20"/>
          <w:szCs w:val="20"/>
          <w:lang w:val="cs-CZ"/>
        </w:rPr>
        <w:t>Subdodavatele</w:t>
      </w:r>
      <w:r w:rsidRPr="002D74AC">
        <w:rPr>
          <w:rFonts w:asciiTheme="minorHAnsi" w:hAnsiTheme="minorHAnsi" w:cstheme="minorHAnsi"/>
          <w:color w:val="auto"/>
          <w:sz w:val="20"/>
          <w:szCs w:val="20"/>
          <w:lang w:val="cs-CZ"/>
        </w:rPr>
        <w:t xml:space="preserve"> bude obsahovat řádné rozdělení zdanitelných a nezdanitelných Služeb, jak vyžaduje příslušný zákon. Subdodavatel přebírá odpovědnost za včasné poukázání všech daňových plateb příslušnému úřadu státní správy. </w:t>
      </w:r>
    </w:p>
    <w:p w14:paraId="731DA409" w14:textId="77777777" w:rsidR="00A92B13" w:rsidRPr="002D74AC" w:rsidRDefault="00A92B13" w:rsidP="00A92B13">
      <w:pPr>
        <w:jc w:val="both"/>
        <w:rPr>
          <w:rFonts w:asciiTheme="minorHAnsi" w:hAnsiTheme="minorHAnsi" w:cstheme="minorHAnsi"/>
          <w:color w:val="auto"/>
          <w:sz w:val="20"/>
          <w:szCs w:val="20"/>
          <w:lang w:val="cs-CZ"/>
        </w:rPr>
      </w:pPr>
    </w:p>
    <w:p w14:paraId="532AD9FD" w14:textId="77777777" w:rsidR="00A92B13" w:rsidRPr="002D74AC" w:rsidRDefault="003F4F79" w:rsidP="004E5571">
      <w:pPr>
        <w:numPr>
          <w:ilvl w:val="0"/>
          <w:numId w:val="10"/>
        </w:numPr>
        <w:tabs>
          <w:tab w:val="clear" w:pos="1079"/>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Deloitte nahradí veškerá penále, pokuty, navýšení daní nebo úroků uložených Deloitte v důsledku toho, že Subdodavatel včas neprovedl odvod daně příslušnému úřadu státní správy. Subdodavatel zároveň nahradí Deloitte veškeré nároky daňové jurisdikce za penále, pokuty, navýšení daní nebo úroků uložených v souvislosti s tím, že Subdodavatel nevyfakturoval společnosti Deloitte správnou částku daně</w:t>
      </w:r>
      <w:r w:rsidR="00F210AC" w:rsidRPr="002D74AC">
        <w:rPr>
          <w:rFonts w:asciiTheme="minorHAnsi" w:hAnsiTheme="minorHAnsi" w:cstheme="minorHAnsi"/>
          <w:color w:val="auto"/>
          <w:sz w:val="20"/>
          <w:szCs w:val="20"/>
          <w:lang w:val="cs-CZ"/>
        </w:rPr>
        <w:t xml:space="preserve">. </w:t>
      </w:r>
    </w:p>
    <w:p w14:paraId="2DF9AE54" w14:textId="77777777" w:rsidR="006A702C" w:rsidRPr="002D74AC" w:rsidRDefault="006A702C">
      <w:pPr>
        <w:ind w:hanging="540"/>
        <w:jc w:val="both"/>
        <w:rPr>
          <w:rFonts w:asciiTheme="minorHAnsi" w:hAnsiTheme="minorHAnsi" w:cstheme="minorHAnsi"/>
          <w:color w:val="auto"/>
          <w:sz w:val="20"/>
          <w:szCs w:val="20"/>
          <w:lang w:val="cs-CZ"/>
        </w:rPr>
      </w:pPr>
    </w:p>
    <w:p w14:paraId="02818DB9" w14:textId="77777777" w:rsidR="009D6427" w:rsidRPr="002D74AC" w:rsidRDefault="009D6427">
      <w:pPr>
        <w:jc w:val="both"/>
        <w:rPr>
          <w:rFonts w:asciiTheme="minorHAnsi" w:hAnsiTheme="minorHAnsi" w:cstheme="minorHAnsi"/>
          <w:color w:val="auto"/>
          <w:sz w:val="20"/>
          <w:szCs w:val="20"/>
          <w:lang w:val="cs-CZ"/>
        </w:rPr>
      </w:pPr>
    </w:p>
    <w:p w14:paraId="3F26A3CF" w14:textId="4BBEF674" w:rsidR="009D6427" w:rsidRPr="002D74AC" w:rsidRDefault="002D1467" w:rsidP="009D6427">
      <w:pPr>
        <w:ind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I</w:t>
      </w:r>
      <w:r w:rsidR="009D6427" w:rsidRPr="002D74AC">
        <w:rPr>
          <w:rFonts w:asciiTheme="minorHAnsi" w:hAnsiTheme="minorHAnsi" w:cstheme="minorHAnsi"/>
          <w:color w:val="auto"/>
          <w:sz w:val="20"/>
          <w:szCs w:val="20"/>
          <w:lang w:val="cs-CZ"/>
        </w:rPr>
        <w:t>.</w:t>
      </w:r>
      <w:r w:rsidR="009D6427" w:rsidRPr="002D74AC">
        <w:rPr>
          <w:rFonts w:asciiTheme="minorHAnsi" w:hAnsiTheme="minorHAnsi" w:cstheme="minorHAnsi"/>
          <w:color w:val="auto"/>
          <w:sz w:val="20"/>
          <w:szCs w:val="20"/>
          <w:lang w:val="cs-CZ"/>
        </w:rPr>
        <w:tab/>
      </w:r>
      <w:r w:rsidR="003F4F79" w:rsidRPr="002D74AC">
        <w:rPr>
          <w:rFonts w:asciiTheme="minorHAnsi" w:hAnsiTheme="minorHAnsi" w:cstheme="minorHAnsi"/>
          <w:color w:val="auto"/>
          <w:sz w:val="20"/>
          <w:szCs w:val="20"/>
          <w:lang w:val="cs-CZ"/>
        </w:rPr>
        <w:t>Subdodavatel povede (na požádání Deloitte předloží) příslušné obchodní a účetní záznamy  související s fakturami vystavenými podle této Smlouvy, to se týká též dokladů o požadovaných povoleních a odborných licencích. Tato povinnost Subdodavatele platí po dobu, která je vyžadována platnými zákony, ale nejméně tři roky po ukončení této Smlouvy. Všechny účetní záznamy budou vedeny v souladu s obecně přijatými účetními principy.</w:t>
      </w:r>
    </w:p>
    <w:p w14:paraId="48671F7B" w14:textId="6E09A5FA" w:rsidR="006A702C" w:rsidRPr="002D74AC" w:rsidRDefault="006A702C">
      <w:pPr>
        <w:ind w:hanging="540"/>
        <w:jc w:val="both"/>
        <w:rPr>
          <w:rFonts w:asciiTheme="minorHAnsi" w:hAnsiTheme="minorHAnsi" w:cstheme="minorHAnsi"/>
          <w:color w:val="auto"/>
          <w:sz w:val="20"/>
          <w:szCs w:val="20"/>
          <w:lang w:val="cs-CZ"/>
        </w:rPr>
      </w:pPr>
    </w:p>
    <w:p w14:paraId="372F9603" w14:textId="77777777" w:rsidR="006A702C" w:rsidRPr="002D74AC" w:rsidRDefault="006A702C">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8.</w:t>
      </w:r>
      <w:r w:rsidRPr="002D74AC">
        <w:rPr>
          <w:rFonts w:asciiTheme="minorHAnsi" w:hAnsiTheme="minorHAnsi" w:cstheme="minorHAnsi"/>
          <w:b/>
          <w:bCs/>
          <w:color w:val="auto"/>
          <w:sz w:val="20"/>
          <w:szCs w:val="20"/>
          <w:lang w:val="cs-CZ"/>
        </w:rPr>
        <w:tab/>
      </w:r>
      <w:r w:rsidR="00867705" w:rsidRPr="002D74AC">
        <w:rPr>
          <w:rFonts w:asciiTheme="minorHAnsi" w:hAnsiTheme="minorHAnsi" w:cstheme="minorHAnsi"/>
          <w:b/>
          <w:bCs/>
          <w:color w:val="auto"/>
          <w:sz w:val="20"/>
          <w:szCs w:val="20"/>
          <w:lang w:val="cs-CZ"/>
        </w:rPr>
        <w:t xml:space="preserve">PROHLÁŠENÍ A UJIŠTĚNÍ </w:t>
      </w:r>
    </w:p>
    <w:p w14:paraId="379AD33F" w14:textId="77777777" w:rsidR="006A702C" w:rsidRPr="002D74AC" w:rsidRDefault="006A702C">
      <w:pPr>
        <w:pStyle w:val="Zkladntextodsazen"/>
        <w:ind w:left="709" w:firstLine="0"/>
        <w:jc w:val="both"/>
        <w:rPr>
          <w:rFonts w:asciiTheme="minorHAnsi" w:hAnsiTheme="minorHAnsi" w:cstheme="minorHAnsi"/>
          <w:b w:val="0"/>
          <w:sz w:val="20"/>
          <w:lang w:val="cs-CZ"/>
        </w:rPr>
      </w:pPr>
    </w:p>
    <w:p w14:paraId="49A6EFC7" w14:textId="77777777" w:rsidR="006A702C" w:rsidRPr="002D74AC" w:rsidRDefault="008D0C0D">
      <w:pPr>
        <w:pStyle w:val="Zkladntextodsazen"/>
        <w:ind w:left="0" w:firstLine="0"/>
        <w:jc w:val="both"/>
        <w:rPr>
          <w:rFonts w:asciiTheme="minorHAnsi" w:hAnsiTheme="minorHAnsi" w:cstheme="minorHAnsi"/>
          <w:b w:val="0"/>
          <w:sz w:val="20"/>
          <w:lang w:val="cs-CZ"/>
        </w:rPr>
      </w:pPr>
      <w:r w:rsidRPr="002D74AC">
        <w:rPr>
          <w:rFonts w:asciiTheme="minorHAnsi" w:hAnsiTheme="minorHAnsi" w:cstheme="minorHAnsi"/>
          <w:b w:val="0"/>
          <w:sz w:val="20"/>
          <w:lang w:val="cs-CZ"/>
        </w:rPr>
        <w:t>Subdodavatel</w:t>
      </w:r>
      <w:r w:rsidR="00867705" w:rsidRPr="002D74AC">
        <w:rPr>
          <w:rFonts w:asciiTheme="minorHAnsi" w:hAnsiTheme="minorHAnsi" w:cstheme="minorHAnsi"/>
          <w:b w:val="0"/>
          <w:sz w:val="20"/>
          <w:lang w:val="cs-CZ"/>
        </w:rPr>
        <w:t xml:space="preserve"> prohlašuje, ujišťuje a zavazuje se, že</w:t>
      </w:r>
      <w:r w:rsidR="006A702C" w:rsidRPr="002D74AC">
        <w:rPr>
          <w:rFonts w:asciiTheme="minorHAnsi" w:hAnsiTheme="minorHAnsi" w:cstheme="minorHAnsi"/>
          <w:b w:val="0"/>
          <w:sz w:val="20"/>
          <w:lang w:val="cs-CZ"/>
        </w:rPr>
        <w:t>:</w:t>
      </w:r>
      <w:r w:rsidR="006A702C" w:rsidRPr="002D74AC">
        <w:rPr>
          <w:rFonts w:asciiTheme="minorHAnsi" w:hAnsiTheme="minorHAnsi" w:cstheme="minorHAnsi"/>
          <w:bCs/>
          <w:sz w:val="20"/>
          <w:lang w:val="cs-CZ"/>
        </w:rPr>
        <w:t xml:space="preserve"> </w:t>
      </w:r>
      <w:r w:rsidR="006A702C" w:rsidRPr="002D74AC">
        <w:rPr>
          <w:rFonts w:asciiTheme="minorHAnsi" w:hAnsiTheme="minorHAnsi" w:cstheme="minorHAnsi"/>
          <w:b w:val="0"/>
          <w:sz w:val="20"/>
          <w:lang w:val="cs-CZ"/>
        </w:rPr>
        <w:t xml:space="preserve"> </w:t>
      </w:r>
    </w:p>
    <w:p w14:paraId="2449819B" w14:textId="77777777" w:rsidR="006A702C" w:rsidRPr="002D74AC" w:rsidRDefault="006A702C">
      <w:pPr>
        <w:pStyle w:val="Zkladntextodsazen"/>
        <w:ind w:left="0" w:firstLine="0"/>
        <w:jc w:val="both"/>
        <w:rPr>
          <w:rFonts w:asciiTheme="minorHAnsi" w:hAnsiTheme="minorHAnsi" w:cstheme="minorHAnsi"/>
          <w:b w:val="0"/>
          <w:sz w:val="20"/>
          <w:lang w:val="cs-CZ"/>
        </w:rPr>
      </w:pPr>
    </w:p>
    <w:p w14:paraId="47F38D46" w14:textId="77777777" w:rsidR="00EA20C9" w:rsidRPr="002D74AC" w:rsidRDefault="00867705" w:rsidP="004E5571">
      <w:pPr>
        <w:pStyle w:val="Zkladntextodsazen"/>
        <w:numPr>
          <w:ilvl w:val="0"/>
          <w:numId w:val="16"/>
        </w:numPr>
        <w:tabs>
          <w:tab w:val="clear" w:pos="720"/>
          <w:tab w:val="num" w:pos="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lastRenderedPageBreak/>
        <w:t xml:space="preserve">Subdodavatel [a členové jeho týmu] není [nejsou] nijak omezeni, smluvně ani jinak (včetně možného konfliktu zájmů vůči společnosti Deloitte nebo Hlavnímu klientovi), v uzavření této Smlouvy a </w:t>
      </w:r>
      <w:r w:rsidR="009A3063" w:rsidRPr="002D74AC">
        <w:rPr>
          <w:rFonts w:asciiTheme="minorHAnsi" w:hAnsiTheme="minorHAnsi" w:cstheme="minorHAnsi"/>
          <w:b w:val="0"/>
          <w:sz w:val="20"/>
          <w:lang w:val="cs-CZ"/>
        </w:rPr>
        <w:t xml:space="preserve">poskytování </w:t>
      </w:r>
      <w:r w:rsidR="00EA20C9" w:rsidRPr="002D74AC">
        <w:rPr>
          <w:rFonts w:asciiTheme="minorHAnsi" w:hAnsiTheme="minorHAnsi" w:cstheme="minorHAnsi"/>
          <w:b w:val="0"/>
          <w:sz w:val="20"/>
          <w:lang w:val="cs-CZ"/>
        </w:rPr>
        <w:t>Služeb;</w:t>
      </w:r>
    </w:p>
    <w:p w14:paraId="32FDE8C2" w14:textId="0F5B986F" w:rsidR="00867705" w:rsidRPr="002D74AC" w:rsidRDefault="00867705" w:rsidP="00EA20C9">
      <w:pPr>
        <w:pStyle w:val="Zkladntextodsazen"/>
        <w:ind w:left="0" w:firstLine="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 </w:t>
      </w:r>
    </w:p>
    <w:p w14:paraId="51D71EF6" w14:textId="63B1E69A" w:rsidR="006A702C" w:rsidRPr="002D74AC" w:rsidRDefault="00867705" w:rsidP="004E5571">
      <w:pPr>
        <w:pStyle w:val="Zkladntextodsazen"/>
        <w:numPr>
          <w:ilvl w:val="0"/>
          <w:numId w:val="16"/>
        </w:numPr>
        <w:tabs>
          <w:tab w:val="clear" w:pos="720"/>
          <w:tab w:val="num" w:pos="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jeho plnění této Smlouvy</w:t>
      </w:r>
      <w:r w:rsidR="00AE587A" w:rsidRPr="002D74AC">
        <w:rPr>
          <w:rFonts w:asciiTheme="minorHAnsi" w:hAnsiTheme="minorHAnsi" w:cstheme="minorHAnsi"/>
          <w:b w:val="0"/>
          <w:sz w:val="20"/>
          <w:lang w:val="cs-CZ"/>
        </w:rPr>
        <w:t xml:space="preserve"> </w:t>
      </w:r>
      <w:r w:rsidRPr="002D74AC">
        <w:rPr>
          <w:rFonts w:asciiTheme="minorHAnsi" w:hAnsiTheme="minorHAnsi" w:cstheme="minorHAnsi"/>
          <w:b w:val="0"/>
          <w:sz w:val="20"/>
          <w:lang w:val="cs-CZ"/>
        </w:rPr>
        <w:t>bud</w:t>
      </w:r>
      <w:r w:rsidR="009A3063" w:rsidRPr="002D74AC">
        <w:rPr>
          <w:rFonts w:asciiTheme="minorHAnsi" w:hAnsiTheme="minorHAnsi" w:cstheme="minorHAnsi"/>
          <w:b w:val="0"/>
          <w:sz w:val="20"/>
          <w:lang w:val="cs-CZ"/>
        </w:rPr>
        <w:t>e</w:t>
      </w:r>
      <w:r w:rsidR="00AE587A" w:rsidRPr="002D74AC">
        <w:rPr>
          <w:rFonts w:asciiTheme="minorHAnsi" w:hAnsiTheme="minorHAnsi" w:cstheme="minorHAnsi"/>
          <w:b w:val="0"/>
          <w:sz w:val="20"/>
          <w:lang w:val="cs-CZ"/>
        </w:rPr>
        <w:t>, na jeho náklady,</w:t>
      </w:r>
      <w:r w:rsidRPr="002D74AC">
        <w:rPr>
          <w:rFonts w:asciiTheme="minorHAnsi" w:hAnsiTheme="minorHAnsi" w:cstheme="minorHAnsi"/>
          <w:b w:val="0"/>
          <w:sz w:val="20"/>
          <w:lang w:val="cs-CZ"/>
        </w:rPr>
        <w:t xml:space="preserve"> v souladu s podmínkami jakékoli smlouvy, </w:t>
      </w:r>
      <w:r w:rsidR="009A3063" w:rsidRPr="002D74AC">
        <w:rPr>
          <w:rFonts w:asciiTheme="minorHAnsi" w:hAnsiTheme="minorHAnsi" w:cstheme="minorHAnsi"/>
          <w:b w:val="0"/>
          <w:sz w:val="20"/>
          <w:lang w:val="cs-CZ"/>
        </w:rPr>
        <w:t>závazky, právem, předpisy nebo nařízeními, jimž</w:t>
      </w:r>
      <w:r w:rsidR="00EA20C9" w:rsidRPr="002D74AC">
        <w:rPr>
          <w:rFonts w:asciiTheme="minorHAnsi" w:hAnsiTheme="minorHAnsi" w:cstheme="minorHAnsi"/>
          <w:b w:val="0"/>
          <w:sz w:val="20"/>
          <w:lang w:val="cs-CZ"/>
        </w:rPr>
        <w:t xml:space="preserve"> podléhá nebo podléhat bude;</w:t>
      </w:r>
    </w:p>
    <w:p w14:paraId="3AE89C27" w14:textId="48082024" w:rsidR="00EA20C9" w:rsidRPr="002D74AC" w:rsidRDefault="00EA20C9" w:rsidP="00EA20C9">
      <w:pPr>
        <w:pStyle w:val="Zkladntextodsazen"/>
        <w:ind w:left="0" w:firstLine="0"/>
        <w:jc w:val="both"/>
        <w:rPr>
          <w:rFonts w:asciiTheme="minorHAnsi" w:hAnsiTheme="minorHAnsi" w:cstheme="minorHAnsi"/>
          <w:b w:val="0"/>
          <w:sz w:val="20"/>
          <w:lang w:val="cs-CZ"/>
        </w:rPr>
      </w:pPr>
    </w:p>
    <w:p w14:paraId="44CB9DF5" w14:textId="5959BA6C" w:rsidR="00687452" w:rsidRPr="002D74AC" w:rsidRDefault="008D0C0D" w:rsidP="004E5571">
      <w:pPr>
        <w:pStyle w:val="Zkladntextodsazen"/>
        <w:numPr>
          <w:ilvl w:val="0"/>
          <w:numId w:val="16"/>
        </w:numPr>
        <w:tabs>
          <w:tab w:val="clear" w:pos="720"/>
          <w:tab w:val="num" w:pos="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Subdodavatel</w:t>
      </w:r>
      <w:r w:rsidR="00AE587A" w:rsidRPr="002D74AC">
        <w:rPr>
          <w:rFonts w:asciiTheme="minorHAnsi" w:hAnsiTheme="minorHAnsi" w:cstheme="minorHAnsi"/>
          <w:b w:val="0"/>
          <w:sz w:val="20"/>
          <w:lang w:val="cs-CZ"/>
        </w:rPr>
        <w:t xml:space="preserve"> a členové jeho týmu neporuší žádnou smlouvu nebo jinou povinnost zachovávat mlčenlivost nebo nepoužívat důvěrné nebo chráněné informace a obchodní tajemství bývalého zaměstnance, jiného klienta nebo jakékoli jiné osoby a takové informace v souvislosti s</w:t>
      </w:r>
      <w:r w:rsidR="00EA20C9" w:rsidRPr="002D74AC">
        <w:rPr>
          <w:rFonts w:asciiTheme="minorHAnsi" w:hAnsiTheme="minorHAnsi" w:cstheme="minorHAnsi"/>
          <w:b w:val="0"/>
          <w:sz w:val="20"/>
          <w:lang w:val="cs-CZ"/>
        </w:rPr>
        <w:t>e Službami nepoužije;</w:t>
      </w:r>
    </w:p>
    <w:p w14:paraId="391FA648" w14:textId="77777777" w:rsidR="00EA20C9" w:rsidRPr="002D74AC" w:rsidRDefault="00EA20C9" w:rsidP="00EA20C9">
      <w:pPr>
        <w:pStyle w:val="Zkladntextodsazen"/>
        <w:ind w:left="0" w:firstLine="0"/>
        <w:jc w:val="both"/>
        <w:rPr>
          <w:rFonts w:asciiTheme="minorHAnsi" w:hAnsiTheme="minorHAnsi" w:cstheme="minorHAnsi"/>
          <w:b w:val="0"/>
          <w:sz w:val="20"/>
          <w:lang w:val="cs-CZ"/>
        </w:rPr>
      </w:pPr>
    </w:p>
    <w:p w14:paraId="704FFE59" w14:textId="7126E905" w:rsidR="00EA20C9" w:rsidRPr="002D74AC" w:rsidRDefault="00AE587A" w:rsidP="004E5571">
      <w:pPr>
        <w:pStyle w:val="Zkladntextodsazen"/>
        <w:numPr>
          <w:ilvl w:val="0"/>
          <w:numId w:val="16"/>
        </w:numPr>
        <w:tabs>
          <w:tab w:val="clear" w:pos="720"/>
          <w:tab w:val="num" w:pos="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neexistuje ani nehrozí žádný nárok, zástavní právo ani žaloba proti Subdodavateli a členům jeho týmu, které by zasáhly do práv Deloitte </w:t>
      </w:r>
      <w:r w:rsidR="001C7E6E" w:rsidRPr="002D74AC">
        <w:rPr>
          <w:rFonts w:asciiTheme="minorHAnsi" w:hAnsiTheme="minorHAnsi" w:cstheme="minorHAnsi"/>
          <w:b w:val="0"/>
          <w:sz w:val="20"/>
          <w:lang w:val="cs-CZ"/>
        </w:rPr>
        <w:t xml:space="preserve">stanovených v podmínkách </w:t>
      </w:r>
      <w:r w:rsidRPr="002D74AC">
        <w:rPr>
          <w:rFonts w:asciiTheme="minorHAnsi" w:hAnsiTheme="minorHAnsi" w:cstheme="minorHAnsi"/>
          <w:b w:val="0"/>
          <w:sz w:val="20"/>
          <w:lang w:val="cs-CZ"/>
        </w:rPr>
        <w:t>této Smlouvy</w:t>
      </w:r>
      <w:r w:rsidR="00EA20C9" w:rsidRPr="002D74AC">
        <w:rPr>
          <w:rFonts w:asciiTheme="minorHAnsi" w:hAnsiTheme="minorHAnsi" w:cstheme="minorHAnsi"/>
          <w:b w:val="0"/>
          <w:sz w:val="20"/>
          <w:lang w:val="cs-CZ"/>
        </w:rPr>
        <w:t>;</w:t>
      </w:r>
    </w:p>
    <w:p w14:paraId="52778AA2" w14:textId="56C8CC3C" w:rsidR="006A702C" w:rsidRPr="002D74AC" w:rsidRDefault="00AE587A" w:rsidP="00EA20C9">
      <w:pPr>
        <w:pStyle w:val="Zkladntextodsazen"/>
        <w:ind w:left="0" w:firstLine="0"/>
        <w:jc w:val="both"/>
        <w:rPr>
          <w:rFonts w:asciiTheme="minorHAnsi" w:hAnsiTheme="minorHAnsi" w:cstheme="minorHAnsi"/>
          <w:b w:val="0"/>
          <w:sz w:val="20"/>
          <w:lang w:val="cs-CZ"/>
        </w:rPr>
      </w:pPr>
      <w:r w:rsidRPr="002D74AC">
        <w:rPr>
          <w:rFonts w:asciiTheme="minorHAnsi" w:hAnsiTheme="minorHAnsi" w:cstheme="minorHAnsi"/>
          <w:sz w:val="20"/>
          <w:lang w:val="cs-CZ"/>
        </w:rPr>
        <w:t xml:space="preserve"> </w:t>
      </w:r>
    </w:p>
    <w:p w14:paraId="4F0E3F65" w14:textId="5DBD3500" w:rsidR="00AE587A" w:rsidRPr="002D74AC" w:rsidRDefault="00AE587A" w:rsidP="004E5571">
      <w:pPr>
        <w:pStyle w:val="Zkladntextodsazen"/>
        <w:numPr>
          <w:ilvl w:val="0"/>
          <w:numId w:val="16"/>
        </w:numPr>
        <w:tabs>
          <w:tab w:val="clear" w:pos="720"/>
          <w:tab w:val="num" w:pos="0"/>
        </w:tabs>
        <w:ind w:left="0"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výsledek činnosti Subdodavatele </w:t>
      </w:r>
      <w:r w:rsidRPr="002D74AC">
        <w:rPr>
          <w:rFonts w:asciiTheme="minorHAnsi" w:hAnsiTheme="minorHAnsi" w:cstheme="minorHAnsi"/>
          <w:b w:val="0"/>
          <w:sz w:val="20"/>
          <w:lang w:val="cs-CZ"/>
        </w:rPr>
        <w:t xml:space="preserve">a členů jeho týmu </w:t>
      </w:r>
      <w:r w:rsidRPr="002D74AC">
        <w:rPr>
          <w:rFonts w:asciiTheme="minorHAnsi" w:hAnsiTheme="minorHAnsi" w:cstheme="minorHAnsi"/>
          <w:b w:val="0"/>
          <w:bCs/>
          <w:sz w:val="20"/>
          <w:lang w:val="cs-CZ"/>
        </w:rPr>
        <w:t>a Služby budou tvořit původní dílo Subdodavatele a neporuší žádná autorská práva, obchodní tajemství, soukromí, publicitu, pověst, smlouvu ani jiné duševní vlastnictví, majetková nebo osobní práva žádné osoby a nebudou na něj vázána žádná zástavní práva, bře</w:t>
      </w:r>
      <w:r w:rsidR="00EA20C9" w:rsidRPr="002D74AC">
        <w:rPr>
          <w:rFonts w:asciiTheme="minorHAnsi" w:hAnsiTheme="minorHAnsi" w:cstheme="minorHAnsi"/>
          <w:b w:val="0"/>
          <w:bCs/>
          <w:sz w:val="20"/>
          <w:lang w:val="cs-CZ"/>
        </w:rPr>
        <w:t>mena nebo jiné nároky;</w:t>
      </w:r>
    </w:p>
    <w:p w14:paraId="6B46DB1F" w14:textId="77777777" w:rsidR="00EA20C9" w:rsidRPr="002D74AC" w:rsidRDefault="00EA20C9" w:rsidP="00EA20C9">
      <w:pPr>
        <w:pStyle w:val="Zkladntextodsazen"/>
        <w:ind w:left="0" w:firstLine="0"/>
        <w:jc w:val="both"/>
        <w:rPr>
          <w:rFonts w:asciiTheme="minorHAnsi" w:hAnsiTheme="minorHAnsi" w:cstheme="minorHAnsi"/>
          <w:b w:val="0"/>
          <w:bCs/>
          <w:sz w:val="20"/>
          <w:lang w:val="cs-CZ"/>
        </w:rPr>
      </w:pPr>
    </w:p>
    <w:p w14:paraId="323863A9" w14:textId="4AE13EEE" w:rsidR="00295904" w:rsidRPr="002D74AC" w:rsidRDefault="001C7E6E" w:rsidP="004E5571">
      <w:pPr>
        <w:pStyle w:val="Zkladntextodsazen"/>
        <w:numPr>
          <w:ilvl w:val="0"/>
          <w:numId w:val="16"/>
        </w:numPr>
        <w:tabs>
          <w:tab w:val="clear" w:pos="720"/>
          <w:tab w:val="num" w:pos="0"/>
        </w:tabs>
        <w:ind w:left="0" w:hanging="54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pokud Subdodavatel jedná takovým způsobem, nebo na základě takového oprávnění, kdy je pravděpodobné, že bude nezúčastněnými stranami vnímán jako jednatel, oprávněný zástupce nebo mluvčí společnosti Deloitte, neměl by zároveň zastávat pozici vedoucího, ředitele nebo člena vedení v tzv. </w:t>
      </w:r>
      <w:proofErr w:type="spellStart"/>
      <w:r w:rsidRPr="002D74AC">
        <w:rPr>
          <w:rFonts w:asciiTheme="minorHAnsi" w:hAnsiTheme="minorHAnsi" w:cstheme="minorHAnsi"/>
          <w:b w:val="0"/>
          <w:bCs/>
          <w:sz w:val="20"/>
          <w:lang w:val="cs-CZ"/>
        </w:rPr>
        <w:t>Restricted</w:t>
      </w:r>
      <w:proofErr w:type="spellEnd"/>
      <w:r w:rsidRPr="002D74AC">
        <w:rPr>
          <w:rFonts w:asciiTheme="minorHAnsi" w:hAnsiTheme="minorHAnsi" w:cstheme="minorHAnsi"/>
          <w:b w:val="0"/>
          <w:bCs/>
          <w:sz w:val="20"/>
          <w:lang w:val="cs-CZ"/>
        </w:rPr>
        <w:t xml:space="preserve"> Entity, jak je definována v interních směrnicích Deloitte zpřístupněných Subdodavateli</w:t>
      </w:r>
      <w:r w:rsidR="00EA20C9" w:rsidRPr="002D74AC">
        <w:rPr>
          <w:rFonts w:asciiTheme="minorHAnsi" w:hAnsiTheme="minorHAnsi" w:cstheme="minorHAnsi"/>
          <w:b w:val="0"/>
          <w:bCs/>
          <w:sz w:val="20"/>
          <w:lang w:val="cs-CZ"/>
        </w:rPr>
        <w:t>;</w:t>
      </w:r>
    </w:p>
    <w:p w14:paraId="3E37FD0A" w14:textId="77777777" w:rsidR="00284F78" w:rsidRPr="002D74AC" w:rsidRDefault="00284F78" w:rsidP="00284F78">
      <w:pPr>
        <w:pStyle w:val="Zkladntextodsazen"/>
        <w:ind w:left="0" w:firstLine="0"/>
        <w:jc w:val="both"/>
        <w:rPr>
          <w:rFonts w:asciiTheme="minorHAnsi" w:hAnsiTheme="minorHAnsi" w:cstheme="minorHAnsi"/>
          <w:b w:val="0"/>
          <w:bCs/>
          <w:sz w:val="20"/>
          <w:lang w:val="cs-CZ"/>
        </w:rPr>
      </w:pPr>
    </w:p>
    <w:p w14:paraId="2F4F2D20" w14:textId="6E989356" w:rsidR="007B60B9" w:rsidRPr="002D74AC" w:rsidRDefault="007B60B9" w:rsidP="004E5571">
      <w:pPr>
        <w:pStyle w:val="Zkladntextodsazen"/>
        <w:numPr>
          <w:ilvl w:val="0"/>
          <w:numId w:val="16"/>
        </w:numPr>
        <w:tabs>
          <w:tab w:val="clear" w:pos="720"/>
        </w:tabs>
        <w:ind w:left="0" w:hanging="567"/>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Na žádost Deloitte vznesenou kdykoliv po dobu trvání Smlouvy a nejvýše jeden (1) rok po jejím ukončení, Subdodavatel provede bezpečnostní prověrku („</w:t>
      </w:r>
      <w:r w:rsidRPr="002D74AC">
        <w:rPr>
          <w:rFonts w:asciiTheme="minorHAnsi" w:hAnsiTheme="minorHAnsi" w:cstheme="minorHAnsi"/>
          <w:sz w:val="20"/>
          <w:lang w:val="cs-CZ"/>
        </w:rPr>
        <w:t>Bezpečnostní prověrka</w:t>
      </w:r>
      <w:r w:rsidRPr="002D74AC">
        <w:rPr>
          <w:rFonts w:asciiTheme="minorHAnsi" w:hAnsiTheme="minorHAnsi" w:cstheme="minorHAnsi"/>
          <w:b w:val="0"/>
          <w:bCs/>
          <w:sz w:val="20"/>
          <w:lang w:val="cs-CZ"/>
        </w:rPr>
        <w:t>“) veškerého svého personálu (i) specifikovaného společností Deloitte v</w:t>
      </w:r>
      <w:r w:rsidR="00C24FEE">
        <w:rPr>
          <w:rFonts w:asciiTheme="minorHAnsi" w:hAnsiTheme="minorHAnsi" w:cstheme="minorHAnsi"/>
          <w:b w:val="0"/>
          <w:bCs/>
          <w:sz w:val="20"/>
          <w:lang w:val="cs-CZ"/>
        </w:rPr>
        <w:t> </w:t>
      </w:r>
      <w:r w:rsidRPr="002D74AC">
        <w:rPr>
          <w:rFonts w:asciiTheme="minorHAnsi" w:hAnsiTheme="minorHAnsi" w:cstheme="minorHAnsi"/>
          <w:b w:val="0"/>
          <w:bCs/>
          <w:sz w:val="20"/>
          <w:lang w:val="cs-CZ"/>
        </w:rPr>
        <w:t>žádosti</w:t>
      </w:r>
      <w:r w:rsidR="00C24FEE">
        <w:rPr>
          <w:rFonts w:asciiTheme="minorHAnsi" w:hAnsiTheme="minorHAnsi" w:cstheme="minorHAnsi"/>
          <w:b w:val="0"/>
          <w:bCs/>
          <w:sz w:val="20"/>
          <w:lang w:val="cs-CZ"/>
        </w:rPr>
        <w:t xml:space="preserve"> z důvodu souvislosti se Službami, nebo</w:t>
      </w:r>
      <w:r w:rsidRPr="002D74AC">
        <w:rPr>
          <w:rFonts w:asciiTheme="minorHAnsi" w:hAnsiTheme="minorHAnsi" w:cstheme="minorHAnsi"/>
          <w:b w:val="0"/>
          <w:bCs/>
          <w:sz w:val="20"/>
          <w:lang w:val="cs-CZ"/>
        </w:rPr>
        <w:t xml:space="preserve"> přímo zapojeného do poskytování Služeb (společně „</w:t>
      </w:r>
      <w:r w:rsidRPr="002D74AC">
        <w:rPr>
          <w:rFonts w:asciiTheme="minorHAnsi" w:hAnsiTheme="minorHAnsi" w:cstheme="minorHAnsi"/>
          <w:sz w:val="20"/>
          <w:lang w:val="cs-CZ"/>
        </w:rPr>
        <w:t>Personál</w:t>
      </w:r>
      <w:r w:rsidRPr="002D74AC">
        <w:rPr>
          <w:rFonts w:asciiTheme="minorHAnsi" w:hAnsiTheme="minorHAnsi" w:cstheme="minorHAnsi"/>
          <w:b w:val="0"/>
          <w:bCs/>
          <w:sz w:val="20"/>
          <w:lang w:val="cs-CZ"/>
        </w:rPr>
        <w:t>“). Subdodavatel provede bezpečnostní prověrku na vlastní náklady a v souladu se všemi platnými zákony a předpisy. Každá Bezpečnostní prověrka musí, v rozsahu povoleném platnými právními předpisy, obsahovat následující: (a) shromáždění základních informací, údaje týkající se historie pobytu a ověření totožnosti (jméno a příjmení; adresa trvalého bydliště nebo adresa současného místa pobytu, pokud se liší od adresy trvalého bydliště); b) způsobilost k zaměstnání (Subdodavatel musí potvrdit, že zahraniční personál je oprávněn pracovat v zemi, v níž je umístěn, a musí být schopen ověřit pracovní povolení); c) předchozí zaměstnání; d) dosažené vzdělání</w:t>
      </w:r>
      <w:r w:rsidR="00CC7078">
        <w:rPr>
          <w:rFonts w:asciiTheme="minorHAnsi" w:hAnsiTheme="minorHAnsi" w:cstheme="minorHAnsi"/>
          <w:b w:val="0"/>
          <w:bCs/>
          <w:sz w:val="20"/>
          <w:lang w:val="cs-CZ"/>
        </w:rPr>
        <w:t>; e) prověření san</w:t>
      </w:r>
      <w:r w:rsidR="00645B0E">
        <w:rPr>
          <w:rFonts w:asciiTheme="minorHAnsi" w:hAnsiTheme="minorHAnsi" w:cstheme="minorHAnsi"/>
          <w:b w:val="0"/>
          <w:bCs/>
          <w:sz w:val="20"/>
          <w:lang w:val="cs-CZ"/>
        </w:rPr>
        <w:t>k</w:t>
      </w:r>
      <w:r w:rsidR="00CC7078">
        <w:rPr>
          <w:rFonts w:asciiTheme="minorHAnsi" w:hAnsiTheme="minorHAnsi" w:cstheme="minorHAnsi"/>
          <w:b w:val="0"/>
          <w:bCs/>
          <w:sz w:val="20"/>
          <w:lang w:val="cs-CZ"/>
        </w:rPr>
        <w:t>cí</w:t>
      </w:r>
      <w:r w:rsidRPr="002D74AC">
        <w:rPr>
          <w:rFonts w:asciiTheme="minorHAnsi" w:hAnsiTheme="minorHAnsi" w:cstheme="minorHAnsi"/>
          <w:b w:val="0"/>
          <w:bCs/>
          <w:sz w:val="20"/>
          <w:lang w:val="cs-CZ"/>
        </w:rPr>
        <w:t xml:space="preserve"> </w:t>
      </w:r>
    </w:p>
    <w:p w14:paraId="0B82E9CA" w14:textId="77777777" w:rsidR="007B60B9" w:rsidRPr="002D74AC" w:rsidRDefault="007B60B9" w:rsidP="007B60B9">
      <w:pPr>
        <w:pStyle w:val="Zkladntextodsazen"/>
        <w:jc w:val="both"/>
        <w:rPr>
          <w:rFonts w:asciiTheme="minorHAnsi" w:hAnsiTheme="minorHAnsi" w:cstheme="minorHAnsi"/>
          <w:b w:val="0"/>
          <w:bCs/>
          <w:sz w:val="20"/>
          <w:lang w:val="cs-CZ"/>
        </w:rPr>
      </w:pPr>
    </w:p>
    <w:p w14:paraId="384F9099" w14:textId="77777777" w:rsidR="007B60B9" w:rsidRPr="002D74AC" w:rsidRDefault="007B60B9" w:rsidP="007B60B9">
      <w:pPr>
        <w:pStyle w:val="Zkladntextodsazen"/>
        <w:ind w:left="0" w:firstLine="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Subdodavatel zašle Deloitte potvrzení a výsledky Bezpečnostní prověrky ve formě dle žádosti Deloitte („</w:t>
      </w:r>
      <w:r w:rsidRPr="002D74AC">
        <w:rPr>
          <w:rFonts w:asciiTheme="minorHAnsi" w:hAnsiTheme="minorHAnsi" w:cstheme="minorHAnsi"/>
          <w:sz w:val="20"/>
          <w:lang w:val="cs-CZ"/>
        </w:rPr>
        <w:t>Potvrzení</w:t>
      </w:r>
      <w:r w:rsidRPr="002D74AC">
        <w:rPr>
          <w:rFonts w:asciiTheme="minorHAnsi" w:hAnsiTheme="minorHAnsi" w:cstheme="minorHAnsi"/>
          <w:b w:val="0"/>
          <w:bCs/>
          <w:sz w:val="20"/>
          <w:lang w:val="cs-CZ"/>
        </w:rPr>
        <w:t xml:space="preserve">“). </w:t>
      </w:r>
    </w:p>
    <w:p w14:paraId="5F6B097C" w14:textId="77777777" w:rsidR="007B60B9" w:rsidRPr="002D74AC" w:rsidRDefault="007B60B9" w:rsidP="007B60B9">
      <w:pPr>
        <w:pStyle w:val="Zkladntextodsazen"/>
        <w:ind w:left="0" w:firstLine="0"/>
        <w:jc w:val="both"/>
        <w:rPr>
          <w:rFonts w:asciiTheme="minorHAnsi" w:hAnsiTheme="minorHAnsi" w:cstheme="minorHAnsi"/>
          <w:b w:val="0"/>
          <w:bCs/>
          <w:sz w:val="20"/>
          <w:lang w:val="cs-CZ"/>
        </w:rPr>
      </w:pPr>
    </w:p>
    <w:p w14:paraId="2857B3F6" w14:textId="77777777" w:rsidR="007B60B9" w:rsidRPr="002D74AC" w:rsidRDefault="007B60B9" w:rsidP="007B60B9">
      <w:pPr>
        <w:pStyle w:val="Zkladntextodsazen"/>
        <w:ind w:left="0" w:firstLine="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V případě, že Subdodavatel neposkytne Potvrzení řádně a včas, Deloitte může dle vlastního uvážení (i) nepovolit Personálu, jehož Potvrzení nebylo dodáno, přístup do prostor Deloitte CE a/nebo jejích klientů nebo jejich informacím nebo (</w:t>
      </w:r>
      <w:proofErr w:type="spellStart"/>
      <w:r w:rsidRPr="002D74AC">
        <w:rPr>
          <w:rFonts w:asciiTheme="minorHAnsi" w:hAnsiTheme="minorHAnsi" w:cstheme="minorHAnsi"/>
          <w:b w:val="0"/>
          <w:bCs/>
          <w:sz w:val="20"/>
          <w:lang w:val="cs-CZ"/>
        </w:rPr>
        <w:t>ii</w:t>
      </w:r>
      <w:proofErr w:type="spellEnd"/>
      <w:r w:rsidRPr="002D74AC">
        <w:rPr>
          <w:rFonts w:asciiTheme="minorHAnsi" w:hAnsiTheme="minorHAnsi" w:cstheme="minorHAnsi"/>
          <w:b w:val="0"/>
          <w:bCs/>
          <w:sz w:val="20"/>
          <w:lang w:val="cs-CZ"/>
        </w:rPr>
        <w:t xml:space="preserve">) si vyžádat nehrazení Personálu, jehož Potvrzení chybí. Dále může Deloitte ukončit Smlouvu nebo příslušný Popis Služeb s okamžitým účinkem, pokud Subdodavatel nesplní povinnost provést Bezpečnostní prověrku ani na druhou výzvu. </w:t>
      </w:r>
    </w:p>
    <w:p w14:paraId="6B255923" w14:textId="77777777" w:rsidR="00C52D51" w:rsidRPr="002D74AC" w:rsidRDefault="00C52D51" w:rsidP="00C52D51">
      <w:pPr>
        <w:pStyle w:val="Zkladntextodsazen"/>
        <w:ind w:left="0" w:firstLine="0"/>
        <w:jc w:val="both"/>
        <w:rPr>
          <w:rFonts w:asciiTheme="minorHAnsi" w:hAnsiTheme="minorHAnsi" w:cstheme="minorHAnsi"/>
          <w:b w:val="0"/>
          <w:bCs/>
          <w:sz w:val="20"/>
          <w:lang w:val="cs-CZ"/>
        </w:rPr>
      </w:pPr>
    </w:p>
    <w:p w14:paraId="357916A8" w14:textId="05138E0E" w:rsidR="00284F78" w:rsidRPr="002D74AC" w:rsidRDefault="00284F78" w:rsidP="004403D4">
      <w:pPr>
        <w:pStyle w:val="Zkladntextodsazen"/>
        <w:ind w:hanging="2880"/>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Subdodavatel zajistí, že Členové týmu Subdodavatele </w:t>
      </w:r>
    </w:p>
    <w:p w14:paraId="6455DD2B" w14:textId="77777777" w:rsidR="00284F78" w:rsidRPr="002D74AC" w:rsidRDefault="00284F78" w:rsidP="004E5571">
      <w:pPr>
        <w:pStyle w:val="Zkladntextodsazen"/>
        <w:numPr>
          <w:ilvl w:val="0"/>
          <w:numId w:val="48"/>
        </w:numPr>
        <w:rPr>
          <w:rFonts w:asciiTheme="minorHAnsi" w:hAnsiTheme="minorHAnsi" w:cstheme="minorHAnsi"/>
          <w:b w:val="0"/>
          <w:bCs/>
          <w:sz w:val="20"/>
          <w:lang w:val="cs-CZ"/>
        </w:rPr>
      </w:pPr>
      <w:r w:rsidRPr="002D74AC">
        <w:rPr>
          <w:rFonts w:asciiTheme="minorHAnsi" w:hAnsiTheme="minorHAnsi" w:cstheme="minorHAnsi"/>
          <w:b w:val="0"/>
          <w:bCs/>
          <w:sz w:val="20"/>
          <w:lang w:val="cs-CZ"/>
        </w:rPr>
        <w:t>si jsou plně vědomi požadavků a omezení týkajících se nezávislosti vztahujících se na subdodavatele Deloitte, kteří tráví většinu svého času aktivitami, které jsou obdobné jako aktivity vykonávané partnery či profesionály Deloitte a zavazují se tyto požadavky po dobu trvání této Smlouvy dodržovat;</w:t>
      </w:r>
    </w:p>
    <w:p w14:paraId="5FF2F81A" w14:textId="5AEFD402" w:rsidR="00284F78" w:rsidRPr="002D74AC" w:rsidRDefault="00284F78" w:rsidP="004E5571">
      <w:pPr>
        <w:pStyle w:val="Zkladntextodsazen"/>
        <w:numPr>
          <w:ilvl w:val="0"/>
          <w:numId w:val="48"/>
        </w:numPr>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jsou si plně vědomi Etických principů DTTL a Kodexu chování DTTL a souhlasí s jejich bezpodmínečným dodržováním po dobu trvání této Smlouvy. </w:t>
      </w:r>
    </w:p>
    <w:p w14:paraId="776980E4" w14:textId="77777777" w:rsidR="00CC7078" w:rsidRPr="002D74AC" w:rsidRDefault="00CC7078" w:rsidP="00CC7078">
      <w:pPr>
        <w:pStyle w:val="Zkladntextodsazen"/>
        <w:ind w:left="0" w:firstLine="0"/>
        <w:jc w:val="both"/>
        <w:rPr>
          <w:rFonts w:asciiTheme="minorHAnsi" w:hAnsiTheme="minorHAnsi" w:cstheme="minorHAnsi"/>
          <w:b w:val="0"/>
          <w:bCs/>
          <w:sz w:val="20"/>
          <w:lang w:val="cs-CZ"/>
        </w:rPr>
      </w:pPr>
    </w:p>
    <w:p w14:paraId="7040D3C4" w14:textId="5B215A05" w:rsidR="008F327A" w:rsidRPr="00CC7078" w:rsidRDefault="002D1ED9" w:rsidP="00CC7078">
      <w:pPr>
        <w:pStyle w:val="Zkladntextodsazen"/>
        <w:numPr>
          <w:ilvl w:val="0"/>
          <w:numId w:val="16"/>
        </w:numPr>
        <w:tabs>
          <w:tab w:val="clear" w:pos="720"/>
        </w:tabs>
        <w:ind w:left="0" w:hanging="567"/>
        <w:jc w:val="both"/>
        <w:rPr>
          <w:rFonts w:asciiTheme="minorHAnsi" w:hAnsiTheme="minorHAnsi" w:cstheme="minorHAnsi"/>
          <w:b w:val="0"/>
          <w:bCs/>
          <w:sz w:val="20"/>
          <w:lang w:val="cs-CZ"/>
        </w:rPr>
      </w:pPr>
      <w:proofErr w:type="gramStart"/>
      <w:r w:rsidRPr="00F06CE7">
        <w:rPr>
          <w:rFonts w:asciiTheme="minorHAnsi" w:hAnsiTheme="minorHAnsi" w:cstheme="minorHAnsi"/>
          <w:b w:val="0"/>
          <w:bCs/>
          <w:sz w:val="20"/>
          <w:lang w:val="cs-CZ"/>
        </w:rPr>
        <w:t>Členové  týmu</w:t>
      </w:r>
      <w:proofErr w:type="gramEnd"/>
      <w:r w:rsidRPr="00F06CE7">
        <w:rPr>
          <w:rFonts w:asciiTheme="minorHAnsi" w:hAnsiTheme="minorHAnsi" w:cstheme="minorHAnsi"/>
          <w:b w:val="0"/>
          <w:bCs/>
          <w:sz w:val="20"/>
          <w:lang w:val="cs-CZ"/>
        </w:rPr>
        <w:t xml:space="preserve"> Subdodavatele a jejich nejbližší rodinní příslušníci </w:t>
      </w:r>
      <w:r w:rsidR="00CC7078">
        <w:rPr>
          <w:rFonts w:asciiTheme="minorHAnsi" w:hAnsiTheme="minorHAnsi" w:cstheme="minorHAnsi"/>
          <w:b w:val="0"/>
          <w:bCs/>
          <w:sz w:val="20"/>
          <w:lang w:val="cs-CZ"/>
        </w:rPr>
        <w:t xml:space="preserve">dle vědomí Subdodavatele </w:t>
      </w:r>
      <w:r w:rsidRPr="00F06CE7">
        <w:rPr>
          <w:rFonts w:asciiTheme="minorHAnsi" w:hAnsiTheme="minorHAnsi" w:cstheme="minorHAnsi"/>
          <w:b w:val="0"/>
          <w:bCs/>
          <w:sz w:val="20"/>
          <w:lang w:val="cs-CZ"/>
        </w:rPr>
        <w:t>nemají  finanční účast v</w:t>
      </w:r>
      <w:r w:rsidR="00F06CE7" w:rsidRPr="00F06CE7">
        <w:rPr>
          <w:rFonts w:asciiTheme="minorHAnsi" w:hAnsiTheme="minorHAnsi" w:cstheme="minorHAnsi"/>
          <w:b w:val="0"/>
          <w:bCs/>
          <w:sz w:val="20"/>
          <w:lang w:val="cs-CZ"/>
        </w:rPr>
        <w:t>e společnosti JTZE, a.s.</w:t>
      </w:r>
      <w:r w:rsidR="00CC7078">
        <w:rPr>
          <w:rFonts w:asciiTheme="minorHAnsi" w:hAnsiTheme="minorHAnsi" w:cstheme="minorHAnsi"/>
          <w:b w:val="0"/>
          <w:bCs/>
          <w:sz w:val="20"/>
          <w:lang w:val="cs-CZ"/>
        </w:rPr>
        <w:t>; pokud by se Subdodavatel o této účasti dozvěděl, bez zbytečného prodlení o tom bude informovat Deloitte.</w:t>
      </w:r>
      <w:r w:rsidRPr="00F06CE7">
        <w:rPr>
          <w:rFonts w:asciiTheme="minorHAnsi" w:hAnsiTheme="minorHAnsi" w:cstheme="minorHAnsi"/>
          <w:b w:val="0"/>
          <w:bCs/>
          <w:sz w:val="20"/>
          <w:lang w:val="cs-CZ"/>
        </w:rPr>
        <w:t xml:space="preserve"> </w:t>
      </w:r>
    </w:p>
    <w:p w14:paraId="4B3B231F" w14:textId="220831CD" w:rsidR="00815EFE" w:rsidRPr="002D74AC" w:rsidRDefault="00815EFE" w:rsidP="004403D4">
      <w:pPr>
        <w:pStyle w:val="Zkladntextodsazen"/>
        <w:ind w:hanging="2970"/>
        <w:rPr>
          <w:rFonts w:asciiTheme="minorHAnsi" w:hAnsiTheme="minorHAnsi" w:cstheme="minorHAnsi"/>
          <w:sz w:val="20"/>
          <w:lang w:val="cs-CZ"/>
        </w:rPr>
      </w:pPr>
      <w:r w:rsidRPr="002D74AC">
        <w:rPr>
          <w:rFonts w:asciiTheme="minorHAnsi" w:hAnsiTheme="minorHAnsi" w:cstheme="minorHAnsi"/>
          <w:sz w:val="20"/>
          <w:lang w:val="cs-CZ"/>
        </w:rPr>
        <w:lastRenderedPageBreak/>
        <w:t xml:space="preserve">                                                         </w:t>
      </w:r>
    </w:p>
    <w:p w14:paraId="36BF48FC" w14:textId="77777777" w:rsidR="006A702C" w:rsidRPr="002D74AC" w:rsidRDefault="006A702C">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9.</w:t>
      </w:r>
      <w:r w:rsidRPr="002D74AC">
        <w:rPr>
          <w:rFonts w:asciiTheme="minorHAnsi" w:hAnsiTheme="minorHAnsi" w:cstheme="minorHAnsi"/>
          <w:b/>
          <w:bCs/>
          <w:color w:val="auto"/>
          <w:sz w:val="20"/>
          <w:szCs w:val="20"/>
          <w:lang w:val="cs-CZ"/>
        </w:rPr>
        <w:tab/>
      </w:r>
      <w:r w:rsidR="004369F7" w:rsidRPr="002D74AC">
        <w:rPr>
          <w:rFonts w:asciiTheme="minorHAnsi" w:hAnsiTheme="minorHAnsi" w:cstheme="minorHAnsi"/>
          <w:b/>
          <w:bCs/>
          <w:color w:val="auto"/>
          <w:sz w:val="20"/>
          <w:szCs w:val="20"/>
          <w:lang w:val="cs-CZ"/>
        </w:rPr>
        <w:t xml:space="preserve">DŮVĚRNOST INFORMACÍ </w:t>
      </w:r>
    </w:p>
    <w:p w14:paraId="635FB486" w14:textId="77777777" w:rsidR="006A702C" w:rsidRPr="002D74AC" w:rsidRDefault="006A702C">
      <w:pPr>
        <w:ind w:left="284"/>
        <w:jc w:val="both"/>
        <w:rPr>
          <w:rFonts w:asciiTheme="minorHAnsi" w:hAnsiTheme="minorHAnsi" w:cstheme="minorHAnsi"/>
          <w:color w:val="auto"/>
          <w:sz w:val="20"/>
          <w:szCs w:val="20"/>
          <w:lang w:val="cs-CZ"/>
        </w:rPr>
      </w:pPr>
    </w:p>
    <w:p w14:paraId="699D75BC" w14:textId="77777777" w:rsidR="00C54C4E" w:rsidRPr="002D74AC" w:rsidRDefault="00C54C4E" w:rsidP="004E5571">
      <w:pPr>
        <w:numPr>
          <w:ilvl w:val="0"/>
          <w:numId w:val="11"/>
        </w:numPr>
        <w:tabs>
          <w:tab w:val="num" w:pos="-342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má s ohledem na zájmy Deloitte povinnost zachovávat mlčenlivost o jakýchkoliv podkladech, informacích či plánech, které od Deloitte obdrží či jinak získá v rámci poskytování Služeb, ať již před uzavřením či po ukončení této Smlouvy (dále jen „</w:t>
      </w:r>
      <w:r w:rsidRPr="002D74AC">
        <w:rPr>
          <w:rFonts w:asciiTheme="minorHAnsi" w:hAnsiTheme="minorHAnsi" w:cstheme="minorHAnsi"/>
          <w:b/>
          <w:color w:val="auto"/>
          <w:sz w:val="20"/>
          <w:szCs w:val="20"/>
          <w:lang w:val="cs-CZ"/>
        </w:rPr>
        <w:t>Důvěrné informace</w:t>
      </w:r>
      <w:r w:rsidRPr="002D74AC">
        <w:rPr>
          <w:rFonts w:asciiTheme="minorHAnsi" w:hAnsiTheme="minorHAnsi" w:cstheme="minorHAnsi"/>
          <w:color w:val="auto"/>
          <w:sz w:val="20"/>
          <w:szCs w:val="20"/>
          <w:lang w:val="cs-CZ"/>
        </w:rPr>
        <w:t>“). Subdodavatel nesmí užít, reprodukovat nebo odtajnit žádné Důvěrné informace s výjimkou informací v rozsahu nutném k poskytování Služeb a schváleném Deloitte. V žádném případě, kromě případů schválených Deloitte, Subdodavatel nesdělí žádné Důvěrné informace jakékoli jiné osobě kromě zaměstnanců či Partnerů Deloitte, kteří tyto Důvěrné informace potřebují. Mezi Důvěrné informace spadají zejména podklady, sdělení a plány, které společnosti Deloitte patří nebo se jí týkají, případně se vztahují na ostatní společnosti skupiny Deloitte, klienty</w:t>
      </w:r>
      <w:r w:rsidR="004315B7" w:rsidRPr="002D74AC">
        <w:rPr>
          <w:rFonts w:asciiTheme="minorHAnsi" w:hAnsiTheme="minorHAnsi" w:cstheme="minorHAnsi"/>
          <w:color w:val="auto"/>
          <w:sz w:val="20"/>
          <w:szCs w:val="20"/>
          <w:lang w:val="cs-CZ"/>
        </w:rPr>
        <w:t xml:space="preserve"> (zejména mj. na Hlavního klienta)</w:t>
      </w:r>
      <w:r w:rsidRPr="002D74AC">
        <w:rPr>
          <w:rFonts w:asciiTheme="minorHAnsi" w:hAnsiTheme="minorHAnsi" w:cstheme="minorHAnsi"/>
          <w:color w:val="auto"/>
          <w:sz w:val="20"/>
          <w:szCs w:val="20"/>
          <w:lang w:val="cs-CZ"/>
        </w:rPr>
        <w:t>, prodejce, poskytovatele licencí a jiné osoby, které nejsou veřejnosti obecně známé, a to včetně podkladů, sdělení či plánů pojednávajících o obchodu, záměrech, provozu, produktech, službách, softwaru, metodách, procedurách, klientech, zařízeních a systémech majících písemnou, ústní či jakoukoli jinou podobu.</w:t>
      </w:r>
    </w:p>
    <w:p w14:paraId="58BA8D34" w14:textId="77777777" w:rsidR="006A702C" w:rsidRPr="002D74AC" w:rsidRDefault="006A702C">
      <w:pPr>
        <w:tabs>
          <w:tab w:val="num" w:pos="-3420"/>
        </w:tabs>
        <w:ind w:hanging="540"/>
        <w:jc w:val="both"/>
        <w:rPr>
          <w:rFonts w:asciiTheme="minorHAnsi" w:hAnsiTheme="minorHAnsi" w:cstheme="minorHAnsi"/>
          <w:color w:val="auto"/>
          <w:sz w:val="20"/>
          <w:szCs w:val="20"/>
          <w:lang w:val="cs-CZ"/>
        </w:rPr>
      </w:pPr>
    </w:p>
    <w:p w14:paraId="07C7F0EA" w14:textId="0F2B6391" w:rsidR="006A702C" w:rsidRPr="002D74AC" w:rsidRDefault="004369F7" w:rsidP="004E5571">
      <w:pPr>
        <w:numPr>
          <w:ilvl w:val="0"/>
          <w:numId w:val="11"/>
        </w:numPr>
        <w:tabs>
          <w:tab w:val="num" w:pos="-342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Výše uvedená omezení budou platit, bez ohledu na ukončení této Smlouvy, až do doby, kdy Subdodavatel </w:t>
      </w:r>
      <w:r w:rsidR="00C54C4E" w:rsidRPr="002D74AC">
        <w:rPr>
          <w:rFonts w:asciiTheme="minorHAnsi" w:hAnsiTheme="minorHAnsi" w:cstheme="minorHAnsi"/>
          <w:color w:val="auto"/>
          <w:sz w:val="20"/>
          <w:szCs w:val="20"/>
          <w:lang w:val="cs-CZ"/>
        </w:rPr>
        <w:t xml:space="preserve">bude schopen </w:t>
      </w:r>
      <w:r w:rsidRPr="002D74AC">
        <w:rPr>
          <w:rFonts w:asciiTheme="minorHAnsi" w:hAnsiTheme="minorHAnsi" w:cstheme="minorHAnsi"/>
          <w:color w:val="auto"/>
          <w:sz w:val="20"/>
          <w:szCs w:val="20"/>
          <w:lang w:val="cs-CZ"/>
        </w:rPr>
        <w:t>prokázat, že jsou příslušné informace veřejnosti známé</w:t>
      </w:r>
      <w:r w:rsidR="00C54C4E" w:rsidRPr="002D74AC">
        <w:rPr>
          <w:rFonts w:asciiTheme="minorHAnsi" w:hAnsiTheme="minorHAnsi" w:cstheme="minorHAnsi"/>
          <w:color w:val="auto"/>
          <w:sz w:val="20"/>
          <w:szCs w:val="20"/>
          <w:lang w:val="cs-CZ"/>
        </w:rPr>
        <w:t xml:space="preserve"> či dostupné, avšak pouze za předpokladu, že takové uveřejnění či dostupnost nevznikly v důsledku činnosti </w:t>
      </w:r>
      <w:r w:rsidR="004315B7" w:rsidRPr="002D74AC">
        <w:rPr>
          <w:rFonts w:asciiTheme="minorHAnsi" w:hAnsiTheme="minorHAnsi" w:cstheme="minorHAnsi"/>
          <w:color w:val="auto"/>
          <w:sz w:val="20"/>
          <w:szCs w:val="20"/>
          <w:lang w:val="cs-CZ"/>
        </w:rPr>
        <w:t>Subdodavatele</w:t>
      </w:r>
      <w:r w:rsidR="00C54C4E" w:rsidRPr="002D74AC">
        <w:rPr>
          <w:rFonts w:asciiTheme="minorHAnsi" w:hAnsiTheme="minorHAnsi" w:cstheme="minorHAnsi"/>
          <w:color w:val="auto"/>
          <w:sz w:val="20"/>
          <w:szCs w:val="20"/>
          <w:lang w:val="cs-CZ"/>
        </w:rPr>
        <w:t xml:space="preserve"> či jeho opomenut</w:t>
      </w:r>
      <w:r w:rsidR="00236A6B">
        <w:rPr>
          <w:rFonts w:asciiTheme="minorHAnsi" w:hAnsiTheme="minorHAnsi" w:cstheme="minorHAnsi"/>
          <w:color w:val="auto"/>
          <w:sz w:val="20"/>
          <w:szCs w:val="20"/>
          <w:lang w:val="cs-CZ"/>
        </w:rPr>
        <w:t>.</w:t>
      </w:r>
    </w:p>
    <w:p w14:paraId="48E9D097" w14:textId="77777777" w:rsidR="00C1614E" w:rsidRPr="002D74AC" w:rsidRDefault="00C1614E" w:rsidP="00C1614E">
      <w:pPr>
        <w:pStyle w:val="Odstavecseseznamem"/>
        <w:rPr>
          <w:rFonts w:asciiTheme="minorHAnsi" w:hAnsiTheme="minorHAnsi" w:cstheme="minorHAnsi"/>
          <w:color w:val="auto"/>
          <w:sz w:val="20"/>
          <w:szCs w:val="20"/>
          <w:lang w:val="cs-CZ"/>
        </w:rPr>
      </w:pPr>
    </w:p>
    <w:p w14:paraId="115756CF" w14:textId="77777777" w:rsidR="00C1614E" w:rsidRPr="00AB1802" w:rsidRDefault="00C1614E" w:rsidP="004E5571">
      <w:pPr>
        <w:numPr>
          <w:ilvl w:val="0"/>
          <w:numId w:val="11"/>
        </w:numPr>
        <w:tabs>
          <w:tab w:val="clear" w:pos="360"/>
          <w:tab w:val="num" w:pos="-3420"/>
        </w:tabs>
        <w:ind w:left="0" w:hanging="709"/>
        <w:jc w:val="both"/>
        <w:rPr>
          <w:rFonts w:asciiTheme="minorHAnsi" w:hAnsiTheme="minorHAnsi" w:cstheme="minorHAnsi"/>
          <w:color w:val="auto"/>
          <w:sz w:val="20"/>
          <w:szCs w:val="20"/>
        </w:rPr>
      </w:pPr>
      <w:r w:rsidRPr="00AB1802">
        <w:rPr>
          <w:rFonts w:asciiTheme="minorHAnsi" w:hAnsiTheme="minorHAnsi" w:cstheme="minorHAnsi"/>
          <w:bCs/>
          <w:noProof/>
          <w:color w:val="auto"/>
          <w:sz w:val="20"/>
          <w:szCs w:val="20"/>
        </w:rPr>
        <w:t>Etický kodex  Dodavatele společnosti Deloitte</w:t>
      </w:r>
    </w:p>
    <w:p w14:paraId="5EAA02BD" w14:textId="77777777" w:rsidR="00C1614E" w:rsidRPr="00AB1802" w:rsidRDefault="00C1614E" w:rsidP="00C1614E">
      <w:pPr>
        <w:pStyle w:val="Numberslevel1"/>
        <w:numPr>
          <w:ilvl w:val="0"/>
          <w:numId w:val="0"/>
        </w:numPr>
        <w:jc w:val="both"/>
        <w:rPr>
          <w:rFonts w:asciiTheme="minorHAnsi" w:hAnsiTheme="minorHAnsi" w:cstheme="minorHAnsi"/>
          <w:b w:val="0"/>
          <w:sz w:val="20"/>
          <w:szCs w:val="20"/>
          <w:lang w:val="en-US"/>
        </w:rPr>
      </w:pPr>
    </w:p>
    <w:p w14:paraId="3B37E7B3" w14:textId="4D3D84AD" w:rsidR="00C1614E" w:rsidRPr="00AB1802" w:rsidRDefault="00C1614E" w:rsidP="00C1614E">
      <w:pPr>
        <w:pStyle w:val="Numberslevel1"/>
        <w:numPr>
          <w:ilvl w:val="0"/>
          <w:numId w:val="0"/>
        </w:numPr>
        <w:spacing w:line="240" w:lineRule="auto"/>
        <w:jc w:val="both"/>
        <w:rPr>
          <w:rFonts w:asciiTheme="minorHAnsi" w:hAnsiTheme="minorHAnsi" w:cstheme="minorHAnsi"/>
          <w:b w:val="0"/>
          <w:sz w:val="20"/>
          <w:szCs w:val="20"/>
          <w:lang w:val="cs-CZ"/>
        </w:rPr>
      </w:pPr>
      <w:r w:rsidRPr="00AB1802">
        <w:rPr>
          <w:rFonts w:asciiTheme="minorHAnsi" w:hAnsiTheme="minorHAnsi" w:cstheme="minorHAnsi"/>
          <w:b w:val="0"/>
          <w:iCs/>
          <w:sz w:val="20"/>
          <w:szCs w:val="20"/>
          <w:lang w:val="cs-CZ"/>
        </w:rPr>
        <w:t xml:space="preserve">Subdodavatel bere na vědomí a zavazuje se, že bude jednat v souladu se standardy uvedenými v části „Zásady“ v Etickém kodexu  Dodavatele  Deloitte, který je </w:t>
      </w:r>
      <w:r w:rsidR="00AC5F0C" w:rsidRPr="00AB1802">
        <w:rPr>
          <w:rFonts w:asciiTheme="minorHAnsi" w:hAnsiTheme="minorHAnsi" w:cstheme="minorHAnsi"/>
          <w:b w:val="0"/>
          <w:iCs/>
          <w:sz w:val="20"/>
          <w:szCs w:val="20"/>
          <w:lang w:val="cs-CZ"/>
        </w:rPr>
        <w:t xml:space="preserve">přílohou </w:t>
      </w:r>
      <w:r w:rsidR="00F06CE7">
        <w:rPr>
          <w:rFonts w:asciiTheme="minorHAnsi" w:hAnsiTheme="minorHAnsi" w:cstheme="minorHAnsi"/>
          <w:b w:val="0"/>
          <w:iCs/>
          <w:sz w:val="20"/>
          <w:szCs w:val="20"/>
          <w:lang w:val="cs-CZ"/>
        </w:rPr>
        <w:t>D</w:t>
      </w:r>
      <w:r w:rsidR="00AC5F0C" w:rsidRPr="00AB1802">
        <w:rPr>
          <w:rFonts w:asciiTheme="minorHAnsi" w:hAnsiTheme="minorHAnsi" w:cstheme="minorHAnsi"/>
          <w:b w:val="0"/>
          <w:iCs/>
          <w:sz w:val="20"/>
          <w:szCs w:val="20"/>
          <w:lang w:val="cs-CZ"/>
        </w:rPr>
        <w:t xml:space="preserve"> této </w:t>
      </w:r>
      <w:r w:rsidR="004E738A" w:rsidRPr="00AB1802">
        <w:rPr>
          <w:rFonts w:asciiTheme="minorHAnsi" w:hAnsiTheme="minorHAnsi" w:cstheme="minorHAnsi"/>
          <w:b w:val="0"/>
          <w:iCs/>
          <w:sz w:val="20"/>
          <w:szCs w:val="20"/>
          <w:lang w:val="cs-CZ"/>
        </w:rPr>
        <w:t>S</w:t>
      </w:r>
      <w:r w:rsidR="00AC5F0C" w:rsidRPr="00AB1802">
        <w:rPr>
          <w:rFonts w:asciiTheme="minorHAnsi" w:hAnsiTheme="minorHAnsi" w:cstheme="minorHAnsi"/>
          <w:b w:val="0"/>
          <w:iCs/>
          <w:sz w:val="20"/>
          <w:szCs w:val="20"/>
          <w:lang w:val="cs-CZ"/>
        </w:rPr>
        <w:t>mlouvy</w:t>
      </w:r>
    </w:p>
    <w:p w14:paraId="6AC08C1A" w14:textId="77777777" w:rsidR="00C1614E" w:rsidRPr="00AB1802" w:rsidRDefault="00C1614E" w:rsidP="00C1614E">
      <w:pPr>
        <w:pStyle w:val="Numberslevel1"/>
        <w:numPr>
          <w:ilvl w:val="0"/>
          <w:numId w:val="0"/>
        </w:numPr>
        <w:jc w:val="both"/>
        <w:rPr>
          <w:rFonts w:asciiTheme="minorHAnsi" w:hAnsiTheme="minorHAnsi" w:cstheme="minorHAnsi"/>
          <w:b w:val="0"/>
          <w:iCs/>
          <w:sz w:val="20"/>
          <w:szCs w:val="20"/>
        </w:rPr>
      </w:pPr>
    </w:p>
    <w:p w14:paraId="77CBA59F" w14:textId="77777777" w:rsidR="00C1614E" w:rsidRPr="002D74AC" w:rsidRDefault="00C1614E" w:rsidP="00C1614E">
      <w:pPr>
        <w:pStyle w:val="Numberslevel1"/>
        <w:numPr>
          <w:ilvl w:val="0"/>
          <w:numId w:val="0"/>
        </w:numPr>
        <w:spacing w:line="240" w:lineRule="auto"/>
        <w:jc w:val="both"/>
        <w:rPr>
          <w:rFonts w:asciiTheme="minorHAnsi" w:hAnsiTheme="minorHAnsi" w:cstheme="minorHAnsi"/>
          <w:b w:val="0"/>
          <w:iCs/>
          <w:sz w:val="20"/>
          <w:szCs w:val="20"/>
        </w:rPr>
      </w:pPr>
      <w:r w:rsidRPr="00AB1802">
        <w:rPr>
          <w:rFonts w:asciiTheme="minorHAnsi" w:hAnsiTheme="minorHAnsi" w:cstheme="minorHAnsi"/>
          <w:b w:val="0"/>
          <w:iCs/>
          <w:sz w:val="20"/>
          <w:szCs w:val="20"/>
        </w:rPr>
        <w:t xml:space="preserve">Deloitte je </w:t>
      </w:r>
      <w:proofErr w:type="spellStart"/>
      <w:r w:rsidRPr="00AB1802">
        <w:rPr>
          <w:rFonts w:asciiTheme="minorHAnsi" w:hAnsiTheme="minorHAnsi" w:cstheme="minorHAnsi"/>
          <w:b w:val="0"/>
          <w:iCs/>
          <w:sz w:val="20"/>
          <w:szCs w:val="20"/>
        </w:rPr>
        <w:t>oprávněna</w:t>
      </w:r>
      <w:proofErr w:type="spellEnd"/>
      <w:r w:rsidRPr="00AB1802">
        <w:rPr>
          <w:rFonts w:asciiTheme="minorHAnsi" w:hAnsiTheme="minorHAnsi" w:cstheme="minorHAnsi"/>
          <w:b w:val="0"/>
          <w:iCs/>
          <w:sz w:val="20"/>
          <w:szCs w:val="20"/>
        </w:rPr>
        <w:t xml:space="preserve"> v </w:t>
      </w:r>
      <w:proofErr w:type="spellStart"/>
      <w:r w:rsidRPr="00AB1802">
        <w:rPr>
          <w:rFonts w:asciiTheme="minorHAnsi" w:hAnsiTheme="minorHAnsi" w:cstheme="minorHAnsi"/>
          <w:b w:val="0"/>
          <w:iCs/>
          <w:sz w:val="20"/>
          <w:szCs w:val="20"/>
        </w:rPr>
        <w:t>případě</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jakéhokoli</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porušení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Etického</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kodexu</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Dodavatele</w:t>
      </w:r>
      <w:proofErr w:type="spellEnd"/>
      <w:r w:rsidRPr="00AB1802">
        <w:rPr>
          <w:rFonts w:asciiTheme="minorHAnsi" w:hAnsiTheme="minorHAnsi" w:cstheme="minorHAnsi"/>
          <w:b w:val="0"/>
          <w:iCs/>
          <w:sz w:val="20"/>
          <w:szCs w:val="20"/>
        </w:rPr>
        <w:t xml:space="preserve">  Deloitte a v </w:t>
      </w:r>
      <w:proofErr w:type="spellStart"/>
      <w:r w:rsidRPr="00AB1802">
        <w:rPr>
          <w:rFonts w:asciiTheme="minorHAnsi" w:hAnsiTheme="minorHAnsi" w:cstheme="minorHAnsi"/>
          <w:b w:val="0"/>
          <w:iCs/>
          <w:sz w:val="20"/>
          <w:szCs w:val="20"/>
        </w:rPr>
        <w:t>případě</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že</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Subdodavatel</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nezjedná</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nápravu</w:t>
      </w:r>
      <w:proofErr w:type="spellEnd"/>
      <w:r w:rsidRPr="00AB1802">
        <w:rPr>
          <w:rFonts w:asciiTheme="minorHAnsi" w:hAnsiTheme="minorHAnsi" w:cstheme="minorHAnsi"/>
          <w:b w:val="0"/>
          <w:iCs/>
          <w:sz w:val="20"/>
          <w:szCs w:val="20"/>
        </w:rPr>
        <w:t xml:space="preserve"> v </w:t>
      </w:r>
      <w:proofErr w:type="spellStart"/>
      <w:r w:rsidRPr="00AB1802">
        <w:rPr>
          <w:rFonts w:asciiTheme="minorHAnsi" w:hAnsiTheme="minorHAnsi" w:cstheme="minorHAnsi"/>
          <w:b w:val="0"/>
          <w:iCs/>
          <w:sz w:val="20"/>
          <w:szCs w:val="20"/>
        </w:rPr>
        <w:t>přiměřené</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lhůtě</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stanovené</w:t>
      </w:r>
      <w:proofErr w:type="spellEnd"/>
      <w:r w:rsidRPr="00AB1802">
        <w:rPr>
          <w:rFonts w:asciiTheme="minorHAnsi" w:hAnsiTheme="minorHAnsi" w:cstheme="minorHAnsi"/>
          <w:b w:val="0"/>
          <w:iCs/>
          <w:sz w:val="20"/>
          <w:szCs w:val="20"/>
        </w:rPr>
        <w:t xml:space="preserve"> v </w:t>
      </w:r>
      <w:proofErr w:type="spellStart"/>
      <w:r w:rsidRPr="00AB1802">
        <w:rPr>
          <w:rFonts w:asciiTheme="minorHAnsi" w:hAnsiTheme="minorHAnsi" w:cstheme="minorHAnsi"/>
          <w:b w:val="0"/>
          <w:iCs/>
          <w:sz w:val="20"/>
          <w:szCs w:val="20"/>
        </w:rPr>
        <w:t>oznámení</w:t>
      </w:r>
      <w:proofErr w:type="spellEnd"/>
      <w:r w:rsidRPr="00AB1802">
        <w:rPr>
          <w:rFonts w:asciiTheme="minorHAnsi" w:hAnsiTheme="minorHAnsi" w:cstheme="minorHAnsi"/>
          <w:b w:val="0"/>
          <w:iCs/>
          <w:sz w:val="20"/>
          <w:szCs w:val="20"/>
        </w:rPr>
        <w:t xml:space="preserve"> o </w:t>
      </w:r>
      <w:proofErr w:type="spellStart"/>
      <w:r w:rsidRPr="00AB1802">
        <w:rPr>
          <w:rFonts w:asciiTheme="minorHAnsi" w:hAnsiTheme="minorHAnsi" w:cstheme="minorHAnsi"/>
          <w:b w:val="0"/>
          <w:iCs/>
          <w:sz w:val="20"/>
          <w:szCs w:val="20"/>
        </w:rPr>
        <w:t>porušení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zaslaném</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Subdodavateli</w:t>
      </w:r>
      <w:proofErr w:type="spellEnd"/>
      <w:r w:rsidRPr="00AB1802">
        <w:rPr>
          <w:rFonts w:asciiTheme="minorHAnsi" w:hAnsiTheme="minorHAnsi" w:cstheme="minorHAnsi"/>
          <w:b w:val="0"/>
          <w:iCs/>
          <w:sz w:val="20"/>
          <w:szCs w:val="20"/>
        </w:rPr>
        <w:t xml:space="preserve"> ze </w:t>
      </w:r>
      <w:proofErr w:type="spellStart"/>
      <w:r w:rsidRPr="00AB1802">
        <w:rPr>
          <w:rFonts w:asciiTheme="minorHAnsi" w:hAnsiTheme="minorHAnsi" w:cstheme="minorHAnsi"/>
          <w:b w:val="0"/>
          <w:iCs/>
          <w:sz w:val="20"/>
          <w:szCs w:val="20"/>
        </w:rPr>
        <w:t>strany</w:t>
      </w:r>
      <w:proofErr w:type="spellEnd"/>
      <w:r w:rsidRPr="00AB1802">
        <w:rPr>
          <w:rFonts w:asciiTheme="minorHAnsi" w:hAnsiTheme="minorHAnsi" w:cstheme="minorHAnsi"/>
          <w:b w:val="0"/>
          <w:iCs/>
          <w:sz w:val="20"/>
          <w:szCs w:val="20"/>
        </w:rPr>
        <w:t xml:space="preserve"> Deloitte, s </w:t>
      </w:r>
      <w:proofErr w:type="spellStart"/>
      <w:r w:rsidRPr="00AB1802">
        <w:rPr>
          <w:rFonts w:asciiTheme="minorHAnsi" w:hAnsiTheme="minorHAnsi" w:cstheme="minorHAnsi"/>
          <w:b w:val="0"/>
          <w:iCs/>
          <w:sz w:val="20"/>
          <w:szCs w:val="20"/>
        </w:rPr>
        <w:t>okamžitou</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platností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ukončit</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všechny</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stávající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smlouvy</w:t>
      </w:r>
      <w:proofErr w:type="spellEnd"/>
      <w:r w:rsidRPr="00AB1802">
        <w:rPr>
          <w:rFonts w:asciiTheme="minorHAnsi" w:hAnsiTheme="minorHAnsi" w:cstheme="minorHAnsi"/>
          <w:b w:val="0"/>
          <w:iCs/>
          <w:sz w:val="20"/>
          <w:szCs w:val="20"/>
        </w:rPr>
        <w:t xml:space="preserve">. V </w:t>
      </w:r>
      <w:proofErr w:type="spellStart"/>
      <w:r w:rsidRPr="00AB1802">
        <w:rPr>
          <w:rFonts w:asciiTheme="minorHAnsi" w:hAnsiTheme="minorHAnsi" w:cstheme="minorHAnsi"/>
          <w:b w:val="0"/>
          <w:iCs/>
          <w:sz w:val="20"/>
          <w:szCs w:val="20"/>
        </w:rPr>
        <w:t>případě</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závažného</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porušení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není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předchozí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upozornění</w:t>
      </w:r>
      <w:proofErr w:type="spellEnd"/>
      <w:r w:rsidRPr="00AB1802">
        <w:rPr>
          <w:rFonts w:asciiTheme="minorHAnsi" w:hAnsiTheme="minorHAnsi" w:cstheme="minorHAnsi"/>
          <w:b w:val="0"/>
          <w:iCs/>
          <w:sz w:val="20"/>
          <w:szCs w:val="20"/>
        </w:rPr>
        <w:t xml:space="preserve"> </w:t>
      </w:r>
      <w:proofErr w:type="spellStart"/>
      <w:r w:rsidRPr="00AB1802">
        <w:rPr>
          <w:rFonts w:asciiTheme="minorHAnsi" w:hAnsiTheme="minorHAnsi" w:cstheme="minorHAnsi"/>
          <w:b w:val="0"/>
          <w:iCs/>
          <w:sz w:val="20"/>
          <w:szCs w:val="20"/>
        </w:rPr>
        <w:t>nutné</w:t>
      </w:r>
      <w:proofErr w:type="spellEnd"/>
      <w:r w:rsidRPr="00AB1802">
        <w:rPr>
          <w:rFonts w:asciiTheme="minorHAnsi" w:hAnsiTheme="minorHAnsi" w:cstheme="minorHAnsi"/>
          <w:b w:val="0"/>
          <w:iCs/>
          <w:sz w:val="20"/>
          <w:szCs w:val="20"/>
        </w:rPr>
        <w:t>.</w:t>
      </w:r>
    </w:p>
    <w:p w14:paraId="5E7E03C9" w14:textId="77777777" w:rsidR="00C1614E" w:rsidRPr="002D74AC" w:rsidRDefault="00C1614E" w:rsidP="00C1614E">
      <w:pPr>
        <w:jc w:val="both"/>
        <w:rPr>
          <w:rFonts w:asciiTheme="minorHAnsi" w:hAnsiTheme="minorHAnsi" w:cstheme="minorHAnsi"/>
          <w:color w:val="auto"/>
          <w:sz w:val="20"/>
          <w:szCs w:val="20"/>
          <w:lang w:val="cs-CZ"/>
        </w:rPr>
      </w:pPr>
    </w:p>
    <w:p w14:paraId="7EF1B99E" w14:textId="1729E385" w:rsidR="00EA20C9" w:rsidRPr="002D74AC" w:rsidRDefault="00EA20C9" w:rsidP="004403D4">
      <w:pPr>
        <w:tabs>
          <w:tab w:val="num" w:pos="-3420"/>
        </w:tabs>
        <w:jc w:val="both"/>
        <w:rPr>
          <w:rFonts w:asciiTheme="minorHAnsi" w:hAnsiTheme="minorHAnsi" w:cstheme="minorHAnsi"/>
          <w:color w:val="auto"/>
          <w:sz w:val="20"/>
          <w:szCs w:val="20"/>
          <w:lang w:val="cs-CZ"/>
        </w:rPr>
      </w:pPr>
    </w:p>
    <w:p w14:paraId="5C6397B5" w14:textId="77777777" w:rsidR="006A702C" w:rsidRPr="002D74AC" w:rsidRDefault="006A702C">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10.</w:t>
      </w:r>
      <w:r w:rsidRPr="002D74AC">
        <w:rPr>
          <w:rFonts w:asciiTheme="minorHAnsi" w:hAnsiTheme="minorHAnsi" w:cstheme="minorHAnsi"/>
          <w:b/>
          <w:bCs/>
          <w:color w:val="auto"/>
          <w:sz w:val="20"/>
          <w:szCs w:val="20"/>
          <w:lang w:val="cs-CZ"/>
        </w:rPr>
        <w:tab/>
      </w:r>
      <w:r w:rsidR="004369F7" w:rsidRPr="002D74AC">
        <w:rPr>
          <w:rFonts w:asciiTheme="minorHAnsi" w:hAnsiTheme="minorHAnsi" w:cstheme="minorHAnsi"/>
          <w:b/>
          <w:bCs/>
          <w:color w:val="auto"/>
          <w:sz w:val="20"/>
          <w:szCs w:val="20"/>
          <w:lang w:val="cs-CZ"/>
        </w:rPr>
        <w:t xml:space="preserve">VLASTNICTVÍ VÝSLEDKŮ ČINNOSTI </w:t>
      </w:r>
    </w:p>
    <w:p w14:paraId="73BFDC28" w14:textId="77777777" w:rsidR="006A702C" w:rsidRPr="002D74AC" w:rsidRDefault="006A702C">
      <w:pPr>
        <w:jc w:val="both"/>
        <w:rPr>
          <w:rFonts w:asciiTheme="minorHAnsi" w:hAnsiTheme="minorHAnsi" w:cstheme="minorHAnsi"/>
          <w:color w:val="auto"/>
          <w:sz w:val="20"/>
          <w:szCs w:val="20"/>
          <w:lang w:val="cs-CZ"/>
        </w:rPr>
      </w:pPr>
    </w:p>
    <w:p w14:paraId="226DEFD5" w14:textId="095A017F" w:rsidR="006A702C" w:rsidRPr="002D74AC" w:rsidRDefault="004369F7" w:rsidP="004E5571">
      <w:pPr>
        <w:pStyle w:val="Zkladntextodsazen"/>
        <w:numPr>
          <w:ilvl w:val="0"/>
          <w:numId w:val="12"/>
        </w:numPr>
        <w:tabs>
          <w:tab w:val="clear" w:pos="360"/>
          <w:tab w:val="num" w:pos="-3420"/>
          <w:tab w:val="num" w:pos="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Subdodavatel tímto převádí a souhlasí s převodem na Deloitte bez nároku na jakoukoli dodatečnou odměnu všechna převoditelná práva, nároky a podíly </w:t>
      </w:r>
      <w:r w:rsidR="00AB299F" w:rsidRPr="002D74AC">
        <w:rPr>
          <w:rFonts w:asciiTheme="minorHAnsi" w:hAnsiTheme="minorHAnsi" w:cstheme="minorHAnsi"/>
          <w:b w:val="0"/>
          <w:sz w:val="20"/>
          <w:lang w:val="cs-CZ"/>
        </w:rPr>
        <w:t xml:space="preserve">na </w:t>
      </w:r>
      <w:r w:rsidR="00936C3B" w:rsidRPr="002D74AC">
        <w:rPr>
          <w:rFonts w:asciiTheme="minorHAnsi" w:hAnsiTheme="minorHAnsi" w:cstheme="minorHAnsi"/>
          <w:b w:val="0"/>
          <w:sz w:val="20"/>
          <w:lang w:val="cs-CZ"/>
        </w:rPr>
        <w:t>všech</w:t>
      </w:r>
      <w:r w:rsidR="001A5709" w:rsidRPr="002D74AC">
        <w:rPr>
          <w:rFonts w:asciiTheme="minorHAnsi" w:hAnsiTheme="minorHAnsi" w:cstheme="minorHAnsi"/>
          <w:b w:val="0"/>
          <w:sz w:val="20"/>
          <w:lang w:val="cs-CZ"/>
        </w:rPr>
        <w:t xml:space="preserve"> a</w:t>
      </w:r>
      <w:r w:rsidR="00936C3B" w:rsidRPr="002D74AC">
        <w:rPr>
          <w:rFonts w:asciiTheme="minorHAnsi" w:hAnsiTheme="minorHAnsi" w:cstheme="minorHAnsi"/>
          <w:b w:val="0"/>
          <w:sz w:val="20"/>
          <w:lang w:val="cs-CZ"/>
        </w:rPr>
        <w:t xml:space="preserve"> jakýchkoli</w:t>
      </w:r>
      <w:r w:rsidRPr="002D74AC">
        <w:rPr>
          <w:rFonts w:asciiTheme="minorHAnsi" w:hAnsiTheme="minorHAnsi" w:cstheme="minorHAnsi"/>
          <w:b w:val="0"/>
          <w:sz w:val="20"/>
          <w:lang w:val="cs-CZ"/>
        </w:rPr>
        <w:t xml:space="preserve"> dílech (včetně softwaru), objev</w:t>
      </w:r>
      <w:r w:rsidR="00936C3B" w:rsidRPr="002D74AC">
        <w:rPr>
          <w:rFonts w:asciiTheme="minorHAnsi" w:hAnsiTheme="minorHAnsi" w:cstheme="minorHAnsi"/>
          <w:b w:val="0"/>
          <w:sz w:val="20"/>
          <w:lang w:val="cs-CZ"/>
        </w:rPr>
        <w:t>ech</w:t>
      </w:r>
      <w:r w:rsidRPr="002D74AC">
        <w:rPr>
          <w:rFonts w:asciiTheme="minorHAnsi" w:hAnsiTheme="minorHAnsi" w:cstheme="minorHAnsi"/>
          <w:b w:val="0"/>
          <w:sz w:val="20"/>
          <w:lang w:val="cs-CZ"/>
        </w:rPr>
        <w:t>, myšlenk</w:t>
      </w:r>
      <w:r w:rsidR="00936C3B" w:rsidRPr="002D74AC">
        <w:rPr>
          <w:rFonts w:asciiTheme="minorHAnsi" w:hAnsiTheme="minorHAnsi" w:cstheme="minorHAnsi"/>
          <w:b w:val="0"/>
          <w:sz w:val="20"/>
          <w:lang w:val="cs-CZ"/>
        </w:rPr>
        <w:t>ách</w:t>
      </w:r>
      <w:r w:rsidRPr="002D74AC">
        <w:rPr>
          <w:rFonts w:asciiTheme="minorHAnsi" w:hAnsiTheme="minorHAnsi" w:cstheme="minorHAnsi"/>
          <w:b w:val="0"/>
          <w:sz w:val="20"/>
          <w:lang w:val="cs-CZ"/>
        </w:rPr>
        <w:t>, vzor</w:t>
      </w:r>
      <w:r w:rsidR="00936C3B" w:rsidRPr="002D74AC">
        <w:rPr>
          <w:rFonts w:asciiTheme="minorHAnsi" w:hAnsiTheme="minorHAnsi" w:cstheme="minorHAnsi"/>
          <w:b w:val="0"/>
          <w:sz w:val="20"/>
          <w:lang w:val="cs-CZ"/>
        </w:rPr>
        <w:t>ech</w:t>
      </w:r>
      <w:r w:rsidRPr="002D74AC">
        <w:rPr>
          <w:rFonts w:asciiTheme="minorHAnsi" w:hAnsiTheme="minorHAnsi" w:cstheme="minorHAnsi"/>
          <w:b w:val="0"/>
          <w:sz w:val="20"/>
          <w:lang w:val="cs-CZ"/>
        </w:rPr>
        <w:t>, materiál</w:t>
      </w:r>
      <w:r w:rsidR="00936C3B" w:rsidRPr="002D74AC">
        <w:rPr>
          <w:rFonts w:asciiTheme="minorHAnsi" w:hAnsiTheme="minorHAnsi" w:cstheme="minorHAnsi"/>
          <w:b w:val="0"/>
          <w:sz w:val="20"/>
          <w:lang w:val="cs-CZ"/>
        </w:rPr>
        <w:t>ech</w:t>
      </w:r>
      <w:r w:rsidRPr="002D74AC">
        <w:rPr>
          <w:rFonts w:asciiTheme="minorHAnsi" w:hAnsiTheme="minorHAnsi" w:cstheme="minorHAnsi"/>
          <w:b w:val="0"/>
          <w:sz w:val="20"/>
          <w:lang w:val="cs-CZ"/>
        </w:rPr>
        <w:t>, které mohou být předmětem ochrany vyplývající z duševního vlastnictví, ochrann</w:t>
      </w:r>
      <w:r w:rsidR="000A2609" w:rsidRPr="002D74AC">
        <w:rPr>
          <w:rFonts w:asciiTheme="minorHAnsi" w:hAnsiTheme="minorHAnsi" w:cstheme="minorHAnsi"/>
          <w:b w:val="0"/>
          <w:sz w:val="20"/>
          <w:lang w:val="cs-CZ"/>
        </w:rPr>
        <w:t>ých</w:t>
      </w:r>
      <w:r w:rsidRPr="002D74AC">
        <w:rPr>
          <w:rFonts w:asciiTheme="minorHAnsi" w:hAnsiTheme="minorHAnsi" w:cstheme="minorHAnsi"/>
          <w:b w:val="0"/>
          <w:sz w:val="20"/>
          <w:lang w:val="cs-CZ"/>
        </w:rPr>
        <w:t xml:space="preserve"> znám</w:t>
      </w:r>
      <w:r w:rsidR="000A2609" w:rsidRPr="002D74AC">
        <w:rPr>
          <w:rFonts w:asciiTheme="minorHAnsi" w:hAnsiTheme="minorHAnsi" w:cstheme="minorHAnsi"/>
          <w:b w:val="0"/>
          <w:sz w:val="20"/>
          <w:lang w:val="cs-CZ"/>
        </w:rPr>
        <w:t>ek</w:t>
      </w:r>
      <w:r w:rsidRPr="002D74AC">
        <w:rPr>
          <w:rFonts w:asciiTheme="minorHAnsi" w:hAnsiTheme="minorHAnsi" w:cstheme="minorHAnsi"/>
          <w:b w:val="0"/>
          <w:sz w:val="20"/>
          <w:lang w:val="cs-CZ"/>
        </w:rPr>
        <w:t xml:space="preserve"> a jin</w:t>
      </w:r>
      <w:r w:rsidR="000A2609" w:rsidRPr="002D74AC">
        <w:rPr>
          <w:rFonts w:asciiTheme="minorHAnsi" w:hAnsiTheme="minorHAnsi" w:cstheme="minorHAnsi"/>
          <w:b w:val="0"/>
          <w:sz w:val="20"/>
          <w:lang w:val="cs-CZ"/>
        </w:rPr>
        <w:t>ých</w:t>
      </w:r>
      <w:r w:rsidRPr="002D74AC">
        <w:rPr>
          <w:rFonts w:asciiTheme="minorHAnsi" w:hAnsiTheme="minorHAnsi" w:cstheme="minorHAnsi"/>
          <w:b w:val="0"/>
          <w:sz w:val="20"/>
          <w:lang w:val="cs-CZ"/>
        </w:rPr>
        <w:t xml:space="preserve"> technologi</w:t>
      </w:r>
      <w:r w:rsidR="000A2609" w:rsidRPr="002D74AC">
        <w:rPr>
          <w:rFonts w:asciiTheme="minorHAnsi" w:hAnsiTheme="minorHAnsi" w:cstheme="minorHAnsi"/>
          <w:b w:val="0"/>
          <w:sz w:val="20"/>
          <w:lang w:val="cs-CZ"/>
        </w:rPr>
        <w:t>í</w:t>
      </w:r>
      <w:r w:rsidRPr="002D74AC">
        <w:rPr>
          <w:rFonts w:asciiTheme="minorHAnsi" w:hAnsiTheme="minorHAnsi" w:cstheme="minorHAnsi"/>
          <w:b w:val="0"/>
          <w:sz w:val="20"/>
          <w:lang w:val="cs-CZ"/>
        </w:rPr>
        <w:t xml:space="preserve"> a práv (včetně jakýchkoli zlepšení nebo modifikací), a to bez ohledu na to, zda jsou objektem autorskoprávní ochrany nebo patentové ochrany (dále souhrnně označovány jako „</w:t>
      </w:r>
      <w:r w:rsidRPr="002D74AC">
        <w:rPr>
          <w:rFonts w:asciiTheme="minorHAnsi" w:hAnsiTheme="minorHAnsi" w:cstheme="minorHAnsi"/>
          <w:sz w:val="20"/>
          <w:lang w:val="cs-CZ"/>
        </w:rPr>
        <w:t>Díla</w:t>
      </w:r>
      <w:r w:rsidRPr="002D74AC">
        <w:rPr>
          <w:rFonts w:asciiTheme="minorHAnsi" w:hAnsiTheme="minorHAnsi" w:cstheme="minorHAnsi"/>
          <w:b w:val="0"/>
          <w:sz w:val="20"/>
          <w:lang w:val="cs-CZ"/>
        </w:rPr>
        <w:t xml:space="preserve">“), které jsou vymyšleny či vytvořeny Subdodavatelem samotným nebo ve spolupráci s jinými subjekty v souvislosti s poskytnutím Služeb, bez ohledu na to, zda byly vymyšleny nebo vytvořeny </w:t>
      </w:r>
      <w:r w:rsidR="001A5709" w:rsidRPr="002D74AC">
        <w:rPr>
          <w:rFonts w:asciiTheme="minorHAnsi" w:hAnsiTheme="minorHAnsi" w:cstheme="minorHAnsi"/>
          <w:b w:val="0"/>
          <w:sz w:val="20"/>
          <w:lang w:val="cs-CZ"/>
        </w:rPr>
        <w:t>v rámci běžné</w:t>
      </w:r>
      <w:r w:rsidRPr="002D74AC">
        <w:rPr>
          <w:rFonts w:asciiTheme="minorHAnsi" w:hAnsiTheme="minorHAnsi" w:cstheme="minorHAnsi"/>
          <w:b w:val="0"/>
          <w:sz w:val="20"/>
          <w:lang w:val="cs-CZ"/>
        </w:rPr>
        <w:t xml:space="preserve"> pracovní doby či mimo ni. Jakákoli Díla jsou ve výhradním vlastnictví společnosti Deloitte a jsou v maximální míře povolené platnými zákony považována za díla na objednávku. Deloitte bude mít právo po celém světě uplatňovat ve svůj prospěch a na svůj účet všechna </w:t>
      </w:r>
      <w:r w:rsidR="001A5709" w:rsidRPr="002D74AC">
        <w:rPr>
          <w:rFonts w:asciiTheme="minorHAnsi" w:hAnsiTheme="minorHAnsi" w:cstheme="minorHAnsi"/>
          <w:b w:val="0"/>
          <w:sz w:val="20"/>
          <w:lang w:val="cs-CZ"/>
        </w:rPr>
        <w:t xml:space="preserve">majetková </w:t>
      </w:r>
      <w:r w:rsidRPr="002D74AC">
        <w:rPr>
          <w:rFonts w:asciiTheme="minorHAnsi" w:hAnsiTheme="minorHAnsi" w:cstheme="minorHAnsi"/>
          <w:b w:val="0"/>
          <w:sz w:val="20"/>
          <w:lang w:val="cs-CZ"/>
        </w:rPr>
        <w:t>práva Subdodavatele vztahující se na každé Dílo vytvořené podle této Smlouvy, a to zejména: (i) zveřejňovat a pořizovat kopie Díla a související dokumentace, (</w:t>
      </w:r>
      <w:proofErr w:type="spellStart"/>
      <w:r w:rsidRPr="002D74AC">
        <w:rPr>
          <w:rFonts w:asciiTheme="minorHAnsi" w:hAnsiTheme="minorHAnsi" w:cstheme="minorHAnsi"/>
          <w:b w:val="0"/>
          <w:sz w:val="20"/>
          <w:lang w:val="cs-CZ"/>
        </w:rPr>
        <w:t>ii</w:t>
      </w:r>
      <w:proofErr w:type="spellEnd"/>
      <w:r w:rsidRPr="002D74AC">
        <w:rPr>
          <w:rFonts w:asciiTheme="minorHAnsi" w:hAnsiTheme="minorHAnsi" w:cstheme="minorHAnsi"/>
          <w:b w:val="0"/>
          <w:sz w:val="20"/>
          <w:lang w:val="cs-CZ"/>
        </w:rPr>
        <w:t>) zveřejňovat, modifikovat a vytvářet vylepšené verze Díla, (</w:t>
      </w:r>
      <w:proofErr w:type="spellStart"/>
      <w:r w:rsidRPr="002D74AC">
        <w:rPr>
          <w:rFonts w:asciiTheme="minorHAnsi" w:hAnsiTheme="minorHAnsi" w:cstheme="minorHAnsi"/>
          <w:b w:val="0"/>
          <w:sz w:val="20"/>
          <w:lang w:val="cs-CZ"/>
        </w:rPr>
        <w:t>iii</w:t>
      </w:r>
      <w:proofErr w:type="spellEnd"/>
      <w:r w:rsidRPr="002D74AC">
        <w:rPr>
          <w:rFonts w:asciiTheme="minorHAnsi" w:hAnsiTheme="minorHAnsi" w:cstheme="minorHAnsi"/>
          <w:b w:val="0"/>
          <w:sz w:val="20"/>
          <w:lang w:val="cs-CZ"/>
        </w:rPr>
        <w:t>) měnit, slučovat, modifikovat, adaptovat nebo překládat Dílo, (</w:t>
      </w:r>
      <w:proofErr w:type="spellStart"/>
      <w:r w:rsidRPr="002D74AC">
        <w:rPr>
          <w:rFonts w:asciiTheme="minorHAnsi" w:hAnsiTheme="minorHAnsi" w:cstheme="minorHAnsi"/>
          <w:b w:val="0"/>
          <w:sz w:val="20"/>
          <w:lang w:val="cs-CZ"/>
        </w:rPr>
        <w:t>iv</w:t>
      </w:r>
      <w:proofErr w:type="spellEnd"/>
      <w:r w:rsidRPr="002D74AC">
        <w:rPr>
          <w:rFonts w:asciiTheme="minorHAnsi" w:hAnsiTheme="minorHAnsi" w:cstheme="minorHAnsi"/>
          <w:b w:val="0"/>
          <w:sz w:val="20"/>
          <w:lang w:val="cs-CZ"/>
        </w:rPr>
        <w:t>) dekompilovat, rozkládat Dílo nebo na něm provádět reverzní inženýrství jako na celku či na jeho částech, (v) provádět převod ze zdrojového kódu Díla, (</w:t>
      </w:r>
      <w:proofErr w:type="spellStart"/>
      <w:r w:rsidRPr="002D74AC">
        <w:rPr>
          <w:rFonts w:asciiTheme="minorHAnsi" w:hAnsiTheme="minorHAnsi" w:cstheme="minorHAnsi"/>
          <w:b w:val="0"/>
          <w:sz w:val="20"/>
          <w:lang w:val="cs-CZ"/>
        </w:rPr>
        <w:t>vi</w:t>
      </w:r>
      <w:proofErr w:type="spellEnd"/>
      <w:r w:rsidRPr="002D74AC">
        <w:rPr>
          <w:rFonts w:asciiTheme="minorHAnsi" w:hAnsiTheme="minorHAnsi" w:cstheme="minorHAnsi"/>
          <w:b w:val="0"/>
          <w:sz w:val="20"/>
          <w:lang w:val="cs-CZ"/>
        </w:rPr>
        <w:t>) používat, kopírovat, reprodukovat, psát nebo vytvářet jakákoli odvozená díla nebo jiná díla na základě celého Díla nebo jeho části, (</w:t>
      </w:r>
      <w:proofErr w:type="spellStart"/>
      <w:r w:rsidRPr="002D74AC">
        <w:rPr>
          <w:rFonts w:asciiTheme="minorHAnsi" w:hAnsiTheme="minorHAnsi" w:cstheme="minorHAnsi"/>
          <w:b w:val="0"/>
          <w:sz w:val="20"/>
          <w:lang w:val="cs-CZ"/>
        </w:rPr>
        <w:t>vi</w:t>
      </w:r>
      <w:proofErr w:type="spellEnd"/>
      <w:r w:rsidRPr="002D74AC">
        <w:rPr>
          <w:rFonts w:asciiTheme="minorHAnsi" w:hAnsiTheme="minorHAnsi" w:cstheme="minorHAnsi"/>
          <w:b w:val="0"/>
          <w:sz w:val="20"/>
          <w:lang w:val="cs-CZ"/>
        </w:rPr>
        <w:t>) měnit, zpracovávat a kombinovat Dílo s jinými díly a používat Dílo v kombinaci s jinými díly, (</w:t>
      </w:r>
      <w:proofErr w:type="spellStart"/>
      <w:r w:rsidRPr="002D74AC">
        <w:rPr>
          <w:rFonts w:asciiTheme="minorHAnsi" w:hAnsiTheme="minorHAnsi" w:cstheme="minorHAnsi"/>
          <w:b w:val="0"/>
          <w:sz w:val="20"/>
          <w:lang w:val="cs-CZ"/>
        </w:rPr>
        <w:t>vii</w:t>
      </w:r>
      <w:proofErr w:type="spellEnd"/>
      <w:r w:rsidRPr="002D74AC">
        <w:rPr>
          <w:rFonts w:asciiTheme="minorHAnsi" w:hAnsiTheme="minorHAnsi" w:cstheme="minorHAnsi"/>
          <w:b w:val="0"/>
          <w:sz w:val="20"/>
          <w:lang w:val="cs-CZ"/>
        </w:rPr>
        <w:t>) pronajímat a/nebo půjčovat Dílo a související dokumentaci nebo kopie Díla včetně dokumentace třetím osobám a (</w:t>
      </w:r>
      <w:proofErr w:type="spellStart"/>
      <w:r w:rsidRPr="002D74AC">
        <w:rPr>
          <w:rFonts w:asciiTheme="minorHAnsi" w:hAnsiTheme="minorHAnsi" w:cstheme="minorHAnsi"/>
          <w:b w:val="0"/>
          <w:sz w:val="20"/>
          <w:lang w:val="cs-CZ"/>
        </w:rPr>
        <w:t>viii</w:t>
      </w:r>
      <w:proofErr w:type="spellEnd"/>
      <w:r w:rsidRPr="002D74AC">
        <w:rPr>
          <w:rFonts w:asciiTheme="minorHAnsi" w:hAnsiTheme="minorHAnsi" w:cstheme="minorHAnsi"/>
          <w:b w:val="0"/>
          <w:sz w:val="20"/>
          <w:lang w:val="cs-CZ"/>
        </w:rPr>
        <w:t>) poskytovat třetím osobám práva na používání Díla v míře určené společností Deloitte na základě vlastního uvážení.</w:t>
      </w:r>
    </w:p>
    <w:p w14:paraId="6E96773F" w14:textId="77777777" w:rsidR="006A702C" w:rsidRPr="002D74AC" w:rsidRDefault="006A702C">
      <w:pPr>
        <w:pStyle w:val="Zkladntextodsazen"/>
        <w:tabs>
          <w:tab w:val="num" w:pos="-3420"/>
        </w:tabs>
        <w:ind w:left="0" w:hanging="540"/>
        <w:jc w:val="both"/>
        <w:rPr>
          <w:rFonts w:asciiTheme="minorHAnsi" w:hAnsiTheme="minorHAnsi" w:cstheme="minorHAnsi"/>
          <w:sz w:val="20"/>
          <w:lang w:val="cs-CZ"/>
        </w:rPr>
      </w:pPr>
    </w:p>
    <w:p w14:paraId="79356919" w14:textId="77777777" w:rsidR="004369F7" w:rsidRPr="005871E2" w:rsidRDefault="004369F7" w:rsidP="00A815E1">
      <w:pPr>
        <w:numPr>
          <w:ilvl w:val="0"/>
          <w:numId w:val="12"/>
        </w:numPr>
        <w:tabs>
          <w:tab w:val="clear" w:pos="360"/>
          <w:tab w:val="num" w:pos="-3420"/>
          <w:tab w:val="num" w:pos="0"/>
        </w:tabs>
        <w:ind w:left="0" w:hanging="540"/>
        <w:jc w:val="both"/>
        <w:rPr>
          <w:rFonts w:asciiTheme="minorHAnsi" w:hAnsiTheme="minorHAnsi" w:cstheme="minorHAnsi"/>
          <w:color w:val="auto"/>
          <w:sz w:val="20"/>
          <w:szCs w:val="20"/>
          <w:lang w:val="cs-CZ"/>
        </w:rPr>
      </w:pPr>
    </w:p>
    <w:p w14:paraId="110DDB39" w14:textId="77777777" w:rsidR="006A702C" w:rsidRPr="002D74AC" w:rsidRDefault="004369F7" w:rsidP="004E5571">
      <w:pPr>
        <w:numPr>
          <w:ilvl w:val="0"/>
          <w:numId w:val="12"/>
        </w:numPr>
        <w:tabs>
          <w:tab w:val="clear" w:pos="360"/>
          <w:tab w:val="num" w:pos="-3420"/>
          <w:tab w:val="num" w:pos="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lastRenderedPageBreak/>
        <w:t>Subdodavatel nesmí bez předchozího výslovného písemného souhlasu Deloitte použít žádná již existující díla nebo materiály. Pokud si Subdodavatel nějaká práva, nároky nebo podíly ve vztahu k jakémukoli Dílu, které se dodává Deloitte nebo souvisí se Službami, ponechá, a to v souvislosti s autorským právem, obchodní značkou, nekalou soutěží, pomluvou, právem na soukromí, dohodou, občanskoprávním deliktem nebo jinou právní teorií, Subdodavatel tímto uděluje Deloitte neodvolatelné, plně splacené, převoditelné, postupitelné, celosvětové právo a licenci, nijak neomezenou, zejména ve vztahu k reprodukci, distribuci, modifikaci, provádění a vystavování (veřejnému nebo jinému) a jinému využívání takových Děl a tímto se jakýchkoli práv na tato Díla vzdává</w:t>
      </w:r>
      <w:r w:rsidR="006A702C" w:rsidRPr="002D74AC">
        <w:rPr>
          <w:rFonts w:asciiTheme="minorHAnsi" w:hAnsiTheme="minorHAnsi" w:cstheme="minorHAnsi"/>
          <w:color w:val="auto"/>
          <w:sz w:val="20"/>
          <w:szCs w:val="20"/>
          <w:lang w:val="cs-CZ"/>
        </w:rPr>
        <w:t>.</w:t>
      </w:r>
    </w:p>
    <w:p w14:paraId="5B9FC5FD" w14:textId="77777777" w:rsidR="006A702C" w:rsidRPr="002D74AC" w:rsidRDefault="006A702C">
      <w:pPr>
        <w:tabs>
          <w:tab w:val="num" w:pos="-3420"/>
        </w:tabs>
        <w:ind w:hanging="540"/>
        <w:jc w:val="both"/>
        <w:rPr>
          <w:rFonts w:asciiTheme="minorHAnsi" w:hAnsiTheme="minorHAnsi" w:cstheme="minorHAnsi"/>
          <w:color w:val="auto"/>
          <w:sz w:val="20"/>
          <w:szCs w:val="20"/>
          <w:lang w:val="cs-CZ"/>
        </w:rPr>
      </w:pPr>
    </w:p>
    <w:p w14:paraId="1B7B622A" w14:textId="77777777" w:rsidR="006A702C" w:rsidRPr="002D74AC" w:rsidRDefault="004369F7" w:rsidP="004E5571">
      <w:pPr>
        <w:numPr>
          <w:ilvl w:val="0"/>
          <w:numId w:val="12"/>
        </w:numPr>
        <w:tabs>
          <w:tab w:val="clear" w:pos="360"/>
          <w:tab w:val="num" w:pos="-3420"/>
          <w:tab w:val="num" w:pos="0"/>
        </w:tabs>
        <w:ind w:left="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Tato Smlouva žádné Straně nezaručuje právo používat obchodní značku,</w:t>
      </w:r>
      <w:r w:rsidR="00704B1B" w:rsidRPr="002D74AC">
        <w:rPr>
          <w:rFonts w:asciiTheme="minorHAnsi" w:hAnsiTheme="minorHAnsi" w:cstheme="minorHAnsi"/>
          <w:color w:val="auto"/>
          <w:sz w:val="20"/>
          <w:szCs w:val="20"/>
          <w:lang w:val="cs-CZ"/>
        </w:rPr>
        <w:t xml:space="preserve"> logo</w:t>
      </w:r>
      <w:r w:rsidRPr="002D74AC">
        <w:rPr>
          <w:rFonts w:asciiTheme="minorHAnsi" w:hAnsiTheme="minorHAnsi" w:cstheme="minorHAnsi"/>
          <w:color w:val="auto"/>
          <w:sz w:val="20"/>
          <w:szCs w:val="20"/>
          <w:lang w:val="cs-CZ"/>
        </w:rPr>
        <w:t xml:space="preserve"> obchodní jméno nebo servisní značku druhé Strany nebo jejích přidružených společností. </w:t>
      </w:r>
    </w:p>
    <w:p w14:paraId="0DB7E20E" w14:textId="63E09F6C" w:rsidR="006A702C" w:rsidRPr="002D74AC" w:rsidRDefault="006A702C" w:rsidP="004403D4">
      <w:pPr>
        <w:pStyle w:val="Zkladntextodsazen3"/>
        <w:ind w:left="0" w:firstLine="0"/>
        <w:rPr>
          <w:rFonts w:asciiTheme="minorHAnsi" w:hAnsiTheme="minorHAnsi" w:cstheme="minorHAnsi"/>
          <w:sz w:val="20"/>
          <w:szCs w:val="20"/>
          <w:lang w:val="cs-CZ"/>
        </w:rPr>
      </w:pPr>
    </w:p>
    <w:p w14:paraId="6267F7A5" w14:textId="77777777" w:rsidR="006A702C" w:rsidRPr="002D74AC" w:rsidRDefault="006A702C" w:rsidP="00EA20C9">
      <w:pPr>
        <w:pStyle w:val="Zkladntextodsazen3"/>
        <w:keepNext/>
        <w:keepLines/>
        <w:ind w:left="0"/>
        <w:rPr>
          <w:rFonts w:asciiTheme="minorHAnsi" w:hAnsiTheme="minorHAnsi" w:cstheme="minorHAnsi"/>
          <w:b/>
          <w:bCs/>
          <w:sz w:val="20"/>
          <w:szCs w:val="20"/>
          <w:lang w:val="cs-CZ"/>
        </w:rPr>
      </w:pPr>
      <w:r w:rsidRPr="002D74AC">
        <w:rPr>
          <w:rFonts w:asciiTheme="minorHAnsi" w:hAnsiTheme="minorHAnsi" w:cstheme="minorHAnsi"/>
          <w:b/>
          <w:bCs/>
          <w:sz w:val="20"/>
          <w:szCs w:val="20"/>
          <w:lang w:val="cs-CZ"/>
        </w:rPr>
        <w:t>1</w:t>
      </w:r>
      <w:r w:rsidR="00EC2226" w:rsidRPr="002D74AC">
        <w:rPr>
          <w:rFonts w:asciiTheme="minorHAnsi" w:hAnsiTheme="minorHAnsi" w:cstheme="minorHAnsi"/>
          <w:b/>
          <w:bCs/>
          <w:sz w:val="20"/>
          <w:szCs w:val="20"/>
          <w:lang w:val="cs-CZ"/>
        </w:rPr>
        <w:t>1</w:t>
      </w:r>
      <w:r w:rsidR="00767574" w:rsidRPr="002D74AC">
        <w:rPr>
          <w:rFonts w:asciiTheme="minorHAnsi" w:hAnsiTheme="minorHAnsi" w:cstheme="minorHAnsi"/>
          <w:b/>
          <w:bCs/>
          <w:sz w:val="20"/>
          <w:szCs w:val="20"/>
          <w:lang w:val="cs-CZ"/>
        </w:rPr>
        <w:t>.</w:t>
      </w:r>
      <w:r w:rsidRPr="002D74AC">
        <w:rPr>
          <w:rFonts w:asciiTheme="minorHAnsi" w:hAnsiTheme="minorHAnsi" w:cstheme="minorHAnsi"/>
          <w:b/>
          <w:bCs/>
          <w:sz w:val="20"/>
          <w:szCs w:val="20"/>
          <w:lang w:val="cs-CZ"/>
        </w:rPr>
        <w:t xml:space="preserve">  </w:t>
      </w:r>
      <w:r w:rsidR="0056507F" w:rsidRPr="002D74AC">
        <w:rPr>
          <w:rFonts w:asciiTheme="minorHAnsi" w:hAnsiTheme="minorHAnsi" w:cstheme="minorHAnsi"/>
          <w:b/>
          <w:bCs/>
          <w:sz w:val="20"/>
          <w:szCs w:val="20"/>
          <w:lang w:val="cs-CZ"/>
        </w:rPr>
        <w:tab/>
      </w:r>
      <w:r w:rsidR="009B686F" w:rsidRPr="002D74AC">
        <w:rPr>
          <w:rFonts w:asciiTheme="minorHAnsi" w:hAnsiTheme="minorHAnsi" w:cstheme="minorHAnsi"/>
          <w:b/>
          <w:bCs/>
          <w:sz w:val="20"/>
          <w:szCs w:val="20"/>
          <w:lang w:val="cs-CZ"/>
        </w:rPr>
        <w:t xml:space="preserve">VRÁCENÍ </w:t>
      </w:r>
      <w:r w:rsidR="001A5709" w:rsidRPr="002D74AC">
        <w:rPr>
          <w:rFonts w:asciiTheme="minorHAnsi" w:hAnsiTheme="minorHAnsi" w:cstheme="minorHAnsi"/>
          <w:b/>
          <w:bCs/>
          <w:sz w:val="20"/>
          <w:szCs w:val="20"/>
          <w:lang w:val="cs-CZ"/>
        </w:rPr>
        <w:t>SVĚŘENÝCH PŘEDMĚTŮ</w:t>
      </w:r>
    </w:p>
    <w:p w14:paraId="4994567F" w14:textId="77777777" w:rsidR="006A702C" w:rsidRPr="002D74AC" w:rsidRDefault="006A702C" w:rsidP="00EA20C9">
      <w:pPr>
        <w:pStyle w:val="Zkladntextodsazen"/>
        <w:keepNext/>
        <w:keepLines/>
        <w:ind w:left="11" w:hanging="11"/>
        <w:jc w:val="both"/>
        <w:rPr>
          <w:rFonts w:asciiTheme="minorHAnsi" w:hAnsiTheme="minorHAnsi" w:cstheme="minorHAnsi"/>
          <w:b w:val="0"/>
          <w:sz w:val="20"/>
          <w:lang w:val="cs-CZ"/>
        </w:rPr>
      </w:pPr>
    </w:p>
    <w:p w14:paraId="26FCAAA5" w14:textId="14908FD3" w:rsidR="006A702C" w:rsidRPr="002D74AC" w:rsidRDefault="009B686F" w:rsidP="004403D4">
      <w:pPr>
        <w:pStyle w:val="Zkladntextodsazen"/>
        <w:keepNext/>
        <w:keepLines/>
        <w:ind w:left="11" w:hanging="11"/>
        <w:jc w:val="both"/>
        <w:rPr>
          <w:rFonts w:asciiTheme="minorHAnsi" w:hAnsiTheme="minorHAnsi" w:cstheme="minorHAnsi"/>
          <w:sz w:val="20"/>
          <w:lang w:val="cs-CZ"/>
        </w:rPr>
      </w:pPr>
      <w:r w:rsidRPr="002D74AC">
        <w:rPr>
          <w:rFonts w:asciiTheme="minorHAnsi" w:hAnsiTheme="minorHAnsi" w:cstheme="minorHAnsi"/>
          <w:b w:val="0"/>
          <w:sz w:val="20"/>
          <w:lang w:val="cs-CZ"/>
        </w:rPr>
        <w:t xml:space="preserve">Při ukončení </w:t>
      </w:r>
      <w:r w:rsidR="001A5709" w:rsidRPr="002D74AC">
        <w:rPr>
          <w:rFonts w:asciiTheme="minorHAnsi" w:hAnsiTheme="minorHAnsi" w:cstheme="minorHAnsi"/>
          <w:b w:val="0"/>
          <w:sz w:val="20"/>
          <w:lang w:val="cs-CZ"/>
        </w:rPr>
        <w:t xml:space="preserve">poskytování Služeb nebo v jakémkoli jiném okamžiku </w:t>
      </w:r>
      <w:r w:rsidR="00AB299F" w:rsidRPr="002D74AC">
        <w:rPr>
          <w:rFonts w:asciiTheme="minorHAnsi" w:hAnsiTheme="minorHAnsi" w:cstheme="minorHAnsi"/>
          <w:b w:val="0"/>
          <w:sz w:val="20"/>
          <w:lang w:val="cs-CZ"/>
        </w:rPr>
        <w:t xml:space="preserve">na základě </w:t>
      </w:r>
      <w:r w:rsidR="001A5709" w:rsidRPr="002D74AC">
        <w:rPr>
          <w:rFonts w:asciiTheme="minorHAnsi" w:hAnsiTheme="minorHAnsi" w:cstheme="minorHAnsi"/>
          <w:b w:val="0"/>
          <w:sz w:val="20"/>
          <w:lang w:val="cs-CZ"/>
        </w:rPr>
        <w:t>požadavku Deloitte</w:t>
      </w:r>
      <w:r w:rsidRPr="002D74AC">
        <w:rPr>
          <w:rFonts w:asciiTheme="minorHAnsi" w:hAnsiTheme="minorHAnsi" w:cstheme="minorHAnsi"/>
          <w:b w:val="0"/>
          <w:sz w:val="20"/>
          <w:lang w:val="cs-CZ"/>
        </w:rPr>
        <w:t xml:space="preserve"> Subdodavatel </w:t>
      </w:r>
      <w:r w:rsidR="00A16984" w:rsidRPr="002D74AC">
        <w:rPr>
          <w:rFonts w:asciiTheme="minorHAnsi" w:hAnsiTheme="minorHAnsi" w:cstheme="minorHAnsi"/>
          <w:b w:val="0"/>
          <w:sz w:val="20"/>
          <w:lang w:val="cs-CZ"/>
        </w:rPr>
        <w:t>bez zbytečného odkladu</w:t>
      </w:r>
      <w:r w:rsidR="00AB299F" w:rsidRPr="002D74AC">
        <w:rPr>
          <w:rFonts w:asciiTheme="minorHAnsi" w:hAnsiTheme="minorHAnsi" w:cstheme="minorHAnsi"/>
          <w:b w:val="0"/>
          <w:sz w:val="20"/>
          <w:lang w:val="cs-CZ"/>
        </w:rPr>
        <w:t xml:space="preserve"> </w:t>
      </w:r>
      <w:r w:rsidR="001A5709" w:rsidRPr="002D74AC">
        <w:rPr>
          <w:rFonts w:asciiTheme="minorHAnsi" w:hAnsiTheme="minorHAnsi" w:cstheme="minorHAnsi"/>
          <w:b w:val="0"/>
          <w:sz w:val="20"/>
          <w:lang w:val="cs-CZ"/>
        </w:rPr>
        <w:t xml:space="preserve">vrátí </w:t>
      </w:r>
      <w:r w:rsidRPr="002D74AC">
        <w:rPr>
          <w:rFonts w:asciiTheme="minorHAnsi" w:hAnsiTheme="minorHAnsi" w:cstheme="minorHAnsi"/>
          <w:b w:val="0"/>
          <w:sz w:val="20"/>
          <w:lang w:val="cs-CZ"/>
        </w:rPr>
        <w:t>společnosti Deloitte veškerý majetek patřící Deloitte a všechny materiály obsahující nebo tvořící Důvěrné informace nebo Díla, včetně kopií, připravených Subdodavatelem nebo jinou osobou.</w:t>
      </w:r>
    </w:p>
    <w:p w14:paraId="16EBD66E" w14:textId="77777777" w:rsidR="00EA20C9" w:rsidRPr="002D74AC" w:rsidRDefault="00EA20C9">
      <w:pPr>
        <w:jc w:val="both"/>
        <w:rPr>
          <w:rFonts w:asciiTheme="minorHAnsi" w:hAnsiTheme="minorHAnsi" w:cstheme="minorHAnsi"/>
          <w:color w:val="auto"/>
          <w:sz w:val="20"/>
          <w:szCs w:val="20"/>
          <w:lang w:val="cs-CZ"/>
        </w:rPr>
      </w:pPr>
    </w:p>
    <w:p w14:paraId="462B4A64" w14:textId="77777777" w:rsidR="006A702C" w:rsidRPr="002D74AC" w:rsidRDefault="00767574">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1</w:t>
      </w:r>
      <w:r w:rsidR="00EC2226" w:rsidRPr="002D74AC">
        <w:rPr>
          <w:rFonts w:asciiTheme="minorHAnsi" w:hAnsiTheme="minorHAnsi" w:cstheme="minorHAnsi"/>
          <w:b/>
          <w:bCs/>
          <w:color w:val="auto"/>
          <w:sz w:val="20"/>
          <w:szCs w:val="20"/>
          <w:lang w:val="cs-CZ"/>
        </w:rPr>
        <w:t>2</w:t>
      </w:r>
      <w:r w:rsidR="006A702C" w:rsidRPr="002D74AC">
        <w:rPr>
          <w:rFonts w:asciiTheme="minorHAnsi" w:hAnsiTheme="minorHAnsi" w:cstheme="minorHAnsi"/>
          <w:b/>
          <w:bCs/>
          <w:color w:val="auto"/>
          <w:sz w:val="20"/>
          <w:szCs w:val="20"/>
          <w:lang w:val="cs-CZ"/>
        </w:rPr>
        <w:t>.</w:t>
      </w:r>
      <w:r w:rsidR="006A702C" w:rsidRPr="002D74AC">
        <w:rPr>
          <w:rFonts w:asciiTheme="minorHAnsi" w:hAnsiTheme="minorHAnsi" w:cstheme="minorHAnsi"/>
          <w:b/>
          <w:bCs/>
          <w:color w:val="auto"/>
          <w:sz w:val="20"/>
          <w:szCs w:val="20"/>
          <w:lang w:val="cs-CZ"/>
        </w:rPr>
        <w:tab/>
        <w:t>PUBLICIT</w:t>
      </w:r>
      <w:r w:rsidR="009B686F" w:rsidRPr="002D74AC">
        <w:rPr>
          <w:rFonts w:asciiTheme="minorHAnsi" w:hAnsiTheme="minorHAnsi" w:cstheme="minorHAnsi"/>
          <w:b/>
          <w:bCs/>
          <w:color w:val="auto"/>
          <w:sz w:val="20"/>
          <w:szCs w:val="20"/>
          <w:lang w:val="cs-CZ"/>
        </w:rPr>
        <w:t>A</w:t>
      </w:r>
    </w:p>
    <w:p w14:paraId="05D1BEFD" w14:textId="77777777" w:rsidR="006A702C" w:rsidRPr="002D74AC" w:rsidRDefault="006A702C">
      <w:pPr>
        <w:ind w:left="284"/>
        <w:jc w:val="both"/>
        <w:rPr>
          <w:rFonts w:asciiTheme="minorHAnsi" w:hAnsiTheme="minorHAnsi" w:cstheme="minorHAnsi"/>
          <w:color w:val="auto"/>
          <w:sz w:val="20"/>
          <w:szCs w:val="20"/>
          <w:lang w:val="cs-CZ"/>
        </w:rPr>
      </w:pPr>
    </w:p>
    <w:p w14:paraId="5A98AF86" w14:textId="47C37145" w:rsidR="001A5709" w:rsidRPr="002D74AC" w:rsidRDefault="001A5709" w:rsidP="001A570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Bez předchozího písemného souhlasu Deloitte Subdodavatel nesmí (bez ohledu na </w:t>
      </w:r>
      <w:proofErr w:type="spellStart"/>
      <w:r w:rsidRPr="002D74AC">
        <w:rPr>
          <w:rFonts w:asciiTheme="minorHAnsi" w:hAnsiTheme="minorHAnsi" w:cstheme="minorHAnsi"/>
          <w:color w:val="auto"/>
          <w:sz w:val="20"/>
          <w:szCs w:val="20"/>
          <w:lang w:val="cs-CZ"/>
        </w:rPr>
        <w:t>na</w:t>
      </w:r>
      <w:proofErr w:type="spellEnd"/>
      <w:r w:rsidRPr="002D74AC">
        <w:rPr>
          <w:rFonts w:asciiTheme="minorHAnsi" w:hAnsiTheme="minorHAnsi" w:cstheme="minorHAnsi"/>
          <w:color w:val="auto"/>
          <w:sz w:val="20"/>
          <w:szCs w:val="20"/>
          <w:lang w:val="cs-CZ"/>
        </w:rPr>
        <w:t xml:space="preserve"> ukončení této Smlouvy) žádným způsobem propagovat, zveřejňovat nebo vydat k publikaci jakékoli vyjádření, v němž je zmíněno jméno Deloitte nebo skutečnost, že Subdodavatel poskytuje nebo poskytoval Služby Deloitte nebo se k takovému poskytování smluvně zavázal. </w:t>
      </w:r>
    </w:p>
    <w:p w14:paraId="7C0BF15E" w14:textId="33C45A8D" w:rsidR="00EA20C9" w:rsidRPr="002D74AC" w:rsidRDefault="00EA20C9" w:rsidP="004403D4">
      <w:pPr>
        <w:pStyle w:val="Zkladntextodsazen"/>
        <w:ind w:left="0" w:firstLine="0"/>
        <w:jc w:val="both"/>
        <w:rPr>
          <w:rFonts w:asciiTheme="minorHAnsi" w:hAnsiTheme="minorHAnsi" w:cstheme="minorHAnsi"/>
          <w:sz w:val="20"/>
          <w:lang w:val="cs-CZ"/>
        </w:rPr>
      </w:pPr>
    </w:p>
    <w:p w14:paraId="46B8EEE4" w14:textId="77777777" w:rsidR="006A702C" w:rsidRPr="002D74AC" w:rsidRDefault="00767574">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1</w:t>
      </w:r>
      <w:r w:rsidR="00EC2226" w:rsidRPr="002D74AC">
        <w:rPr>
          <w:rFonts w:asciiTheme="minorHAnsi" w:hAnsiTheme="minorHAnsi" w:cstheme="minorHAnsi"/>
          <w:b/>
          <w:bCs/>
          <w:color w:val="auto"/>
          <w:sz w:val="20"/>
          <w:szCs w:val="20"/>
          <w:lang w:val="cs-CZ"/>
        </w:rPr>
        <w:t>3</w:t>
      </w:r>
      <w:r w:rsidR="006A702C" w:rsidRPr="002D74AC">
        <w:rPr>
          <w:rFonts w:asciiTheme="minorHAnsi" w:hAnsiTheme="minorHAnsi" w:cstheme="minorHAnsi"/>
          <w:b/>
          <w:bCs/>
          <w:color w:val="auto"/>
          <w:sz w:val="20"/>
          <w:szCs w:val="20"/>
          <w:lang w:val="cs-CZ"/>
        </w:rPr>
        <w:t>.</w:t>
      </w:r>
      <w:r w:rsidR="006A702C" w:rsidRPr="002D74AC">
        <w:rPr>
          <w:rFonts w:asciiTheme="minorHAnsi" w:hAnsiTheme="minorHAnsi" w:cstheme="minorHAnsi"/>
          <w:b/>
          <w:bCs/>
          <w:color w:val="auto"/>
          <w:sz w:val="20"/>
          <w:szCs w:val="20"/>
          <w:lang w:val="cs-CZ"/>
        </w:rPr>
        <w:tab/>
      </w:r>
      <w:r w:rsidR="009B686F" w:rsidRPr="002D74AC">
        <w:rPr>
          <w:rFonts w:asciiTheme="minorHAnsi" w:hAnsiTheme="minorHAnsi" w:cstheme="minorHAnsi"/>
          <w:b/>
          <w:bCs/>
          <w:color w:val="auto"/>
          <w:sz w:val="20"/>
          <w:szCs w:val="20"/>
          <w:lang w:val="cs-CZ"/>
        </w:rPr>
        <w:t xml:space="preserve">DODRŽOVÁNÍ ZÁKONŮ </w:t>
      </w:r>
    </w:p>
    <w:p w14:paraId="3FB18562" w14:textId="77777777" w:rsidR="006A702C" w:rsidRPr="002D74AC" w:rsidRDefault="006A702C">
      <w:pPr>
        <w:ind w:left="284"/>
        <w:jc w:val="both"/>
        <w:rPr>
          <w:rFonts w:asciiTheme="minorHAnsi" w:hAnsiTheme="minorHAnsi" w:cstheme="minorHAnsi"/>
          <w:color w:val="auto"/>
          <w:sz w:val="20"/>
          <w:szCs w:val="20"/>
          <w:lang w:val="cs-CZ"/>
        </w:rPr>
      </w:pPr>
    </w:p>
    <w:p w14:paraId="1856D14D" w14:textId="77777777" w:rsidR="000A2609" w:rsidRPr="002D74AC" w:rsidRDefault="000A2609" w:rsidP="004E5571">
      <w:pPr>
        <w:pStyle w:val="Odstavecseseznamem"/>
        <w:keepNext/>
        <w:numPr>
          <w:ilvl w:val="0"/>
          <w:numId w:val="27"/>
        </w:numPr>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Subdodavatel </w:t>
      </w:r>
      <w:r w:rsidR="001A5709" w:rsidRPr="002D74AC">
        <w:rPr>
          <w:rFonts w:asciiTheme="minorHAnsi" w:hAnsiTheme="minorHAnsi" w:cstheme="minorHAnsi"/>
          <w:color w:val="auto"/>
          <w:sz w:val="20"/>
          <w:szCs w:val="20"/>
          <w:lang w:val="cs-CZ"/>
        </w:rPr>
        <w:t>je povinen</w:t>
      </w:r>
      <w:r w:rsidRPr="002D74AC">
        <w:rPr>
          <w:rFonts w:asciiTheme="minorHAnsi" w:hAnsiTheme="minorHAnsi" w:cstheme="minorHAnsi"/>
          <w:color w:val="auto"/>
          <w:sz w:val="20"/>
          <w:szCs w:val="20"/>
          <w:lang w:val="cs-CZ"/>
        </w:rPr>
        <w:t xml:space="preserve"> na vlastní náklady dodržovat veškeré právní předpisy, pravidla a nařízení a převzít veškeré závazky a povinnosti, které tyto předpisy, pravidla a nařízení nařizují s ohledem na plnění ze strany Subdodavatele na základě této Smlouvy. </w:t>
      </w:r>
    </w:p>
    <w:p w14:paraId="55A84280" w14:textId="77777777" w:rsidR="00CC6C43" w:rsidRPr="002D74AC" w:rsidRDefault="00CC6C43" w:rsidP="000C279E">
      <w:pPr>
        <w:keepNext/>
        <w:jc w:val="both"/>
        <w:rPr>
          <w:rFonts w:asciiTheme="minorHAnsi" w:hAnsiTheme="minorHAnsi" w:cstheme="minorHAnsi"/>
          <w:sz w:val="20"/>
          <w:szCs w:val="20"/>
          <w:lang w:val="cs-CZ"/>
        </w:rPr>
      </w:pPr>
    </w:p>
    <w:p w14:paraId="330C05F0" w14:textId="1190CACF" w:rsidR="00461805" w:rsidRPr="002D74AC" w:rsidRDefault="00461805" w:rsidP="004E5571">
      <w:pPr>
        <w:pStyle w:val="Odstavecseseznamem"/>
        <w:keepNext/>
        <w:numPr>
          <w:ilvl w:val="0"/>
          <w:numId w:val="27"/>
        </w:numPr>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Subdodavatel </w:t>
      </w:r>
      <w:r w:rsidR="00F65AC7" w:rsidRPr="002D74AC">
        <w:rPr>
          <w:rFonts w:asciiTheme="minorHAnsi" w:hAnsiTheme="minorHAnsi" w:cstheme="minorHAnsi"/>
          <w:color w:val="auto"/>
          <w:sz w:val="20"/>
          <w:szCs w:val="20"/>
          <w:lang w:val="cs-CZ"/>
        </w:rPr>
        <w:t xml:space="preserve">se zavazuje a zajistí, </w:t>
      </w:r>
      <w:r w:rsidR="00A15FDD" w:rsidRPr="002D74AC">
        <w:rPr>
          <w:rFonts w:asciiTheme="minorHAnsi" w:hAnsiTheme="minorHAnsi" w:cstheme="minorHAnsi"/>
          <w:color w:val="auto"/>
          <w:sz w:val="20"/>
          <w:szCs w:val="20"/>
          <w:lang w:val="cs-CZ"/>
        </w:rPr>
        <w:t xml:space="preserve">aby se </w:t>
      </w:r>
      <w:r w:rsidR="00A16984" w:rsidRPr="002D74AC">
        <w:rPr>
          <w:rFonts w:asciiTheme="minorHAnsi" w:hAnsiTheme="minorHAnsi" w:cstheme="minorHAnsi"/>
          <w:color w:val="auto"/>
          <w:sz w:val="20"/>
          <w:szCs w:val="20"/>
          <w:lang w:val="cs-CZ"/>
        </w:rPr>
        <w:t xml:space="preserve">jakýkoliv </w:t>
      </w:r>
      <w:r w:rsidR="007E0D8C" w:rsidRPr="002D74AC">
        <w:rPr>
          <w:rFonts w:asciiTheme="minorHAnsi" w:hAnsiTheme="minorHAnsi" w:cstheme="minorHAnsi"/>
          <w:color w:val="auto"/>
          <w:sz w:val="20"/>
          <w:szCs w:val="20"/>
          <w:lang w:val="cs-CZ"/>
        </w:rPr>
        <w:t>Další</w:t>
      </w:r>
      <w:r w:rsidR="00F65AC7" w:rsidRPr="002D74AC">
        <w:rPr>
          <w:rFonts w:asciiTheme="minorHAnsi" w:hAnsiTheme="minorHAnsi" w:cstheme="minorHAnsi"/>
          <w:color w:val="auto"/>
          <w:sz w:val="20"/>
          <w:szCs w:val="20"/>
          <w:lang w:val="cs-CZ"/>
        </w:rPr>
        <w:t xml:space="preserve"> Subdodavatel (pokud existuj</w:t>
      </w:r>
      <w:r w:rsidR="00A16984" w:rsidRPr="002D74AC">
        <w:rPr>
          <w:rFonts w:asciiTheme="minorHAnsi" w:hAnsiTheme="minorHAnsi" w:cstheme="minorHAnsi"/>
          <w:color w:val="auto"/>
          <w:sz w:val="20"/>
          <w:szCs w:val="20"/>
          <w:lang w:val="cs-CZ"/>
        </w:rPr>
        <w:t>e</w:t>
      </w:r>
      <w:r w:rsidR="00F65AC7" w:rsidRPr="002D74AC">
        <w:rPr>
          <w:rFonts w:asciiTheme="minorHAnsi" w:hAnsiTheme="minorHAnsi" w:cstheme="minorHAnsi"/>
          <w:color w:val="auto"/>
          <w:sz w:val="20"/>
          <w:szCs w:val="20"/>
          <w:lang w:val="cs-CZ"/>
        </w:rPr>
        <w:t xml:space="preserve">) </w:t>
      </w:r>
      <w:r w:rsidR="00A16984" w:rsidRPr="002D74AC">
        <w:rPr>
          <w:rFonts w:asciiTheme="minorHAnsi" w:hAnsiTheme="minorHAnsi" w:cstheme="minorHAnsi"/>
          <w:color w:val="auto"/>
          <w:sz w:val="20"/>
          <w:szCs w:val="20"/>
          <w:lang w:val="cs-CZ"/>
        </w:rPr>
        <w:t xml:space="preserve"> zavázal</w:t>
      </w:r>
      <w:r w:rsidR="00F65AC7" w:rsidRPr="002D74AC">
        <w:rPr>
          <w:rFonts w:asciiTheme="minorHAnsi" w:hAnsiTheme="minorHAnsi" w:cstheme="minorHAnsi"/>
          <w:color w:val="auto"/>
          <w:sz w:val="20"/>
          <w:szCs w:val="20"/>
          <w:lang w:val="cs-CZ"/>
        </w:rPr>
        <w:t xml:space="preserve"> ve stejném rozsahu, že:</w:t>
      </w:r>
    </w:p>
    <w:p w14:paraId="6F4C8F11" w14:textId="77777777" w:rsidR="00461805" w:rsidRPr="002D74AC" w:rsidRDefault="00461805" w:rsidP="00461805">
      <w:pPr>
        <w:ind w:hanging="540"/>
        <w:jc w:val="both"/>
        <w:rPr>
          <w:rFonts w:asciiTheme="minorHAnsi" w:hAnsiTheme="minorHAnsi" w:cstheme="minorHAnsi"/>
          <w:color w:val="auto"/>
          <w:sz w:val="20"/>
          <w:szCs w:val="20"/>
          <w:lang w:val="cs-CZ"/>
        </w:rPr>
      </w:pPr>
    </w:p>
    <w:p w14:paraId="671978EF" w14:textId="6A70D2F3" w:rsidR="00461805" w:rsidRPr="002D74AC" w:rsidRDefault="004E27ED" w:rsidP="004E5571">
      <w:pPr>
        <w:widowControl w:val="0"/>
        <w:numPr>
          <w:ilvl w:val="0"/>
          <w:numId w:val="25"/>
        </w:numPr>
        <w:tabs>
          <w:tab w:val="clear" w:pos="1140"/>
          <w:tab w:val="num" w:pos="567"/>
        </w:tabs>
        <w:autoSpaceDE w:val="0"/>
        <w:autoSpaceDN w:val="0"/>
        <w:adjustRightInd w:val="0"/>
        <w:ind w:left="567"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bude </w:t>
      </w:r>
      <w:r w:rsidR="00461805" w:rsidRPr="002D74AC">
        <w:rPr>
          <w:rFonts w:asciiTheme="minorHAnsi" w:hAnsiTheme="minorHAnsi" w:cstheme="minorHAnsi"/>
          <w:color w:val="auto"/>
          <w:sz w:val="20"/>
          <w:szCs w:val="20"/>
          <w:lang w:val="cs-CZ"/>
        </w:rPr>
        <w:t>dodržovat na vlastní náklady veškeré platné zákony a právní předpisy proti braní úplatků a proti</w:t>
      </w:r>
      <w:r w:rsidR="007E0D8C" w:rsidRPr="002D74AC">
        <w:rPr>
          <w:rFonts w:asciiTheme="minorHAnsi" w:hAnsiTheme="minorHAnsi" w:cstheme="minorHAnsi"/>
          <w:color w:val="auto"/>
          <w:sz w:val="20"/>
          <w:szCs w:val="20"/>
          <w:lang w:val="cs-CZ"/>
        </w:rPr>
        <w:t xml:space="preserve"> </w:t>
      </w:r>
      <w:r w:rsidR="00461805" w:rsidRPr="002D74AC">
        <w:rPr>
          <w:rFonts w:asciiTheme="minorHAnsi" w:hAnsiTheme="minorHAnsi" w:cstheme="minorHAnsi"/>
          <w:color w:val="auto"/>
          <w:sz w:val="20"/>
          <w:szCs w:val="20"/>
          <w:lang w:val="cs-CZ"/>
        </w:rPr>
        <w:t>korup</w:t>
      </w:r>
      <w:r w:rsidR="007E0D8C" w:rsidRPr="002D74AC">
        <w:rPr>
          <w:rFonts w:asciiTheme="minorHAnsi" w:hAnsiTheme="minorHAnsi" w:cstheme="minorHAnsi"/>
          <w:color w:val="auto"/>
          <w:sz w:val="20"/>
          <w:szCs w:val="20"/>
          <w:lang w:val="cs-CZ"/>
        </w:rPr>
        <w:t xml:space="preserve">ci </w:t>
      </w:r>
      <w:r w:rsidR="00461805" w:rsidRPr="002D74AC">
        <w:rPr>
          <w:rFonts w:asciiTheme="minorHAnsi" w:hAnsiTheme="minorHAnsi" w:cstheme="minorHAnsi"/>
          <w:color w:val="auto"/>
          <w:sz w:val="20"/>
          <w:szCs w:val="20"/>
          <w:lang w:val="cs-CZ"/>
        </w:rPr>
        <w:t>(„</w:t>
      </w:r>
      <w:r w:rsidR="00461805" w:rsidRPr="002D74AC">
        <w:rPr>
          <w:rFonts w:asciiTheme="minorHAnsi" w:hAnsiTheme="minorHAnsi" w:cstheme="minorHAnsi"/>
          <w:b/>
          <w:color w:val="auto"/>
          <w:sz w:val="20"/>
          <w:szCs w:val="20"/>
          <w:lang w:val="cs-CZ"/>
        </w:rPr>
        <w:t>Protikorupční zákony</w:t>
      </w:r>
      <w:r w:rsidR="00461805" w:rsidRPr="002D74AC">
        <w:rPr>
          <w:rFonts w:asciiTheme="minorHAnsi" w:hAnsiTheme="minorHAnsi" w:cstheme="minorHAnsi"/>
          <w:color w:val="auto"/>
          <w:sz w:val="20"/>
          <w:szCs w:val="20"/>
          <w:lang w:val="cs-CZ"/>
        </w:rPr>
        <w:t>”) a mezinárodní legislativu</w:t>
      </w:r>
      <w:r w:rsidR="0005013F">
        <w:rPr>
          <w:rFonts w:asciiTheme="minorHAnsi" w:hAnsiTheme="minorHAnsi" w:cstheme="minorHAnsi"/>
          <w:color w:val="auto"/>
          <w:sz w:val="20"/>
          <w:szCs w:val="20"/>
          <w:lang w:val="cs-CZ"/>
        </w:rPr>
        <w:t xml:space="preserve"> platnou v České republice</w:t>
      </w:r>
      <w:r w:rsidR="00461805" w:rsidRPr="002D74AC">
        <w:rPr>
          <w:rFonts w:asciiTheme="minorHAnsi" w:hAnsiTheme="minorHAnsi" w:cstheme="minorHAnsi"/>
          <w:color w:val="auto"/>
          <w:sz w:val="20"/>
          <w:szCs w:val="20"/>
          <w:lang w:val="cs-CZ"/>
        </w:rPr>
        <w:t xml:space="preserve"> </w:t>
      </w:r>
    </w:p>
    <w:p w14:paraId="5741491B" w14:textId="0E3FD8D5" w:rsidR="00461805" w:rsidRPr="002D74AC" w:rsidRDefault="007E0D8C" w:rsidP="004E5571">
      <w:pPr>
        <w:widowControl w:val="0"/>
        <w:numPr>
          <w:ilvl w:val="0"/>
          <w:numId w:val="25"/>
        </w:numPr>
        <w:tabs>
          <w:tab w:val="num" w:pos="540"/>
        </w:tabs>
        <w:autoSpaceDE w:val="0"/>
        <w:autoSpaceDN w:val="0"/>
        <w:adjustRightInd w:val="0"/>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neučiní</w:t>
      </w:r>
      <w:r w:rsidR="00461805"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nic</w:t>
      </w:r>
      <w:r w:rsidR="00461805"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co by</w:t>
      </w:r>
      <w:r w:rsidR="00461805" w:rsidRPr="002D74AC">
        <w:rPr>
          <w:rFonts w:asciiTheme="minorHAnsi" w:hAnsiTheme="minorHAnsi" w:cstheme="minorHAnsi"/>
          <w:color w:val="auto"/>
          <w:sz w:val="20"/>
          <w:szCs w:val="20"/>
          <w:lang w:val="cs-CZ"/>
        </w:rPr>
        <w:t xml:space="preserve"> způsob</w:t>
      </w:r>
      <w:r w:rsidRPr="002D74AC">
        <w:rPr>
          <w:rFonts w:asciiTheme="minorHAnsi" w:hAnsiTheme="minorHAnsi" w:cstheme="minorHAnsi"/>
          <w:color w:val="auto"/>
          <w:sz w:val="20"/>
          <w:szCs w:val="20"/>
          <w:lang w:val="cs-CZ"/>
        </w:rPr>
        <w:t>ilo</w:t>
      </w:r>
      <w:r w:rsidR="00461805" w:rsidRPr="002D74AC">
        <w:rPr>
          <w:rFonts w:asciiTheme="minorHAnsi" w:hAnsiTheme="minorHAnsi" w:cstheme="minorHAnsi"/>
          <w:color w:val="auto"/>
          <w:sz w:val="20"/>
          <w:szCs w:val="20"/>
          <w:lang w:val="cs-CZ"/>
        </w:rPr>
        <w:t xml:space="preserve"> </w:t>
      </w:r>
      <w:r w:rsidR="00B617C1" w:rsidRPr="002D74AC">
        <w:rPr>
          <w:rFonts w:asciiTheme="minorHAnsi" w:hAnsiTheme="minorHAnsi" w:cstheme="minorHAnsi"/>
          <w:color w:val="auto"/>
          <w:sz w:val="20"/>
          <w:szCs w:val="20"/>
          <w:lang w:val="cs-CZ"/>
        </w:rPr>
        <w:t xml:space="preserve">porušení </w:t>
      </w:r>
      <w:r w:rsidR="00461805" w:rsidRPr="002D74AC">
        <w:rPr>
          <w:rFonts w:asciiTheme="minorHAnsi" w:hAnsiTheme="minorHAnsi" w:cstheme="minorHAnsi"/>
          <w:color w:val="auto"/>
          <w:sz w:val="20"/>
          <w:szCs w:val="20"/>
          <w:lang w:val="cs-CZ"/>
        </w:rPr>
        <w:t xml:space="preserve">nebo </w:t>
      </w:r>
      <w:r w:rsidRPr="002D74AC">
        <w:rPr>
          <w:rFonts w:asciiTheme="minorHAnsi" w:hAnsiTheme="minorHAnsi" w:cstheme="minorHAnsi"/>
          <w:color w:val="auto"/>
          <w:sz w:val="20"/>
          <w:szCs w:val="20"/>
          <w:lang w:val="cs-CZ"/>
        </w:rPr>
        <w:t>vedlo</w:t>
      </w:r>
      <w:r w:rsidR="00461805" w:rsidRPr="002D74AC">
        <w:rPr>
          <w:rFonts w:asciiTheme="minorHAnsi" w:hAnsiTheme="minorHAnsi" w:cstheme="minorHAnsi"/>
          <w:color w:val="auto"/>
          <w:sz w:val="20"/>
          <w:szCs w:val="20"/>
          <w:lang w:val="cs-CZ"/>
        </w:rPr>
        <w:t xml:space="preserve"> k</w:t>
      </w:r>
      <w:r w:rsidRPr="002D74AC">
        <w:rPr>
          <w:rFonts w:asciiTheme="minorHAnsi" w:hAnsiTheme="minorHAnsi" w:cstheme="minorHAnsi"/>
          <w:color w:val="auto"/>
          <w:sz w:val="20"/>
          <w:szCs w:val="20"/>
          <w:lang w:val="cs-CZ"/>
        </w:rPr>
        <w:t> porušení</w:t>
      </w:r>
      <w:r w:rsidR="00461805" w:rsidRPr="002D74AC">
        <w:rPr>
          <w:rFonts w:asciiTheme="minorHAnsi" w:hAnsiTheme="minorHAnsi" w:cstheme="minorHAnsi"/>
          <w:color w:val="auto"/>
          <w:sz w:val="20"/>
          <w:szCs w:val="20"/>
          <w:lang w:val="cs-CZ"/>
        </w:rPr>
        <w:t xml:space="preserve"> jakýkoliv Protikorupčních zákonů</w:t>
      </w:r>
      <w:r w:rsidRPr="002D74AC">
        <w:rPr>
          <w:rFonts w:asciiTheme="minorHAnsi" w:hAnsiTheme="minorHAnsi" w:cstheme="minorHAnsi"/>
          <w:color w:val="auto"/>
          <w:sz w:val="20"/>
          <w:szCs w:val="20"/>
          <w:lang w:val="cs-CZ"/>
        </w:rPr>
        <w:t xml:space="preserve"> ze strany Deloitte</w:t>
      </w:r>
      <w:r w:rsidR="00461805" w:rsidRPr="002D74AC">
        <w:rPr>
          <w:rFonts w:asciiTheme="minorHAnsi" w:hAnsiTheme="minorHAnsi" w:cstheme="minorHAnsi"/>
          <w:color w:val="auto"/>
          <w:sz w:val="20"/>
          <w:szCs w:val="20"/>
          <w:lang w:val="cs-CZ"/>
        </w:rPr>
        <w:t>; a</w:t>
      </w:r>
    </w:p>
    <w:p w14:paraId="7E9E7A4E" w14:textId="238E4212" w:rsidR="00461805" w:rsidRPr="002D74AC" w:rsidRDefault="00461805" w:rsidP="004E5571">
      <w:pPr>
        <w:widowControl w:val="0"/>
        <w:numPr>
          <w:ilvl w:val="0"/>
          <w:numId w:val="25"/>
        </w:numPr>
        <w:tabs>
          <w:tab w:val="num" w:pos="540"/>
        </w:tabs>
        <w:autoSpaceDE w:val="0"/>
        <w:autoSpaceDN w:val="0"/>
        <w:adjustRightInd w:val="0"/>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bude společnost Deloitte </w:t>
      </w:r>
      <w:r w:rsidR="004E27ED" w:rsidRPr="002D74AC">
        <w:rPr>
          <w:rFonts w:asciiTheme="minorHAnsi" w:hAnsiTheme="minorHAnsi" w:cstheme="minorHAnsi"/>
          <w:color w:val="auto"/>
          <w:sz w:val="20"/>
          <w:szCs w:val="20"/>
          <w:lang w:val="cs-CZ"/>
        </w:rPr>
        <w:t>bez odkladu</w:t>
      </w:r>
      <w:r w:rsidRPr="002D74AC">
        <w:rPr>
          <w:rFonts w:asciiTheme="minorHAnsi" w:hAnsiTheme="minorHAnsi" w:cstheme="minorHAnsi"/>
          <w:color w:val="auto"/>
          <w:sz w:val="20"/>
          <w:szCs w:val="20"/>
          <w:lang w:val="cs-CZ"/>
        </w:rPr>
        <w:t xml:space="preserve"> informovat o jakékoliv žádosti nebo </w:t>
      </w:r>
      <w:r w:rsidR="008138E5" w:rsidRPr="002D74AC">
        <w:rPr>
          <w:rFonts w:asciiTheme="minorHAnsi" w:hAnsiTheme="minorHAnsi" w:cstheme="minorHAnsi"/>
          <w:color w:val="auto"/>
          <w:sz w:val="20"/>
          <w:szCs w:val="20"/>
          <w:lang w:val="cs-CZ"/>
        </w:rPr>
        <w:t>požadavku</w:t>
      </w:r>
      <w:r w:rsidRPr="002D74AC">
        <w:rPr>
          <w:rFonts w:asciiTheme="minorHAnsi" w:hAnsiTheme="minorHAnsi" w:cstheme="minorHAnsi"/>
          <w:color w:val="auto"/>
          <w:sz w:val="20"/>
          <w:szCs w:val="20"/>
          <w:lang w:val="cs-CZ"/>
        </w:rPr>
        <w:t xml:space="preserve"> na jakoukoliv </w:t>
      </w:r>
      <w:r w:rsidR="008138E5" w:rsidRPr="002D74AC">
        <w:rPr>
          <w:rFonts w:asciiTheme="minorHAnsi" w:hAnsiTheme="minorHAnsi" w:cstheme="minorHAnsi"/>
          <w:color w:val="auto"/>
          <w:sz w:val="20"/>
          <w:szCs w:val="20"/>
          <w:lang w:val="cs-CZ"/>
        </w:rPr>
        <w:t>neoprávněnou</w:t>
      </w:r>
      <w:r w:rsidRPr="002D74AC">
        <w:rPr>
          <w:rFonts w:asciiTheme="minorHAnsi" w:hAnsiTheme="minorHAnsi" w:cstheme="minorHAnsi"/>
          <w:color w:val="auto"/>
          <w:sz w:val="20"/>
          <w:szCs w:val="20"/>
          <w:lang w:val="cs-CZ"/>
        </w:rPr>
        <w:t xml:space="preserve"> finanční nebo jinou výhodu jakéhokoliv druhu, kterou Subdodavatel obdrž</w:t>
      </w:r>
      <w:r w:rsidR="008138E5" w:rsidRPr="002D74AC">
        <w:rPr>
          <w:rFonts w:asciiTheme="minorHAnsi" w:hAnsiTheme="minorHAnsi" w:cstheme="minorHAnsi"/>
          <w:color w:val="auto"/>
          <w:sz w:val="20"/>
          <w:szCs w:val="20"/>
          <w:lang w:val="cs-CZ"/>
        </w:rPr>
        <w:t>í</w:t>
      </w:r>
      <w:r w:rsidRPr="002D74AC">
        <w:rPr>
          <w:rFonts w:asciiTheme="minorHAnsi" w:hAnsiTheme="minorHAnsi" w:cstheme="minorHAnsi"/>
          <w:color w:val="auto"/>
          <w:sz w:val="20"/>
          <w:szCs w:val="20"/>
          <w:lang w:val="cs-CZ"/>
        </w:rPr>
        <w:t xml:space="preserve"> v souvislosti s plněním této Smlouv</w:t>
      </w:r>
      <w:r w:rsidR="00F065C6" w:rsidRPr="002D74AC">
        <w:rPr>
          <w:rFonts w:asciiTheme="minorHAnsi" w:hAnsiTheme="minorHAnsi" w:cstheme="minorHAnsi"/>
          <w:color w:val="auto"/>
          <w:sz w:val="20"/>
          <w:szCs w:val="20"/>
          <w:lang w:val="cs-CZ"/>
        </w:rPr>
        <w:t>y.</w:t>
      </w:r>
    </w:p>
    <w:p w14:paraId="20C6F8F3" w14:textId="77777777" w:rsidR="00461805" w:rsidRPr="002D74AC" w:rsidRDefault="00461805" w:rsidP="00461805">
      <w:pPr>
        <w:widowControl w:val="0"/>
        <w:autoSpaceDE w:val="0"/>
        <w:autoSpaceDN w:val="0"/>
        <w:adjustRightInd w:val="0"/>
        <w:jc w:val="both"/>
        <w:rPr>
          <w:rFonts w:asciiTheme="minorHAnsi" w:hAnsiTheme="minorHAnsi" w:cstheme="minorHAnsi"/>
          <w:color w:val="auto"/>
          <w:sz w:val="20"/>
          <w:szCs w:val="20"/>
          <w:lang w:val="cs-CZ"/>
        </w:rPr>
      </w:pPr>
    </w:p>
    <w:p w14:paraId="0C494A70" w14:textId="77777777" w:rsidR="00461805" w:rsidRPr="002D74AC" w:rsidRDefault="00461805" w:rsidP="004E5571">
      <w:pPr>
        <w:pStyle w:val="Odstavecseseznamem"/>
        <w:keepNext/>
        <w:numPr>
          <w:ilvl w:val="0"/>
          <w:numId w:val="27"/>
        </w:numPr>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prohlašuje, zaručuje a zavazuje se, že:</w:t>
      </w:r>
    </w:p>
    <w:p w14:paraId="72B95B17" w14:textId="77777777" w:rsidR="00461805" w:rsidRPr="002D74AC" w:rsidRDefault="00461805" w:rsidP="00461805">
      <w:pPr>
        <w:ind w:hanging="540"/>
        <w:jc w:val="both"/>
        <w:rPr>
          <w:rFonts w:asciiTheme="minorHAnsi" w:hAnsiTheme="minorHAnsi" w:cstheme="minorHAnsi"/>
          <w:color w:val="auto"/>
          <w:sz w:val="20"/>
          <w:szCs w:val="20"/>
          <w:lang w:val="cs-CZ"/>
        </w:rPr>
      </w:pPr>
    </w:p>
    <w:p w14:paraId="4BE8683B" w14:textId="77777777" w:rsidR="00461805" w:rsidRDefault="00461805" w:rsidP="004E5571">
      <w:pPr>
        <w:widowControl w:val="0"/>
        <w:numPr>
          <w:ilvl w:val="0"/>
          <w:numId w:val="26"/>
        </w:numPr>
        <w:tabs>
          <w:tab w:val="clear" w:pos="2160"/>
          <w:tab w:val="num" w:pos="567"/>
        </w:tabs>
        <w:autoSpaceDE w:val="0"/>
        <w:autoSpaceDN w:val="0"/>
        <w:adjustRightInd w:val="0"/>
        <w:ind w:left="567" w:hanging="283"/>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veškeré informace a dokumenty, které byly poskytnuty společnosti Deloitte</w:t>
      </w:r>
      <w:r w:rsidR="004979EB"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 xml:space="preserve"> jsou úplné a přesné a nejsou nijak zavádějící;</w:t>
      </w:r>
    </w:p>
    <w:p w14:paraId="7321F585" w14:textId="50D43605" w:rsidR="00817DCD" w:rsidRPr="002D74AC" w:rsidRDefault="00817DCD" w:rsidP="004E5571">
      <w:pPr>
        <w:widowControl w:val="0"/>
        <w:numPr>
          <w:ilvl w:val="0"/>
          <w:numId w:val="26"/>
        </w:numPr>
        <w:tabs>
          <w:tab w:val="clear" w:pos="2160"/>
          <w:tab w:val="num" w:pos="567"/>
        </w:tabs>
        <w:autoSpaceDE w:val="0"/>
        <w:autoSpaceDN w:val="0"/>
        <w:adjustRightInd w:val="0"/>
        <w:ind w:left="567" w:hanging="283"/>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proti Subdodavateli </w:t>
      </w:r>
      <w:r>
        <w:rPr>
          <w:rFonts w:asciiTheme="minorHAnsi" w:hAnsiTheme="minorHAnsi" w:cstheme="minorHAnsi"/>
          <w:color w:val="auto"/>
          <w:sz w:val="20"/>
          <w:szCs w:val="20"/>
          <w:lang w:val="cs-CZ"/>
        </w:rPr>
        <w:t xml:space="preserve">a dle jeho vědomí </w:t>
      </w:r>
      <w:r w:rsidRPr="002D74AC">
        <w:rPr>
          <w:rFonts w:asciiTheme="minorHAnsi" w:hAnsiTheme="minorHAnsi" w:cstheme="minorHAnsi"/>
          <w:color w:val="auto"/>
          <w:sz w:val="20"/>
          <w:szCs w:val="20"/>
          <w:lang w:val="cs-CZ"/>
        </w:rPr>
        <w:t>ani žádnému z jeho zástupců, ředitelů, osob ve vedoucí funkci nebo zaměstnanců ne</w:t>
      </w:r>
      <w:r>
        <w:rPr>
          <w:rFonts w:asciiTheme="minorHAnsi" w:hAnsiTheme="minorHAnsi" w:cstheme="minorHAnsi"/>
          <w:color w:val="auto"/>
          <w:sz w:val="20"/>
          <w:szCs w:val="20"/>
          <w:lang w:val="cs-CZ"/>
        </w:rPr>
        <w:t>ní</w:t>
      </w:r>
      <w:r w:rsidRPr="002D74AC">
        <w:rPr>
          <w:rFonts w:asciiTheme="minorHAnsi" w:hAnsiTheme="minorHAnsi" w:cstheme="minorHAnsi"/>
          <w:color w:val="auto"/>
          <w:sz w:val="20"/>
          <w:szCs w:val="20"/>
          <w:lang w:val="cs-CZ"/>
        </w:rPr>
        <w:t xml:space="preserve"> vedeno trestní stíhání ani žádná z těchto osob nebyla pravomocně odsouzena za žádný trestný čin a</w:t>
      </w:r>
    </w:p>
    <w:p w14:paraId="72C4E9FA" w14:textId="402FB3E7" w:rsidR="00461805" w:rsidRPr="002D74AC" w:rsidRDefault="00461805" w:rsidP="004E5571">
      <w:pPr>
        <w:widowControl w:val="0"/>
        <w:numPr>
          <w:ilvl w:val="0"/>
          <w:numId w:val="26"/>
        </w:numPr>
        <w:tabs>
          <w:tab w:val="clear" w:pos="2160"/>
          <w:tab w:val="num" w:pos="540"/>
          <w:tab w:val="num" w:pos="567"/>
        </w:tabs>
        <w:autoSpaceDE w:val="0"/>
        <w:autoSpaceDN w:val="0"/>
        <w:adjustRightInd w:val="0"/>
        <w:ind w:left="567" w:hanging="283"/>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žádný </w:t>
      </w:r>
      <w:r w:rsidR="008F7E0D" w:rsidRPr="002D74AC">
        <w:rPr>
          <w:rFonts w:asciiTheme="minorHAnsi" w:hAnsiTheme="minorHAnsi" w:cstheme="minorHAnsi"/>
          <w:color w:val="auto"/>
          <w:sz w:val="20"/>
          <w:szCs w:val="20"/>
          <w:lang w:val="cs-CZ"/>
        </w:rPr>
        <w:t>veřejný činitel</w:t>
      </w:r>
      <w:r w:rsidRPr="002D74AC">
        <w:rPr>
          <w:rFonts w:asciiTheme="minorHAnsi" w:hAnsiTheme="minorHAnsi" w:cstheme="minorHAnsi"/>
          <w:color w:val="auto"/>
          <w:sz w:val="20"/>
          <w:szCs w:val="20"/>
          <w:lang w:val="cs-CZ"/>
        </w:rPr>
        <w:t xml:space="preserve"> nevlastní v</w:t>
      </w:r>
      <w:r w:rsidR="008F7E0D" w:rsidRPr="002D74AC">
        <w:rPr>
          <w:rFonts w:asciiTheme="minorHAnsi" w:hAnsiTheme="minorHAnsi" w:cstheme="minorHAnsi"/>
          <w:color w:val="auto"/>
          <w:sz w:val="20"/>
          <w:szCs w:val="20"/>
          <w:lang w:val="cs-CZ"/>
        </w:rPr>
        <w:t>e společnosti</w:t>
      </w:r>
      <w:r w:rsidRPr="002D74AC">
        <w:rPr>
          <w:rFonts w:asciiTheme="minorHAnsi" w:hAnsiTheme="minorHAnsi" w:cstheme="minorHAnsi"/>
          <w:color w:val="auto"/>
          <w:sz w:val="20"/>
          <w:szCs w:val="20"/>
          <w:lang w:val="cs-CZ"/>
        </w:rPr>
        <w:t xml:space="preserve"> Subdodavatel</w:t>
      </w:r>
      <w:r w:rsidR="008F7E0D" w:rsidRPr="002D74AC">
        <w:rPr>
          <w:rFonts w:asciiTheme="minorHAnsi" w:hAnsiTheme="minorHAnsi" w:cstheme="minorHAnsi"/>
          <w:color w:val="auto"/>
          <w:sz w:val="20"/>
          <w:szCs w:val="20"/>
          <w:lang w:val="cs-CZ"/>
        </w:rPr>
        <w:t>e</w:t>
      </w:r>
      <w:r w:rsidRPr="002D74AC">
        <w:rPr>
          <w:rFonts w:asciiTheme="minorHAnsi" w:hAnsiTheme="minorHAnsi" w:cstheme="minorHAnsi"/>
          <w:color w:val="auto"/>
          <w:sz w:val="20"/>
          <w:szCs w:val="20"/>
          <w:lang w:val="cs-CZ"/>
        </w:rPr>
        <w:t xml:space="preserve"> ani </w:t>
      </w:r>
      <w:r w:rsidR="008F7E0D" w:rsidRPr="002D74AC">
        <w:rPr>
          <w:rFonts w:asciiTheme="minorHAnsi" w:hAnsiTheme="minorHAnsi" w:cstheme="minorHAnsi"/>
          <w:color w:val="auto"/>
          <w:sz w:val="20"/>
          <w:szCs w:val="20"/>
          <w:lang w:val="cs-CZ"/>
        </w:rPr>
        <w:t xml:space="preserve">v </w:t>
      </w:r>
      <w:r w:rsidRPr="002D74AC">
        <w:rPr>
          <w:rFonts w:asciiTheme="minorHAnsi" w:hAnsiTheme="minorHAnsi" w:cstheme="minorHAnsi"/>
          <w:color w:val="auto"/>
          <w:sz w:val="20"/>
          <w:szCs w:val="20"/>
          <w:lang w:val="cs-CZ"/>
        </w:rPr>
        <w:t xml:space="preserve">jakékoliv </w:t>
      </w:r>
      <w:r w:rsidR="008F7E0D" w:rsidRPr="002D74AC">
        <w:rPr>
          <w:rFonts w:asciiTheme="minorHAnsi" w:hAnsiTheme="minorHAnsi" w:cstheme="minorHAnsi"/>
          <w:color w:val="auto"/>
          <w:sz w:val="20"/>
          <w:szCs w:val="20"/>
          <w:lang w:val="cs-CZ"/>
        </w:rPr>
        <w:t>s ní</w:t>
      </w:r>
      <w:r w:rsidRPr="002D74AC">
        <w:rPr>
          <w:rFonts w:asciiTheme="minorHAnsi" w:hAnsiTheme="minorHAnsi" w:cstheme="minorHAnsi"/>
          <w:color w:val="auto"/>
          <w:sz w:val="20"/>
          <w:szCs w:val="20"/>
          <w:lang w:val="cs-CZ"/>
        </w:rPr>
        <w:t xml:space="preserve"> spřízněné osobě žádný </w:t>
      </w:r>
      <w:r w:rsidR="0071551C" w:rsidRPr="002D74AC">
        <w:rPr>
          <w:rFonts w:asciiTheme="minorHAnsi" w:hAnsiTheme="minorHAnsi" w:cstheme="minorHAnsi"/>
          <w:color w:val="auto"/>
          <w:sz w:val="20"/>
          <w:szCs w:val="20"/>
          <w:lang w:val="cs-CZ"/>
        </w:rPr>
        <w:t xml:space="preserve">přímý nebo nepřímý podíl a žádný </w:t>
      </w:r>
      <w:r w:rsidR="008F7E0D" w:rsidRPr="002D74AC">
        <w:rPr>
          <w:rFonts w:asciiTheme="minorHAnsi" w:hAnsiTheme="minorHAnsi" w:cstheme="minorHAnsi"/>
          <w:color w:val="auto"/>
          <w:sz w:val="20"/>
          <w:szCs w:val="20"/>
          <w:lang w:val="cs-CZ"/>
        </w:rPr>
        <w:t>veřejný činitel</w:t>
      </w:r>
      <w:r w:rsidR="0071551C" w:rsidRPr="002D74AC">
        <w:rPr>
          <w:rFonts w:asciiTheme="minorHAnsi" w:hAnsiTheme="minorHAnsi" w:cstheme="minorHAnsi"/>
          <w:color w:val="auto"/>
          <w:sz w:val="20"/>
          <w:szCs w:val="20"/>
          <w:lang w:val="cs-CZ"/>
        </w:rPr>
        <w:t xml:space="preserve"> nemá </w:t>
      </w:r>
      <w:r w:rsidRPr="002D74AC">
        <w:rPr>
          <w:rFonts w:asciiTheme="minorHAnsi" w:hAnsiTheme="minorHAnsi" w:cstheme="minorHAnsi"/>
          <w:color w:val="auto"/>
          <w:sz w:val="20"/>
          <w:szCs w:val="20"/>
          <w:lang w:val="cs-CZ"/>
        </w:rPr>
        <w:t>právní</w:t>
      </w:r>
      <w:r w:rsidR="00B617C1"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zájem na jakékoliv platbě učiněné společností Deloitte podle této Smlouvy</w:t>
      </w:r>
      <w:r w:rsidR="0071551C" w:rsidRPr="002D74AC">
        <w:rPr>
          <w:rFonts w:asciiTheme="minorHAnsi" w:hAnsiTheme="minorHAnsi" w:cstheme="minorHAnsi"/>
          <w:color w:val="auto"/>
          <w:sz w:val="20"/>
          <w:szCs w:val="20"/>
          <w:lang w:val="cs-CZ"/>
        </w:rPr>
        <w:t xml:space="preserve"> </w:t>
      </w:r>
      <w:r w:rsidR="00B617C1" w:rsidRPr="002D74AC">
        <w:rPr>
          <w:rFonts w:asciiTheme="minorHAnsi" w:hAnsiTheme="minorHAnsi" w:cstheme="minorHAnsi"/>
          <w:color w:val="auto"/>
          <w:sz w:val="20"/>
          <w:szCs w:val="20"/>
          <w:lang w:val="cs-CZ"/>
        </w:rPr>
        <w:t xml:space="preserve">ani z </w:t>
      </w:r>
      <w:r w:rsidR="00E0492D" w:rsidRPr="002D74AC">
        <w:rPr>
          <w:rFonts w:asciiTheme="minorHAnsi" w:hAnsiTheme="minorHAnsi" w:cstheme="minorHAnsi"/>
          <w:color w:val="auto"/>
          <w:sz w:val="20"/>
          <w:szCs w:val="20"/>
          <w:lang w:val="cs-CZ"/>
        </w:rPr>
        <w:t>takové platby</w:t>
      </w:r>
      <w:r w:rsidR="00B617C1" w:rsidRPr="002D74AC">
        <w:rPr>
          <w:rFonts w:asciiTheme="minorHAnsi" w:hAnsiTheme="minorHAnsi" w:cstheme="minorHAnsi"/>
          <w:color w:val="auto"/>
          <w:sz w:val="20"/>
          <w:szCs w:val="20"/>
          <w:lang w:val="cs-CZ"/>
        </w:rPr>
        <w:t xml:space="preserve"> nemá prospěch</w:t>
      </w:r>
      <w:r w:rsidRPr="002D74AC">
        <w:rPr>
          <w:rFonts w:asciiTheme="minorHAnsi" w:hAnsiTheme="minorHAnsi" w:cstheme="minorHAnsi"/>
          <w:color w:val="auto"/>
          <w:sz w:val="20"/>
          <w:szCs w:val="20"/>
          <w:lang w:val="cs-CZ"/>
        </w:rPr>
        <w:t>. Termín „</w:t>
      </w:r>
      <w:r w:rsidR="008F7E0D" w:rsidRPr="002D74AC">
        <w:rPr>
          <w:rFonts w:asciiTheme="minorHAnsi" w:hAnsiTheme="minorHAnsi" w:cstheme="minorHAnsi"/>
          <w:color w:val="auto"/>
          <w:sz w:val="20"/>
          <w:szCs w:val="20"/>
          <w:lang w:val="cs-CZ"/>
        </w:rPr>
        <w:t>veřejný činitel</w:t>
      </w:r>
      <w:r w:rsidRPr="002D74AC">
        <w:rPr>
          <w:rFonts w:asciiTheme="minorHAnsi" w:hAnsiTheme="minorHAnsi" w:cstheme="minorHAnsi"/>
          <w:color w:val="auto"/>
          <w:sz w:val="20"/>
          <w:szCs w:val="20"/>
          <w:lang w:val="cs-CZ"/>
        </w:rPr>
        <w:t xml:space="preserve">” </w:t>
      </w:r>
      <w:r w:rsidR="008F7E0D" w:rsidRPr="002D74AC">
        <w:rPr>
          <w:rFonts w:asciiTheme="minorHAnsi" w:hAnsiTheme="minorHAnsi" w:cstheme="minorHAnsi"/>
          <w:color w:val="auto"/>
          <w:sz w:val="20"/>
          <w:szCs w:val="20"/>
          <w:lang w:val="cs-CZ"/>
        </w:rPr>
        <w:t>označuje</w:t>
      </w:r>
      <w:r w:rsidRPr="002D74AC">
        <w:rPr>
          <w:rFonts w:asciiTheme="minorHAnsi" w:hAnsiTheme="minorHAnsi" w:cstheme="minorHAnsi"/>
          <w:color w:val="auto"/>
          <w:sz w:val="20"/>
          <w:szCs w:val="20"/>
          <w:lang w:val="cs-CZ"/>
        </w:rPr>
        <w:t xml:space="preserve"> jakéhokoliv pracovníka nebo zaměstnance stát</w:t>
      </w:r>
      <w:r w:rsidR="00D023A4" w:rsidRPr="002D74AC">
        <w:rPr>
          <w:rFonts w:asciiTheme="minorHAnsi" w:hAnsiTheme="minorHAnsi" w:cstheme="minorHAnsi"/>
          <w:color w:val="auto"/>
          <w:sz w:val="20"/>
          <w:szCs w:val="20"/>
          <w:lang w:val="cs-CZ"/>
        </w:rPr>
        <w:t>u, obce</w:t>
      </w:r>
      <w:r w:rsidRPr="002D74AC">
        <w:rPr>
          <w:rFonts w:asciiTheme="minorHAnsi" w:hAnsiTheme="minorHAnsi" w:cstheme="minorHAnsi"/>
          <w:color w:val="auto"/>
          <w:sz w:val="20"/>
          <w:szCs w:val="20"/>
          <w:lang w:val="cs-CZ"/>
        </w:rPr>
        <w:t xml:space="preserve"> nebo </w:t>
      </w:r>
      <w:r w:rsidR="00D023A4" w:rsidRPr="002D74AC">
        <w:rPr>
          <w:rFonts w:asciiTheme="minorHAnsi" w:hAnsiTheme="minorHAnsi" w:cstheme="minorHAnsi"/>
          <w:color w:val="auto"/>
          <w:sz w:val="20"/>
          <w:szCs w:val="20"/>
          <w:lang w:val="cs-CZ"/>
        </w:rPr>
        <w:t>kraje</w:t>
      </w:r>
      <w:r w:rsidRPr="002D74AC">
        <w:rPr>
          <w:rFonts w:asciiTheme="minorHAnsi" w:hAnsiTheme="minorHAnsi" w:cstheme="minorHAnsi"/>
          <w:color w:val="auto"/>
          <w:sz w:val="20"/>
          <w:szCs w:val="20"/>
          <w:lang w:val="cs-CZ"/>
        </w:rPr>
        <w:t xml:space="preserve"> nebo </w:t>
      </w:r>
      <w:r w:rsidR="00D023A4" w:rsidRPr="002D74AC">
        <w:rPr>
          <w:rFonts w:asciiTheme="minorHAnsi" w:hAnsiTheme="minorHAnsi" w:cstheme="minorHAnsi"/>
          <w:color w:val="auto"/>
          <w:sz w:val="20"/>
          <w:szCs w:val="20"/>
          <w:lang w:val="cs-CZ"/>
        </w:rPr>
        <w:t>právnické osoby</w:t>
      </w:r>
      <w:r w:rsidRPr="002D74AC">
        <w:rPr>
          <w:rFonts w:asciiTheme="minorHAnsi" w:hAnsiTheme="minorHAnsi" w:cstheme="minorHAnsi"/>
          <w:color w:val="auto"/>
          <w:sz w:val="20"/>
          <w:szCs w:val="20"/>
          <w:lang w:val="cs-CZ"/>
        </w:rPr>
        <w:t xml:space="preserve"> vlastněné státem, jakéhokoliv kandidáta na politickou funkci nebo jakoukoliv osobu jednající </w:t>
      </w:r>
      <w:r w:rsidR="00B617C1" w:rsidRPr="002D74AC">
        <w:rPr>
          <w:rFonts w:asciiTheme="minorHAnsi" w:hAnsiTheme="minorHAnsi" w:cstheme="minorHAnsi"/>
          <w:color w:val="auto"/>
          <w:sz w:val="20"/>
          <w:szCs w:val="20"/>
          <w:lang w:val="cs-CZ"/>
        </w:rPr>
        <w:t>z moci úřední</w:t>
      </w:r>
      <w:r w:rsidRPr="002D74AC">
        <w:rPr>
          <w:rFonts w:asciiTheme="minorHAnsi" w:hAnsiTheme="minorHAnsi" w:cstheme="minorHAnsi"/>
          <w:color w:val="auto"/>
          <w:sz w:val="20"/>
          <w:szCs w:val="20"/>
          <w:lang w:val="cs-CZ"/>
        </w:rPr>
        <w:t xml:space="preserve"> jménem stát</w:t>
      </w:r>
      <w:r w:rsidR="00D023A4" w:rsidRPr="002D74AC">
        <w:rPr>
          <w:rFonts w:asciiTheme="minorHAnsi" w:hAnsiTheme="minorHAnsi" w:cstheme="minorHAnsi"/>
          <w:color w:val="auto"/>
          <w:sz w:val="20"/>
          <w:szCs w:val="20"/>
          <w:lang w:val="cs-CZ"/>
        </w:rPr>
        <w:t>u, obce nebo kraje</w:t>
      </w:r>
      <w:r w:rsidRPr="002D74AC">
        <w:rPr>
          <w:rFonts w:asciiTheme="minorHAnsi" w:hAnsiTheme="minorHAnsi" w:cstheme="minorHAnsi"/>
          <w:color w:val="auto"/>
          <w:sz w:val="20"/>
          <w:szCs w:val="20"/>
          <w:lang w:val="cs-CZ"/>
        </w:rPr>
        <w:t>.</w:t>
      </w:r>
    </w:p>
    <w:p w14:paraId="075100C1" w14:textId="77777777" w:rsidR="00461805" w:rsidRPr="002D74AC" w:rsidRDefault="00461805" w:rsidP="00461805">
      <w:pPr>
        <w:widowControl w:val="0"/>
        <w:autoSpaceDE w:val="0"/>
        <w:autoSpaceDN w:val="0"/>
        <w:adjustRightInd w:val="0"/>
        <w:jc w:val="both"/>
        <w:rPr>
          <w:rFonts w:asciiTheme="minorHAnsi" w:hAnsiTheme="minorHAnsi" w:cstheme="minorHAnsi"/>
          <w:color w:val="auto"/>
          <w:sz w:val="20"/>
          <w:szCs w:val="20"/>
          <w:lang w:val="cs-CZ"/>
        </w:rPr>
      </w:pPr>
    </w:p>
    <w:p w14:paraId="49969300" w14:textId="4E999ED4" w:rsidR="00461805" w:rsidRPr="002D74AC" w:rsidRDefault="00461805" w:rsidP="004E5571">
      <w:pPr>
        <w:pStyle w:val="Odstavecseseznamem"/>
        <w:keepNext/>
        <w:numPr>
          <w:ilvl w:val="0"/>
          <w:numId w:val="27"/>
        </w:numPr>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lastRenderedPageBreak/>
        <w:t xml:space="preserve">Subdodavatel </w:t>
      </w:r>
      <w:r w:rsidR="00630024" w:rsidRPr="002D74AC">
        <w:rPr>
          <w:rFonts w:asciiTheme="minorHAnsi" w:hAnsiTheme="minorHAnsi" w:cstheme="minorHAnsi"/>
          <w:color w:val="auto"/>
          <w:sz w:val="20"/>
          <w:szCs w:val="20"/>
          <w:lang w:val="cs-CZ"/>
        </w:rPr>
        <w:t xml:space="preserve">bude </w:t>
      </w:r>
      <w:r w:rsidRPr="002D74AC">
        <w:rPr>
          <w:rFonts w:asciiTheme="minorHAnsi" w:hAnsiTheme="minorHAnsi" w:cstheme="minorHAnsi"/>
          <w:color w:val="auto"/>
          <w:sz w:val="20"/>
          <w:szCs w:val="20"/>
          <w:lang w:val="cs-CZ"/>
        </w:rPr>
        <w:t>neprodleně inform</w:t>
      </w:r>
      <w:r w:rsidR="00630024" w:rsidRPr="002D74AC">
        <w:rPr>
          <w:rFonts w:asciiTheme="minorHAnsi" w:hAnsiTheme="minorHAnsi" w:cstheme="minorHAnsi"/>
          <w:color w:val="auto"/>
          <w:sz w:val="20"/>
          <w:szCs w:val="20"/>
          <w:lang w:val="cs-CZ"/>
        </w:rPr>
        <w:t>ovat</w:t>
      </w:r>
      <w:r w:rsidRPr="002D74AC">
        <w:rPr>
          <w:rFonts w:asciiTheme="minorHAnsi" w:hAnsiTheme="minorHAnsi" w:cstheme="minorHAnsi"/>
          <w:color w:val="auto"/>
          <w:sz w:val="20"/>
          <w:szCs w:val="20"/>
          <w:lang w:val="cs-CZ"/>
        </w:rPr>
        <w:t xml:space="preserve"> společnost Deloitte, pokud kdykoliv během Doby trvání dojde </w:t>
      </w:r>
      <w:r w:rsidR="00B617C1" w:rsidRPr="002D74AC">
        <w:rPr>
          <w:rFonts w:asciiTheme="minorHAnsi" w:hAnsiTheme="minorHAnsi" w:cstheme="minorHAnsi"/>
          <w:color w:val="auto"/>
          <w:sz w:val="20"/>
          <w:szCs w:val="20"/>
          <w:lang w:val="cs-CZ"/>
        </w:rPr>
        <w:t xml:space="preserve">na jeho straně </w:t>
      </w:r>
      <w:r w:rsidRPr="002D74AC">
        <w:rPr>
          <w:rFonts w:asciiTheme="minorHAnsi" w:hAnsiTheme="minorHAnsi" w:cstheme="minorHAnsi"/>
          <w:color w:val="auto"/>
          <w:sz w:val="20"/>
          <w:szCs w:val="20"/>
          <w:lang w:val="cs-CZ"/>
        </w:rPr>
        <w:t xml:space="preserve">ke změně </w:t>
      </w:r>
      <w:r w:rsidR="00630024" w:rsidRPr="002D74AC">
        <w:rPr>
          <w:rFonts w:asciiTheme="minorHAnsi" w:hAnsiTheme="minorHAnsi" w:cstheme="minorHAnsi"/>
          <w:color w:val="auto"/>
          <w:sz w:val="20"/>
          <w:szCs w:val="20"/>
          <w:lang w:val="cs-CZ"/>
        </w:rPr>
        <w:t>okolností</w:t>
      </w:r>
      <w:r w:rsidRPr="002D74AC">
        <w:rPr>
          <w:rFonts w:asciiTheme="minorHAnsi" w:hAnsiTheme="minorHAnsi" w:cstheme="minorHAnsi"/>
          <w:color w:val="auto"/>
          <w:sz w:val="20"/>
          <w:szCs w:val="20"/>
          <w:lang w:val="cs-CZ"/>
        </w:rPr>
        <w:t>, vědomostí nebo znalostí tak</w:t>
      </w:r>
      <w:r w:rsidR="00630024" w:rsidRPr="002D74AC">
        <w:rPr>
          <w:rFonts w:asciiTheme="minorHAnsi" w:hAnsiTheme="minorHAnsi" w:cstheme="minorHAnsi"/>
          <w:color w:val="auto"/>
          <w:sz w:val="20"/>
          <w:szCs w:val="20"/>
          <w:lang w:val="cs-CZ"/>
        </w:rPr>
        <w:t>ovým způsobem</w:t>
      </w:r>
      <w:r w:rsidRPr="002D74AC">
        <w:rPr>
          <w:rFonts w:asciiTheme="minorHAnsi" w:hAnsiTheme="minorHAnsi" w:cstheme="minorHAnsi"/>
          <w:color w:val="auto"/>
          <w:sz w:val="20"/>
          <w:szCs w:val="20"/>
          <w:lang w:val="cs-CZ"/>
        </w:rPr>
        <w:t>, že v</w:t>
      </w:r>
      <w:r w:rsidR="00630024" w:rsidRPr="002D74AC">
        <w:rPr>
          <w:rFonts w:asciiTheme="minorHAnsi" w:hAnsiTheme="minorHAnsi" w:cstheme="minorHAnsi"/>
          <w:color w:val="auto"/>
          <w:sz w:val="20"/>
          <w:szCs w:val="20"/>
          <w:lang w:val="cs-CZ"/>
        </w:rPr>
        <w:t> daném okamžiku</w:t>
      </w:r>
      <w:r w:rsidRPr="002D74AC">
        <w:rPr>
          <w:rFonts w:asciiTheme="minorHAnsi" w:hAnsiTheme="minorHAnsi" w:cstheme="minorHAnsi"/>
          <w:color w:val="auto"/>
          <w:sz w:val="20"/>
          <w:szCs w:val="20"/>
          <w:lang w:val="cs-CZ"/>
        </w:rPr>
        <w:t xml:space="preserve"> </w:t>
      </w:r>
      <w:r w:rsidR="00B617C1" w:rsidRPr="002D74AC">
        <w:rPr>
          <w:rFonts w:asciiTheme="minorHAnsi" w:hAnsiTheme="minorHAnsi" w:cstheme="minorHAnsi"/>
          <w:color w:val="auto"/>
          <w:sz w:val="20"/>
          <w:szCs w:val="20"/>
          <w:lang w:val="cs-CZ"/>
        </w:rPr>
        <w:t xml:space="preserve">nebude </w:t>
      </w:r>
      <w:r w:rsidR="001E5AB8" w:rsidRPr="002D74AC">
        <w:rPr>
          <w:rFonts w:asciiTheme="minorHAnsi" w:hAnsiTheme="minorHAnsi" w:cstheme="minorHAnsi"/>
          <w:color w:val="auto"/>
          <w:sz w:val="20"/>
          <w:szCs w:val="20"/>
          <w:lang w:val="cs-CZ"/>
        </w:rPr>
        <w:t>schopen</w:t>
      </w:r>
      <w:r w:rsidR="00B617C1" w:rsidRPr="002D74AC">
        <w:rPr>
          <w:rFonts w:asciiTheme="minorHAnsi" w:hAnsiTheme="minorHAnsi" w:cstheme="minorHAnsi"/>
          <w:color w:val="auto"/>
          <w:sz w:val="20"/>
          <w:szCs w:val="20"/>
          <w:lang w:val="cs-CZ"/>
        </w:rPr>
        <w:t xml:space="preserve"> </w:t>
      </w:r>
      <w:r w:rsidR="00B81AAC" w:rsidRPr="002D74AC">
        <w:rPr>
          <w:rFonts w:asciiTheme="minorHAnsi" w:hAnsiTheme="minorHAnsi" w:cstheme="minorHAnsi"/>
          <w:color w:val="auto"/>
          <w:sz w:val="20"/>
          <w:szCs w:val="20"/>
          <w:lang w:val="cs-CZ"/>
        </w:rPr>
        <w:t>dodržet</w:t>
      </w:r>
      <w:r w:rsidRPr="002D74AC">
        <w:rPr>
          <w:rFonts w:asciiTheme="minorHAnsi" w:hAnsiTheme="minorHAnsi" w:cstheme="minorHAnsi"/>
          <w:color w:val="auto"/>
          <w:sz w:val="20"/>
          <w:szCs w:val="20"/>
          <w:lang w:val="cs-CZ"/>
        </w:rPr>
        <w:t xml:space="preserve"> záruky </w:t>
      </w:r>
      <w:r w:rsidR="00630024" w:rsidRPr="002D74AC">
        <w:rPr>
          <w:rFonts w:asciiTheme="minorHAnsi" w:hAnsiTheme="minorHAnsi" w:cstheme="minorHAnsi"/>
          <w:color w:val="auto"/>
          <w:sz w:val="20"/>
          <w:szCs w:val="20"/>
          <w:lang w:val="cs-CZ"/>
        </w:rPr>
        <w:t>uvedené</w:t>
      </w:r>
      <w:r w:rsidRPr="002D74AC">
        <w:rPr>
          <w:rFonts w:asciiTheme="minorHAnsi" w:hAnsiTheme="minorHAnsi" w:cstheme="minorHAnsi"/>
          <w:color w:val="auto"/>
          <w:sz w:val="20"/>
          <w:szCs w:val="20"/>
          <w:lang w:val="cs-CZ"/>
        </w:rPr>
        <w:t xml:space="preserve"> v</w:t>
      </w:r>
      <w:r w:rsidR="0082553B" w:rsidRPr="002D74AC">
        <w:rPr>
          <w:rFonts w:asciiTheme="minorHAnsi" w:hAnsiTheme="minorHAnsi" w:cstheme="minorHAnsi"/>
          <w:color w:val="auto"/>
          <w:sz w:val="20"/>
          <w:szCs w:val="20"/>
          <w:lang w:val="cs-CZ"/>
        </w:rPr>
        <w:t xml:space="preserve"> článku 13 </w:t>
      </w:r>
      <w:r w:rsidRPr="002D74AC">
        <w:rPr>
          <w:rFonts w:asciiTheme="minorHAnsi" w:hAnsiTheme="minorHAnsi" w:cstheme="minorHAnsi"/>
          <w:color w:val="auto"/>
          <w:sz w:val="20"/>
          <w:szCs w:val="20"/>
          <w:lang w:val="cs-CZ"/>
        </w:rPr>
        <w:t xml:space="preserve">odstavci </w:t>
      </w:r>
      <w:r w:rsidR="00630024"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C</w:t>
      </w:r>
      <w:r w:rsidR="00630024"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w:t>
      </w:r>
    </w:p>
    <w:p w14:paraId="30924B41" w14:textId="77777777" w:rsidR="00461805" w:rsidRPr="002D74AC" w:rsidRDefault="00461805" w:rsidP="00461805">
      <w:pPr>
        <w:widowControl w:val="0"/>
        <w:autoSpaceDE w:val="0"/>
        <w:autoSpaceDN w:val="0"/>
        <w:adjustRightInd w:val="0"/>
        <w:jc w:val="both"/>
        <w:rPr>
          <w:rFonts w:asciiTheme="minorHAnsi" w:hAnsiTheme="minorHAnsi" w:cstheme="minorHAnsi"/>
          <w:color w:val="auto"/>
          <w:sz w:val="20"/>
          <w:szCs w:val="20"/>
          <w:lang w:val="cs-CZ"/>
        </w:rPr>
      </w:pPr>
    </w:p>
    <w:p w14:paraId="775DD7CC" w14:textId="77777777" w:rsidR="00461805" w:rsidRPr="002D74AC" w:rsidRDefault="00461805" w:rsidP="004E5571">
      <w:pPr>
        <w:pStyle w:val="Odstavecseseznamem"/>
        <w:keepNext/>
        <w:numPr>
          <w:ilvl w:val="0"/>
          <w:numId w:val="27"/>
        </w:numPr>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Vedení záznamů a právo auditu</w:t>
      </w:r>
    </w:p>
    <w:p w14:paraId="662CAF7C" w14:textId="77777777" w:rsidR="00461805" w:rsidRPr="002D74AC" w:rsidRDefault="00461805" w:rsidP="00461805">
      <w:pPr>
        <w:jc w:val="both"/>
        <w:rPr>
          <w:rFonts w:asciiTheme="minorHAnsi" w:hAnsiTheme="minorHAnsi" w:cstheme="minorHAnsi"/>
          <w:color w:val="auto"/>
          <w:sz w:val="20"/>
          <w:szCs w:val="20"/>
          <w:lang w:val="cs-CZ"/>
        </w:rPr>
      </w:pPr>
    </w:p>
    <w:p w14:paraId="5B5503FC" w14:textId="72FA997B" w:rsidR="00461805" w:rsidRPr="002D74AC" w:rsidRDefault="00461805" w:rsidP="004E5571">
      <w:pPr>
        <w:widowControl w:val="0"/>
        <w:numPr>
          <w:ilvl w:val="0"/>
          <w:numId w:val="24"/>
        </w:numPr>
        <w:tabs>
          <w:tab w:val="clear" w:pos="1140"/>
          <w:tab w:val="num" w:pos="567"/>
        </w:tabs>
        <w:autoSpaceDE w:val="0"/>
        <w:autoSpaceDN w:val="0"/>
        <w:adjustRightInd w:val="0"/>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ve svém sídle povede podrobné, přesné a aktuální záznamy dokládající veškeré platby učiněné Subdodavatelem v souvislosti s touto Smlouvou a úkony učiněné Subdodavatelem za účelem dodržení Protikorupčních zákonů. Subdodavatel zajistí,</w:t>
      </w:r>
      <w:r w:rsidR="00113463" w:rsidRPr="002D74AC">
        <w:rPr>
          <w:rFonts w:asciiTheme="minorHAnsi" w:hAnsiTheme="minorHAnsi" w:cstheme="minorHAnsi"/>
          <w:color w:val="auto"/>
          <w:sz w:val="20"/>
          <w:szCs w:val="20"/>
          <w:lang w:val="cs-CZ"/>
        </w:rPr>
        <w:t xml:space="preserve"> aby</w:t>
      </w:r>
      <w:r w:rsidRPr="002D74AC">
        <w:rPr>
          <w:rFonts w:asciiTheme="minorHAnsi" w:hAnsiTheme="minorHAnsi" w:cstheme="minorHAnsi"/>
          <w:color w:val="auto"/>
          <w:sz w:val="20"/>
          <w:szCs w:val="20"/>
          <w:lang w:val="cs-CZ"/>
        </w:rPr>
        <w:t xml:space="preserve"> tyto záznamy </w:t>
      </w:r>
      <w:r w:rsidR="00E425ED" w:rsidRPr="002D74AC">
        <w:rPr>
          <w:rFonts w:asciiTheme="minorHAnsi" w:hAnsiTheme="minorHAnsi" w:cstheme="minorHAnsi"/>
          <w:color w:val="auto"/>
          <w:sz w:val="20"/>
          <w:szCs w:val="20"/>
          <w:lang w:val="cs-CZ"/>
        </w:rPr>
        <w:t>b</w:t>
      </w:r>
      <w:r w:rsidR="00113463" w:rsidRPr="002D74AC">
        <w:rPr>
          <w:rFonts w:asciiTheme="minorHAnsi" w:hAnsiTheme="minorHAnsi" w:cstheme="minorHAnsi"/>
          <w:color w:val="auto"/>
          <w:sz w:val="20"/>
          <w:szCs w:val="20"/>
          <w:lang w:val="cs-CZ"/>
        </w:rPr>
        <w:t>yly</w:t>
      </w:r>
      <w:r w:rsidRPr="002D74AC">
        <w:rPr>
          <w:rFonts w:asciiTheme="minorHAnsi" w:hAnsiTheme="minorHAnsi" w:cstheme="minorHAnsi"/>
          <w:color w:val="auto"/>
          <w:sz w:val="20"/>
          <w:szCs w:val="20"/>
          <w:lang w:val="cs-CZ"/>
        </w:rPr>
        <w:t xml:space="preserve"> dostačující k tomu, aby společnost Deloitte</w:t>
      </w:r>
      <w:r w:rsidR="00113463" w:rsidRPr="002D74AC">
        <w:rPr>
          <w:rFonts w:asciiTheme="minorHAnsi" w:hAnsiTheme="minorHAnsi" w:cstheme="minorHAnsi"/>
          <w:color w:val="auto"/>
          <w:sz w:val="20"/>
          <w:szCs w:val="20"/>
          <w:lang w:val="cs-CZ"/>
        </w:rPr>
        <w:t xml:space="preserve"> mohla</w:t>
      </w:r>
      <w:r w:rsidRPr="002D74AC">
        <w:rPr>
          <w:rFonts w:asciiTheme="minorHAnsi" w:hAnsiTheme="minorHAnsi" w:cstheme="minorHAnsi"/>
          <w:color w:val="auto"/>
          <w:sz w:val="20"/>
          <w:szCs w:val="20"/>
          <w:lang w:val="cs-CZ"/>
        </w:rPr>
        <w:t xml:space="preserve"> ověřit, že Subdodavatel dodržuje článek 13.</w:t>
      </w:r>
    </w:p>
    <w:p w14:paraId="6786AF83" w14:textId="77777777" w:rsidR="00461805" w:rsidRPr="002D74AC" w:rsidRDefault="00461805" w:rsidP="00461805">
      <w:pPr>
        <w:tabs>
          <w:tab w:val="num" w:pos="567"/>
        </w:tabs>
        <w:ind w:left="540"/>
        <w:jc w:val="both"/>
        <w:rPr>
          <w:rFonts w:asciiTheme="minorHAnsi" w:hAnsiTheme="minorHAnsi" w:cstheme="minorHAnsi"/>
          <w:color w:val="auto"/>
          <w:sz w:val="20"/>
          <w:szCs w:val="20"/>
          <w:lang w:val="cs-CZ"/>
        </w:rPr>
      </w:pPr>
    </w:p>
    <w:p w14:paraId="16C162B7" w14:textId="5AB4348F" w:rsidR="00461805" w:rsidRPr="002D74AC" w:rsidRDefault="00461805" w:rsidP="00461805">
      <w:pPr>
        <w:tabs>
          <w:tab w:val="num" w:pos="567"/>
        </w:tabs>
        <w:ind w:left="540"/>
        <w:jc w:val="both"/>
        <w:rPr>
          <w:rFonts w:asciiTheme="minorHAnsi" w:hAnsiTheme="minorHAnsi" w:cstheme="minorHAnsi"/>
          <w:color w:val="auto"/>
          <w:sz w:val="20"/>
          <w:szCs w:val="20"/>
          <w:lang w:val="cs-CZ"/>
        </w:rPr>
      </w:pPr>
    </w:p>
    <w:p w14:paraId="13F4BC5B" w14:textId="2B098B4E" w:rsidR="00461805" w:rsidRPr="002D74AC" w:rsidRDefault="00461805" w:rsidP="004E5571">
      <w:pPr>
        <w:widowControl w:val="0"/>
        <w:numPr>
          <w:ilvl w:val="0"/>
          <w:numId w:val="24"/>
        </w:numPr>
        <w:tabs>
          <w:tab w:val="clear" w:pos="1140"/>
          <w:tab w:val="num" w:pos="567"/>
        </w:tabs>
        <w:autoSpaceDE w:val="0"/>
        <w:autoSpaceDN w:val="0"/>
        <w:adjustRightInd w:val="0"/>
        <w:ind w:left="540" w:hanging="54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Právo auditu bude trvat </w:t>
      </w:r>
      <w:r w:rsidR="002F2B00" w:rsidRPr="002D74AC">
        <w:rPr>
          <w:rFonts w:asciiTheme="minorHAnsi" w:hAnsiTheme="minorHAnsi" w:cstheme="minorHAnsi"/>
          <w:color w:val="auto"/>
          <w:sz w:val="20"/>
          <w:szCs w:val="20"/>
          <w:lang w:val="cs-CZ"/>
        </w:rPr>
        <w:t xml:space="preserve">i </w:t>
      </w:r>
      <w:r w:rsidRPr="002D74AC">
        <w:rPr>
          <w:rFonts w:asciiTheme="minorHAnsi" w:hAnsiTheme="minorHAnsi" w:cstheme="minorHAnsi"/>
          <w:color w:val="auto"/>
          <w:sz w:val="20"/>
          <w:szCs w:val="20"/>
          <w:lang w:val="cs-CZ"/>
        </w:rPr>
        <w:t xml:space="preserve">po dobu tří let </w:t>
      </w:r>
      <w:r w:rsidR="00113463" w:rsidRPr="002D74AC">
        <w:rPr>
          <w:rFonts w:asciiTheme="minorHAnsi" w:hAnsiTheme="minorHAnsi" w:cstheme="minorHAnsi"/>
          <w:color w:val="auto"/>
          <w:sz w:val="20"/>
          <w:szCs w:val="20"/>
          <w:lang w:val="cs-CZ"/>
        </w:rPr>
        <w:t>po</w:t>
      </w:r>
      <w:r w:rsidRPr="002D74AC">
        <w:rPr>
          <w:rFonts w:asciiTheme="minorHAnsi" w:hAnsiTheme="minorHAnsi" w:cstheme="minorHAnsi"/>
          <w:color w:val="auto"/>
          <w:sz w:val="20"/>
          <w:szCs w:val="20"/>
          <w:lang w:val="cs-CZ"/>
        </w:rPr>
        <w:t xml:space="preserve"> ukončení této Smlouvy.</w:t>
      </w:r>
    </w:p>
    <w:p w14:paraId="2EEAB98A" w14:textId="77777777" w:rsidR="00461805" w:rsidRPr="002D74AC" w:rsidRDefault="00461805" w:rsidP="000C279E">
      <w:pPr>
        <w:jc w:val="both"/>
        <w:rPr>
          <w:rFonts w:asciiTheme="minorHAnsi" w:hAnsiTheme="minorHAnsi" w:cstheme="minorHAnsi"/>
          <w:sz w:val="20"/>
          <w:szCs w:val="20"/>
          <w:lang w:val="cs-CZ"/>
        </w:rPr>
      </w:pPr>
    </w:p>
    <w:p w14:paraId="2E580D5F" w14:textId="39847837" w:rsidR="00DD2AA7" w:rsidRPr="002D74AC" w:rsidRDefault="00461805" w:rsidP="004E5571">
      <w:pPr>
        <w:pStyle w:val="Odstavecseseznamem"/>
        <w:keepNext/>
        <w:numPr>
          <w:ilvl w:val="0"/>
          <w:numId w:val="27"/>
        </w:numPr>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Bez ohledu na jak</w:t>
      </w:r>
      <w:r w:rsidR="00737A50" w:rsidRPr="002D74AC">
        <w:rPr>
          <w:rFonts w:asciiTheme="minorHAnsi" w:hAnsiTheme="minorHAnsi" w:cstheme="minorHAnsi"/>
          <w:color w:val="auto"/>
          <w:sz w:val="20"/>
          <w:szCs w:val="20"/>
          <w:lang w:val="cs-CZ"/>
        </w:rPr>
        <w:t>á</w:t>
      </w:r>
      <w:r w:rsidRPr="002D74AC">
        <w:rPr>
          <w:rFonts w:asciiTheme="minorHAnsi" w:hAnsiTheme="minorHAnsi" w:cstheme="minorHAnsi"/>
          <w:color w:val="auto"/>
          <w:sz w:val="20"/>
          <w:szCs w:val="20"/>
          <w:lang w:val="cs-CZ"/>
        </w:rPr>
        <w:t xml:space="preserve">koliv </w:t>
      </w:r>
      <w:r w:rsidR="00737A50" w:rsidRPr="002D74AC">
        <w:rPr>
          <w:rFonts w:asciiTheme="minorHAnsi" w:hAnsiTheme="minorHAnsi" w:cstheme="minorHAnsi"/>
          <w:color w:val="auto"/>
          <w:sz w:val="20"/>
          <w:szCs w:val="20"/>
          <w:lang w:val="cs-CZ"/>
        </w:rPr>
        <w:t>jiná</w:t>
      </w:r>
      <w:r w:rsidR="002F2B00"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 xml:space="preserve">ustanovení této Smlouvy </w:t>
      </w:r>
      <w:r w:rsidR="002F2B00" w:rsidRPr="002D74AC">
        <w:rPr>
          <w:rFonts w:asciiTheme="minorHAnsi" w:hAnsiTheme="minorHAnsi" w:cstheme="minorHAnsi"/>
          <w:color w:val="auto"/>
          <w:sz w:val="20"/>
          <w:szCs w:val="20"/>
          <w:lang w:val="cs-CZ"/>
        </w:rPr>
        <w:t xml:space="preserve">nebude </w:t>
      </w:r>
      <w:r w:rsidRPr="002D74AC">
        <w:rPr>
          <w:rFonts w:asciiTheme="minorHAnsi" w:hAnsiTheme="minorHAnsi" w:cstheme="minorHAnsi"/>
          <w:color w:val="auto"/>
          <w:sz w:val="20"/>
          <w:szCs w:val="20"/>
          <w:lang w:val="cs-CZ"/>
        </w:rPr>
        <w:t xml:space="preserve">společnost Deloitte povinna </w:t>
      </w:r>
      <w:r w:rsidR="00DD2AA7" w:rsidRPr="002D74AC">
        <w:rPr>
          <w:rFonts w:asciiTheme="minorHAnsi" w:hAnsiTheme="minorHAnsi" w:cstheme="minorHAnsi"/>
          <w:color w:val="auto"/>
          <w:sz w:val="20"/>
          <w:szCs w:val="20"/>
          <w:lang w:val="cs-CZ"/>
        </w:rPr>
        <w:t>jednat či zdržet se jednání, pokud by se tak Deloitte (</w:t>
      </w:r>
      <w:r w:rsidR="006E45C0" w:rsidRPr="002D74AC">
        <w:rPr>
          <w:rFonts w:asciiTheme="minorHAnsi" w:hAnsiTheme="minorHAnsi" w:cstheme="minorHAnsi"/>
          <w:color w:val="auto"/>
          <w:sz w:val="20"/>
          <w:szCs w:val="20"/>
          <w:lang w:val="cs-CZ"/>
        </w:rPr>
        <w:t>nebo jakákoliv z jejích spřízněných společností, partnerů nebo zaměstnanců</w:t>
      </w:r>
      <w:r w:rsidR="00DD2AA7" w:rsidRPr="002D74AC">
        <w:rPr>
          <w:rFonts w:asciiTheme="minorHAnsi" w:hAnsiTheme="minorHAnsi" w:cstheme="minorHAnsi"/>
          <w:color w:val="auto"/>
          <w:sz w:val="20"/>
          <w:szCs w:val="20"/>
          <w:lang w:val="cs-CZ"/>
        </w:rPr>
        <w:t xml:space="preserve">) </w:t>
      </w:r>
      <w:r w:rsidR="006E45C0" w:rsidRPr="002D74AC">
        <w:rPr>
          <w:rFonts w:asciiTheme="minorHAnsi" w:hAnsiTheme="minorHAnsi" w:cstheme="minorHAnsi"/>
          <w:color w:val="auto"/>
          <w:sz w:val="20"/>
          <w:szCs w:val="20"/>
          <w:lang w:val="cs-CZ"/>
        </w:rPr>
        <w:t xml:space="preserve">dostala do rozporu </w:t>
      </w:r>
      <w:r w:rsidR="00DD2AA7" w:rsidRPr="002D74AC">
        <w:rPr>
          <w:rFonts w:asciiTheme="minorHAnsi" w:hAnsiTheme="minorHAnsi" w:cstheme="minorHAnsi"/>
          <w:color w:val="auto"/>
          <w:sz w:val="20"/>
          <w:szCs w:val="20"/>
          <w:lang w:val="cs-CZ"/>
        </w:rPr>
        <w:t>s jakýmkoliv Protikorupčním zákonem.</w:t>
      </w:r>
    </w:p>
    <w:p w14:paraId="35CA65D4" w14:textId="7D4292E2" w:rsidR="006A702C" w:rsidRPr="002D74AC" w:rsidRDefault="006A702C" w:rsidP="004403D4">
      <w:pPr>
        <w:pStyle w:val="Zkladntextodsazen"/>
        <w:ind w:left="0" w:firstLine="0"/>
        <w:jc w:val="both"/>
        <w:rPr>
          <w:rFonts w:asciiTheme="minorHAnsi" w:hAnsiTheme="minorHAnsi" w:cstheme="minorHAnsi"/>
          <w:sz w:val="20"/>
          <w:lang w:val="cs-CZ"/>
        </w:rPr>
      </w:pPr>
    </w:p>
    <w:p w14:paraId="30B1461D" w14:textId="77777777" w:rsidR="006A702C" w:rsidRPr="002D74AC" w:rsidRDefault="00767574">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1</w:t>
      </w:r>
      <w:r w:rsidR="00EC2226" w:rsidRPr="002D74AC">
        <w:rPr>
          <w:rFonts w:asciiTheme="minorHAnsi" w:hAnsiTheme="minorHAnsi" w:cstheme="minorHAnsi"/>
          <w:b/>
          <w:bCs/>
          <w:color w:val="auto"/>
          <w:sz w:val="20"/>
          <w:szCs w:val="20"/>
          <w:lang w:val="cs-CZ"/>
        </w:rPr>
        <w:t>4</w:t>
      </w:r>
      <w:r w:rsidR="006A702C" w:rsidRPr="002D74AC">
        <w:rPr>
          <w:rFonts w:asciiTheme="minorHAnsi" w:hAnsiTheme="minorHAnsi" w:cstheme="minorHAnsi"/>
          <w:b/>
          <w:bCs/>
          <w:color w:val="auto"/>
          <w:sz w:val="20"/>
          <w:szCs w:val="20"/>
          <w:lang w:val="cs-CZ"/>
        </w:rPr>
        <w:t>.</w:t>
      </w:r>
      <w:r w:rsidR="006A702C" w:rsidRPr="002D74AC">
        <w:rPr>
          <w:rFonts w:asciiTheme="minorHAnsi" w:hAnsiTheme="minorHAnsi" w:cstheme="minorHAnsi"/>
          <w:b/>
          <w:bCs/>
          <w:color w:val="auto"/>
          <w:sz w:val="20"/>
          <w:szCs w:val="20"/>
          <w:lang w:val="cs-CZ"/>
        </w:rPr>
        <w:tab/>
      </w:r>
      <w:r w:rsidR="009B686F" w:rsidRPr="002D74AC">
        <w:rPr>
          <w:rFonts w:asciiTheme="minorHAnsi" w:hAnsiTheme="minorHAnsi" w:cstheme="minorHAnsi"/>
          <w:b/>
          <w:bCs/>
          <w:color w:val="auto"/>
          <w:sz w:val="20"/>
          <w:szCs w:val="20"/>
          <w:lang w:val="cs-CZ"/>
        </w:rPr>
        <w:t xml:space="preserve">ODPOVĚDNOST A ODŠKODNĚNÍ </w:t>
      </w:r>
    </w:p>
    <w:p w14:paraId="1BDBA70C" w14:textId="77777777" w:rsidR="006A702C" w:rsidRPr="002D74AC" w:rsidRDefault="006A702C">
      <w:pPr>
        <w:ind w:left="284"/>
        <w:jc w:val="both"/>
        <w:rPr>
          <w:rFonts w:asciiTheme="minorHAnsi" w:hAnsiTheme="minorHAnsi" w:cstheme="minorHAnsi"/>
          <w:color w:val="auto"/>
          <w:sz w:val="20"/>
          <w:szCs w:val="20"/>
          <w:lang w:val="cs-CZ"/>
        </w:rPr>
      </w:pPr>
    </w:p>
    <w:p w14:paraId="54A42909" w14:textId="2293BE46" w:rsidR="000A2609" w:rsidRPr="002D74AC" w:rsidRDefault="006A702C" w:rsidP="00D34783">
      <w:pPr>
        <w:pStyle w:val="Zkladntext"/>
        <w:ind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A.</w:t>
      </w:r>
      <w:r w:rsidRPr="002D74AC">
        <w:rPr>
          <w:rFonts w:asciiTheme="minorHAnsi" w:hAnsiTheme="minorHAnsi" w:cstheme="minorHAnsi"/>
          <w:b w:val="0"/>
          <w:sz w:val="20"/>
          <w:lang w:val="cs-CZ"/>
        </w:rPr>
        <w:tab/>
      </w:r>
      <w:r w:rsidR="006256D6" w:rsidRPr="002D74AC">
        <w:rPr>
          <w:rFonts w:asciiTheme="minorHAnsi" w:hAnsiTheme="minorHAnsi" w:cstheme="minorHAnsi"/>
          <w:b w:val="0"/>
          <w:sz w:val="20"/>
          <w:lang w:val="cs-CZ"/>
        </w:rPr>
        <w:t>Strany se dohodly, že Subdodavatel bude odpovědný za poskytování Služeb,  jak je stanoveno v této Smlouvě, za své jednání i nedostatek takového jednání</w:t>
      </w:r>
      <w:r w:rsidR="000A2609" w:rsidRPr="002D74AC">
        <w:rPr>
          <w:rFonts w:asciiTheme="minorHAnsi" w:hAnsiTheme="minorHAnsi" w:cstheme="minorHAnsi"/>
          <w:b w:val="0"/>
          <w:sz w:val="20"/>
          <w:lang w:val="cs-CZ"/>
        </w:rPr>
        <w:t>.</w:t>
      </w:r>
    </w:p>
    <w:p w14:paraId="38C72885" w14:textId="77777777" w:rsidR="006A702C" w:rsidRPr="002D74AC" w:rsidRDefault="006A702C">
      <w:pPr>
        <w:pStyle w:val="Zkladntext"/>
        <w:ind w:hanging="540"/>
        <w:jc w:val="both"/>
        <w:rPr>
          <w:rFonts w:asciiTheme="minorHAnsi" w:hAnsiTheme="minorHAnsi" w:cstheme="minorHAnsi"/>
          <w:b w:val="0"/>
          <w:sz w:val="20"/>
          <w:lang w:val="cs-CZ"/>
        </w:rPr>
      </w:pPr>
    </w:p>
    <w:p w14:paraId="4B6A3F85" w14:textId="35843602" w:rsidR="006A702C" w:rsidRPr="002D74AC" w:rsidRDefault="006A702C">
      <w:pPr>
        <w:pStyle w:val="Zkladntext"/>
        <w:ind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B.</w:t>
      </w:r>
      <w:r w:rsidRPr="002D74AC">
        <w:rPr>
          <w:rFonts w:asciiTheme="minorHAnsi" w:hAnsiTheme="minorHAnsi" w:cstheme="minorHAnsi"/>
          <w:b w:val="0"/>
          <w:sz w:val="20"/>
          <w:lang w:val="cs-CZ"/>
        </w:rPr>
        <w:tab/>
      </w:r>
      <w:r w:rsidR="006D6C1E" w:rsidRPr="002D74AC">
        <w:rPr>
          <w:rFonts w:asciiTheme="minorHAnsi" w:hAnsiTheme="minorHAnsi" w:cstheme="minorHAnsi"/>
          <w:b w:val="0"/>
          <w:sz w:val="20"/>
          <w:lang w:val="cs-CZ"/>
        </w:rPr>
        <w:t>Subdodavatel souhlasí</w:t>
      </w:r>
      <w:r w:rsidR="000A2609" w:rsidRPr="002D74AC">
        <w:rPr>
          <w:rFonts w:asciiTheme="minorHAnsi" w:hAnsiTheme="minorHAnsi" w:cstheme="minorHAnsi"/>
          <w:b w:val="0"/>
          <w:sz w:val="20"/>
          <w:lang w:val="cs-CZ"/>
        </w:rPr>
        <w:t xml:space="preserve"> s tím</w:t>
      </w:r>
      <w:r w:rsidR="006D6C1E" w:rsidRPr="002D74AC">
        <w:rPr>
          <w:rFonts w:asciiTheme="minorHAnsi" w:hAnsiTheme="minorHAnsi" w:cstheme="minorHAnsi"/>
          <w:b w:val="0"/>
          <w:sz w:val="20"/>
          <w:lang w:val="cs-CZ"/>
        </w:rPr>
        <w:t xml:space="preserve">, že odškodní Deloitte a její přidružené společnosti </w:t>
      </w:r>
      <w:r w:rsidR="00D32B49" w:rsidRPr="002D74AC">
        <w:rPr>
          <w:rFonts w:asciiTheme="minorHAnsi" w:hAnsiTheme="minorHAnsi" w:cstheme="minorHAnsi"/>
          <w:b w:val="0"/>
          <w:sz w:val="20"/>
          <w:lang w:val="cs-CZ"/>
        </w:rPr>
        <w:t xml:space="preserve">(Společnosti skupiny Deloitte) </w:t>
      </w:r>
      <w:r w:rsidR="006D6C1E" w:rsidRPr="002D74AC">
        <w:rPr>
          <w:rFonts w:asciiTheme="minorHAnsi" w:hAnsiTheme="minorHAnsi" w:cstheme="minorHAnsi"/>
          <w:b w:val="0"/>
          <w:sz w:val="20"/>
          <w:lang w:val="cs-CZ"/>
        </w:rPr>
        <w:t>a jejich příslušné partnery, ředitele, vedoucí</w:t>
      </w:r>
      <w:r w:rsidR="000A2609" w:rsidRPr="002D74AC">
        <w:rPr>
          <w:rFonts w:asciiTheme="minorHAnsi" w:hAnsiTheme="minorHAnsi" w:cstheme="minorHAnsi"/>
          <w:b w:val="0"/>
          <w:sz w:val="20"/>
          <w:lang w:val="cs-CZ"/>
        </w:rPr>
        <w:t xml:space="preserve"> pracovníky</w:t>
      </w:r>
      <w:r w:rsidR="006D6C1E" w:rsidRPr="002D74AC">
        <w:rPr>
          <w:rFonts w:asciiTheme="minorHAnsi" w:hAnsiTheme="minorHAnsi" w:cstheme="minorHAnsi"/>
          <w:b w:val="0"/>
          <w:sz w:val="20"/>
          <w:lang w:val="cs-CZ"/>
        </w:rPr>
        <w:t>, zaměstnance, zástupce a řídící osoby (Deloitte a každá taková osoba jsou označován</w:t>
      </w:r>
      <w:r w:rsidR="00A24282" w:rsidRPr="002D74AC">
        <w:rPr>
          <w:rFonts w:asciiTheme="minorHAnsi" w:hAnsiTheme="minorHAnsi" w:cstheme="minorHAnsi"/>
          <w:b w:val="0"/>
          <w:sz w:val="20"/>
          <w:lang w:val="cs-CZ"/>
        </w:rPr>
        <w:t>i</w:t>
      </w:r>
      <w:r w:rsidR="006D6C1E" w:rsidRPr="002D74AC">
        <w:rPr>
          <w:rFonts w:asciiTheme="minorHAnsi" w:hAnsiTheme="minorHAnsi" w:cstheme="minorHAnsi"/>
          <w:b w:val="0"/>
          <w:sz w:val="20"/>
          <w:lang w:val="cs-CZ"/>
        </w:rPr>
        <w:t xml:space="preserve"> jako „</w:t>
      </w:r>
      <w:r w:rsidR="006D6C1E" w:rsidRPr="002D74AC">
        <w:rPr>
          <w:rFonts w:asciiTheme="minorHAnsi" w:hAnsiTheme="minorHAnsi" w:cstheme="minorHAnsi"/>
          <w:sz w:val="20"/>
          <w:lang w:val="cs-CZ"/>
        </w:rPr>
        <w:t>Odškodněné strany</w:t>
      </w:r>
      <w:r w:rsidR="006D6C1E" w:rsidRPr="002D74AC">
        <w:rPr>
          <w:rFonts w:asciiTheme="minorHAnsi" w:hAnsiTheme="minorHAnsi" w:cstheme="minorHAnsi"/>
          <w:b w:val="0"/>
          <w:sz w:val="20"/>
          <w:lang w:val="cs-CZ"/>
        </w:rPr>
        <w:t>“) za ztráty, nároky, včetně nároků třetích stran</w:t>
      </w:r>
      <w:r w:rsidR="00A17FA6" w:rsidRPr="002D74AC">
        <w:rPr>
          <w:rFonts w:asciiTheme="minorHAnsi" w:hAnsiTheme="minorHAnsi" w:cstheme="minorHAnsi"/>
          <w:b w:val="0"/>
          <w:sz w:val="20"/>
          <w:lang w:val="cs-CZ"/>
        </w:rPr>
        <w:t xml:space="preserve"> a </w:t>
      </w:r>
      <w:r w:rsidR="006D6C1E" w:rsidRPr="002D74AC">
        <w:rPr>
          <w:rFonts w:asciiTheme="minorHAnsi" w:hAnsiTheme="minorHAnsi" w:cstheme="minorHAnsi"/>
          <w:b w:val="0"/>
          <w:sz w:val="20"/>
          <w:lang w:val="cs-CZ"/>
        </w:rPr>
        <w:t>náklad</w:t>
      </w:r>
      <w:r w:rsidR="00C53206" w:rsidRPr="002D74AC">
        <w:rPr>
          <w:rFonts w:asciiTheme="minorHAnsi" w:hAnsiTheme="minorHAnsi" w:cstheme="minorHAnsi"/>
          <w:b w:val="0"/>
          <w:sz w:val="20"/>
          <w:lang w:val="cs-CZ"/>
        </w:rPr>
        <w:t>ů</w:t>
      </w:r>
      <w:r w:rsidR="006D6C1E" w:rsidRPr="002D74AC">
        <w:rPr>
          <w:rFonts w:asciiTheme="minorHAnsi" w:hAnsiTheme="minorHAnsi" w:cstheme="minorHAnsi"/>
          <w:b w:val="0"/>
          <w:sz w:val="20"/>
          <w:lang w:val="cs-CZ"/>
        </w:rPr>
        <w:t xml:space="preserve"> (včetně poplatků a nákladů za poradenské služby)</w:t>
      </w:r>
      <w:r w:rsidR="00C53206" w:rsidRPr="002D74AC">
        <w:rPr>
          <w:rFonts w:asciiTheme="minorHAnsi" w:hAnsiTheme="minorHAnsi" w:cstheme="minorHAnsi"/>
          <w:b w:val="0"/>
          <w:sz w:val="20"/>
          <w:lang w:val="cs-CZ"/>
        </w:rPr>
        <w:t xml:space="preserve"> soudního</w:t>
      </w:r>
      <w:r w:rsidR="006D6C1E" w:rsidRPr="002D74AC">
        <w:rPr>
          <w:rFonts w:asciiTheme="minorHAnsi" w:hAnsiTheme="minorHAnsi" w:cstheme="minorHAnsi"/>
          <w:b w:val="0"/>
          <w:sz w:val="20"/>
          <w:lang w:val="cs-CZ"/>
        </w:rPr>
        <w:t xml:space="preserve"> řízení, </w:t>
      </w:r>
      <w:r w:rsidR="00A17FA6" w:rsidRPr="002D74AC">
        <w:rPr>
          <w:rFonts w:asciiTheme="minorHAnsi" w:hAnsiTheme="minorHAnsi" w:cstheme="minorHAnsi"/>
          <w:b w:val="0"/>
          <w:sz w:val="20"/>
          <w:lang w:val="cs-CZ"/>
        </w:rPr>
        <w:t>které vznikly jako</w:t>
      </w:r>
      <w:r w:rsidR="006D6C1E" w:rsidRPr="002D74AC">
        <w:rPr>
          <w:rFonts w:asciiTheme="minorHAnsi" w:hAnsiTheme="minorHAnsi" w:cstheme="minorHAnsi"/>
          <w:b w:val="0"/>
          <w:sz w:val="20"/>
          <w:lang w:val="cs-CZ"/>
        </w:rPr>
        <w:t xml:space="preserve"> důsledek porušení </w:t>
      </w:r>
      <w:r w:rsidR="00C53206" w:rsidRPr="002D74AC">
        <w:rPr>
          <w:rFonts w:asciiTheme="minorHAnsi" w:hAnsiTheme="minorHAnsi" w:cstheme="minorHAnsi"/>
          <w:b w:val="0"/>
          <w:sz w:val="20"/>
          <w:lang w:val="cs-CZ"/>
        </w:rPr>
        <w:t xml:space="preserve">této Smlouvy </w:t>
      </w:r>
      <w:r w:rsidR="00A17FA6" w:rsidRPr="002D74AC">
        <w:rPr>
          <w:rFonts w:asciiTheme="minorHAnsi" w:hAnsiTheme="minorHAnsi" w:cstheme="minorHAnsi"/>
          <w:b w:val="0"/>
          <w:sz w:val="20"/>
          <w:lang w:val="cs-CZ"/>
        </w:rPr>
        <w:t xml:space="preserve">Subdodavatelem </w:t>
      </w:r>
      <w:r w:rsidR="00C53206" w:rsidRPr="002D74AC">
        <w:rPr>
          <w:rFonts w:asciiTheme="minorHAnsi" w:hAnsiTheme="minorHAnsi" w:cstheme="minorHAnsi"/>
          <w:b w:val="0"/>
          <w:sz w:val="20"/>
          <w:lang w:val="cs-CZ"/>
        </w:rPr>
        <w:t xml:space="preserve">nebo v důsledku </w:t>
      </w:r>
      <w:r w:rsidR="006D6C1E" w:rsidRPr="002D74AC">
        <w:rPr>
          <w:rFonts w:asciiTheme="minorHAnsi" w:hAnsiTheme="minorHAnsi" w:cstheme="minorHAnsi"/>
          <w:b w:val="0"/>
          <w:sz w:val="20"/>
          <w:lang w:val="cs-CZ"/>
        </w:rPr>
        <w:t>nedbalosti ze strany Subdodavatele při poskytování Služeb uvedených v této Smlouvě</w:t>
      </w:r>
      <w:r w:rsidRPr="002D74AC">
        <w:rPr>
          <w:rFonts w:asciiTheme="minorHAnsi" w:hAnsiTheme="minorHAnsi" w:cstheme="minorHAnsi"/>
          <w:b w:val="0"/>
          <w:sz w:val="20"/>
          <w:lang w:val="cs-CZ"/>
        </w:rPr>
        <w:t>.</w:t>
      </w:r>
      <w:r w:rsidR="000772A3" w:rsidRPr="000772A3">
        <w:rPr>
          <w:rFonts w:asciiTheme="minorHAnsi" w:hAnsiTheme="minorHAnsi" w:cstheme="minorHAnsi"/>
          <w:b w:val="0"/>
          <w:sz w:val="20"/>
          <w:lang w:val="cs-CZ"/>
        </w:rPr>
        <w:t xml:space="preserve"> </w:t>
      </w:r>
      <w:r w:rsidR="000772A3" w:rsidRPr="002D74AC">
        <w:rPr>
          <w:rFonts w:asciiTheme="minorHAnsi" w:hAnsiTheme="minorHAnsi" w:cstheme="minorHAnsi"/>
          <w:b w:val="0"/>
          <w:sz w:val="20"/>
          <w:lang w:val="cs-CZ"/>
        </w:rPr>
        <w:t xml:space="preserve">Subdodavatel také souhlasí s tím, že Odškodněná strana, vyjma Deloitte, není odpovědná (ať již přímo nebo nepřímo, ve vztahu k této Smlouvě) vůči Subdodavateli za jakékoliv plnění Subdodavatele vyplývající nebo jinak související s touto Smlouvou. </w:t>
      </w:r>
      <w:r w:rsidR="006D6C1E" w:rsidRPr="002D74AC">
        <w:rPr>
          <w:rFonts w:asciiTheme="minorHAnsi" w:hAnsiTheme="minorHAnsi" w:cstheme="minorHAnsi"/>
          <w:b w:val="0"/>
          <w:sz w:val="20"/>
          <w:lang w:val="cs-CZ"/>
        </w:rPr>
        <w:t xml:space="preserve"> </w:t>
      </w:r>
    </w:p>
    <w:p w14:paraId="4613BCEA" w14:textId="77777777" w:rsidR="006A702C" w:rsidRPr="002D74AC" w:rsidRDefault="006A702C">
      <w:pPr>
        <w:pStyle w:val="Zkladntext"/>
        <w:ind w:hanging="540"/>
        <w:jc w:val="both"/>
        <w:rPr>
          <w:rFonts w:asciiTheme="minorHAnsi" w:hAnsiTheme="minorHAnsi" w:cstheme="minorHAnsi"/>
          <w:b w:val="0"/>
          <w:sz w:val="20"/>
          <w:lang w:val="cs-CZ"/>
        </w:rPr>
      </w:pPr>
    </w:p>
    <w:p w14:paraId="7E43308D" w14:textId="77777777" w:rsidR="006D6C1E" w:rsidRPr="002D74AC" w:rsidRDefault="006A702C">
      <w:pPr>
        <w:pStyle w:val="Zkladntextodsazen"/>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C.</w:t>
      </w:r>
      <w:r w:rsidRPr="002D74AC">
        <w:rPr>
          <w:rFonts w:asciiTheme="minorHAnsi" w:hAnsiTheme="minorHAnsi" w:cstheme="minorHAnsi"/>
          <w:b w:val="0"/>
          <w:sz w:val="20"/>
          <w:lang w:val="cs-CZ"/>
        </w:rPr>
        <w:tab/>
      </w:r>
      <w:r w:rsidR="006D6C1E" w:rsidRPr="002D74AC">
        <w:rPr>
          <w:rFonts w:asciiTheme="minorHAnsi" w:hAnsiTheme="minorHAnsi" w:cstheme="minorHAnsi"/>
          <w:b w:val="0"/>
          <w:sz w:val="20"/>
          <w:lang w:val="cs-CZ"/>
        </w:rPr>
        <w:t xml:space="preserve">Subdodavatel  není odpovědný za žádné ztráty, závazky, nároky, rozsudky, náklady, požadavky či výdaje způsobené hrubou nedbalostí nebo úmyslným porušením stanovených pravidel ze strany Deloitte, jejích partnerů, vedoucích pracovníků, zprostředkovatelů, zástupců či zaměstnanců. V případě podání žaloby </w:t>
      </w:r>
      <w:r w:rsidR="00D32B49" w:rsidRPr="002D74AC">
        <w:rPr>
          <w:rFonts w:asciiTheme="minorHAnsi" w:hAnsiTheme="minorHAnsi" w:cstheme="minorHAnsi"/>
          <w:b w:val="0"/>
          <w:sz w:val="20"/>
          <w:lang w:val="cs-CZ"/>
        </w:rPr>
        <w:t xml:space="preserve">proti </w:t>
      </w:r>
      <w:r w:rsidR="006D6C1E" w:rsidRPr="002D74AC">
        <w:rPr>
          <w:rFonts w:asciiTheme="minorHAnsi" w:hAnsiTheme="minorHAnsi" w:cstheme="minorHAnsi"/>
          <w:b w:val="0"/>
          <w:sz w:val="20"/>
          <w:lang w:val="cs-CZ"/>
        </w:rPr>
        <w:t xml:space="preserve">Deloitte, za niž ponese odpovědnost Subdodavatel, je Deloitte povinna Subdodavatele o tomto neprodleně informovat. </w:t>
      </w:r>
    </w:p>
    <w:p w14:paraId="72AA7F5D" w14:textId="77777777" w:rsidR="00732BFF" w:rsidRPr="002D74AC" w:rsidRDefault="00732BFF">
      <w:pPr>
        <w:pStyle w:val="Zkladntextodsazen"/>
        <w:ind w:left="0" w:hanging="540"/>
        <w:jc w:val="both"/>
        <w:rPr>
          <w:rFonts w:asciiTheme="minorHAnsi" w:hAnsiTheme="minorHAnsi" w:cstheme="minorHAnsi"/>
          <w:b w:val="0"/>
          <w:sz w:val="20"/>
          <w:lang w:val="cs-CZ"/>
        </w:rPr>
      </w:pPr>
    </w:p>
    <w:p w14:paraId="11E51397" w14:textId="7D92E252" w:rsidR="0010578C" w:rsidRPr="002D74AC" w:rsidRDefault="000A2609" w:rsidP="004E5571">
      <w:pPr>
        <w:pStyle w:val="IndentedText"/>
        <w:widowControl/>
        <w:numPr>
          <w:ilvl w:val="0"/>
          <w:numId w:val="20"/>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ind w:left="0" w:hanging="540"/>
        <w:rPr>
          <w:rFonts w:asciiTheme="minorHAnsi" w:hAnsiTheme="minorHAnsi" w:cstheme="minorHAnsi"/>
        </w:rPr>
      </w:pPr>
      <w:r w:rsidRPr="002D74AC">
        <w:rPr>
          <w:rFonts w:asciiTheme="minorHAnsi" w:hAnsiTheme="minorHAnsi" w:cstheme="minorHAnsi"/>
        </w:rPr>
        <w:t>Deloitte nebude za žádných okolností odpovědn</w:t>
      </w:r>
      <w:r w:rsidR="001C521D" w:rsidRPr="002D74AC">
        <w:rPr>
          <w:rFonts w:asciiTheme="minorHAnsi" w:hAnsiTheme="minorHAnsi" w:cstheme="minorHAnsi"/>
        </w:rPr>
        <w:t>á</w:t>
      </w:r>
      <w:r w:rsidRPr="002D74AC">
        <w:rPr>
          <w:rFonts w:asciiTheme="minorHAnsi" w:hAnsiTheme="minorHAnsi" w:cstheme="minorHAnsi"/>
        </w:rPr>
        <w:t xml:space="preserve"> </w:t>
      </w:r>
      <w:r w:rsidR="001C521D" w:rsidRPr="002D74AC">
        <w:rPr>
          <w:rFonts w:asciiTheme="minorHAnsi" w:hAnsiTheme="minorHAnsi" w:cstheme="minorHAnsi"/>
        </w:rPr>
        <w:t xml:space="preserve">vůči </w:t>
      </w:r>
      <w:r w:rsidRPr="002D74AC">
        <w:rPr>
          <w:rFonts w:asciiTheme="minorHAnsi" w:hAnsiTheme="minorHAnsi" w:cstheme="minorHAnsi"/>
        </w:rPr>
        <w:t>Subdodavateli a členům Subdodavatelova týmu</w:t>
      </w:r>
      <w:r w:rsidR="004315B7" w:rsidRPr="002D74AC">
        <w:rPr>
          <w:rFonts w:asciiTheme="minorHAnsi" w:hAnsiTheme="minorHAnsi" w:cstheme="minorHAnsi"/>
        </w:rPr>
        <w:t xml:space="preserve"> </w:t>
      </w:r>
      <w:r w:rsidRPr="002D74AC">
        <w:rPr>
          <w:rFonts w:asciiTheme="minorHAnsi" w:hAnsiTheme="minorHAnsi" w:cstheme="minorHAnsi"/>
        </w:rPr>
        <w:t>za</w:t>
      </w:r>
      <w:r w:rsidR="001C521D" w:rsidRPr="002D74AC">
        <w:rPr>
          <w:rFonts w:asciiTheme="minorHAnsi" w:hAnsiTheme="minorHAnsi" w:cstheme="minorHAnsi"/>
        </w:rPr>
        <w:t xml:space="preserve"> jakýkoli</w:t>
      </w:r>
      <w:r w:rsidRPr="002D74AC">
        <w:rPr>
          <w:rFonts w:asciiTheme="minorHAnsi" w:hAnsiTheme="minorHAnsi" w:cstheme="minorHAnsi"/>
        </w:rPr>
        <w:t xml:space="preserve"> ušlý zisk, ušlé příjmy, náhodné, nepřímé, následné, speciální škody, či škody vyplývající z trestněprávních nároků. V žádném případě nebude Deloitte odpovědná za </w:t>
      </w:r>
      <w:r w:rsidR="001C521D" w:rsidRPr="002D74AC">
        <w:rPr>
          <w:rFonts w:asciiTheme="minorHAnsi" w:hAnsiTheme="minorHAnsi" w:cstheme="minorHAnsi"/>
        </w:rPr>
        <w:t xml:space="preserve">jakoukoli činnosti či opomenutí </w:t>
      </w:r>
      <w:r w:rsidRPr="002D74AC">
        <w:rPr>
          <w:rFonts w:asciiTheme="minorHAnsi" w:hAnsiTheme="minorHAnsi" w:cstheme="minorHAnsi"/>
        </w:rPr>
        <w:t>členských firem DTTL, jejich dceřiných či příbuzných společností.</w:t>
      </w:r>
      <w:r w:rsidR="006D6C1E" w:rsidRPr="002D74AC">
        <w:rPr>
          <w:rFonts w:asciiTheme="minorHAnsi" w:hAnsiTheme="minorHAnsi" w:cstheme="minorHAnsi"/>
        </w:rPr>
        <w:t xml:space="preserve"> </w:t>
      </w:r>
    </w:p>
    <w:p w14:paraId="1C2D44A0" w14:textId="77777777" w:rsidR="00CB0547" w:rsidRPr="002D74AC" w:rsidRDefault="00CB0547" w:rsidP="00CB0547">
      <w:pPr>
        <w:pStyle w:val="Indented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ind w:left="-540"/>
        <w:rPr>
          <w:rFonts w:asciiTheme="minorHAnsi" w:hAnsiTheme="minorHAnsi" w:cstheme="minorHAnsi"/>
        </w:rPr>
      </w:pPr>
    </w:p>
    <w:p w14:paraId="72F63FD4" w14:textId="77777777" w:rsidR="0005013F" w:rsidRPr="002D74AC" w:rsidRDefault="0005013F" w:rsidP="000C1FA9">
      <w:pPr>
        <w:pStyle w:val="Indented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ind w:left="0"/>
        <w:rPr>
          <w:rFonts w:asciiTheme="minorHAnsi" w:hAnsiTheme="minorHAnsi" w:cstheme="minorHAnsi"/>
        </w:rPr>
      </w:pPr>
    </w:p>
    <w:p w14:paraId="31AC2E0E" w14:textId="77777777" w:rsidR="00246AF2" w:rsidRPr="002D74AC" w:rsidRDefault="00246AF2" w:rsidP="00246AF2">
      <w:pPr>
        <w:pStyle w:val="Indented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ind w:left="0"/>
        <w:rPr>
          <w:rFonts w:asciiTheme="minorHAnsi" w:hAnsiTheme="minorHAnsi" w:cstheme="minorHAnsi"/>
        </w:rPr>
      </w:pPr>
    </w:p>
    <w:p w14:paraId="356FA568" w14:textId="44DB020E" w:rsidR="00732BFF" w:rsidRPr="002D74AC" w:rsidRDefault="00046009" w:rsidP="004E5571">
      <w:pPr>
        <w:pStyle w:val="IndentedText"/>
        <w:widowControl/>
        <w:numPr>
          <w:ilvl w:val="0"/>
          <w:numId w:val="20"/>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ind w:left="0" w:hanging="540"/>
        <w:rPr>
          <w:rFonts w:asciiTheme="minorHAnsi" w:hAnsiTheme="minorHAnsi" w:cstheme="minorHAnsi"/>
        </w:rPr>
      </w:pPr>
      <w:r w:rsidRPr="002D74AC">
        <w:rPr>
          <w:rFonts w:asciiTheme="minorHAnsi" w:hAnsiTheme="minorHAnsi" w:cstheme="minorHAnsi"/>
        </w:rPr>
        <w:t>Obě Strany prohlašují,</w:t>
      </w:r>
      <w:r w:rsidR="00D170C2" w:rsidRPr="002D74AC">
        <w:rPr>
          <w:rFonts w:asciiTheme="minorHAnsi" w:hAnsiTheme="minorHAnsi" w:cstheme="minorHAnsi"/>
        </w:rPr>
        <w:t xml:space="preserve"> </w:t>
      </w:r>
      <w:r w:rsidRPr="002D74AC">
        <w:rPr>
          <w:rFonts w:asciiTheme="minorHAnsi" w:hAnsiTheme="minorHAnsi" w:cstheme="minorHAnsi"/>
        </w:rPr>
        <w:t>že celkové předvídatelné škody, které mohou vzniknout pochybením na straně D</w:t>
      </w:r>
      <w:r w:rsidR="00D170C2" w:rsidRPr="002D74AC">
        <w:rPr>
          <w:rFonts w:asciiTheme="minorHAnsi" w:hAnsiTheme="minorHAnsi" w:cstheme="minorHAnsi"/>
        </w:rPr>
        <w:t>e</w:t>
      </w:r>
      <w:r w:rsidRPr="002D74AC">
        <w:rPr>
          <w:rFonts w:asciiTheme="minorHAnsi" w:hAnsiTheme="minorHAnsi" w:cstheme="minorHAnsi"/>
        </w:rPr>
        <w:t xml:space="preserve">loitte </w:t>
      </w:r>
      <w:r w:rsidR="00767574" w:rsidRPr="002D74AC">
        <w:rPr>
          <w:rFonts w:asciiTheme="minorHAnsi" w:hAnsiTheme="minorHAnsi" w:cstheme="minorHAnsi"/>
        </w:rPr>
        <w:t>(</w:t>
      </w:r>
      <w:r w:rsidRPr="002D74AC">
        <w:rPr>
          <w:rFonts w:asciiTheme="minorHAnsi" w:hAnsiTheme="minorHAnsi" w:cstheme="minorHAnsi"/>
        </w:rPr>
        <w:t xml:space="preserve">viz </w:t>
      </w:r>
      <w:r w:rsidR="006C29A7" w:rsidRPr="002D74AC">
        <w:rPr>
          <w:rFonts w:asciiTheme="minorHAnsi" w:hAnsiTheme="minorHAnsi" w:cstheme="minorHAnsi"/>
        </w:rPr>
        <w:t>odstavce</w:t>
      </w:r>
      <w:r w:rsidR="008D7C2C" w:rsidRPr="002D74AC">
        <w:rPr>
          <w:rFonts w:asciiTheme="minorHAnsi" w:hAnsiTheme="minorHAnsi" w:cstheme="minorHAnsi"/>
        </w:rPr>
        <w:t xml:space="preserve"> </w:t>
      </w:r>
      <w:r w:rsidR="006C29A7" w:rsidRPr="002D74AC">
        <w:rPr>
          <w:rFonts w:asciiTheme="minorHAnsi" w:hAnsiTheme="minorHAnsi" w:cstheme="minorHAnsi"/>
        </w:rPr>
        <w:t>(</w:t>
      </w:r>
      <w:r w:rsidR="008D7C2C" w:rsidRPr="002D74AC">
        <w:rPr>
          <w:rFonts w:asciiTheme="minorHAnsi" w:hAnsiTheme="minorHAnsi" w:cstheme="minorHAnsi"/>
        </w:rPr>
        <w:t>D</w:t>
      </w:r>
      <w:r w:rsidR="006C29A7" w:rsidRPr="002D74AC">
        <w:rPr>
          <w:rFonts w:asciiTheme="minorHAnsi" w:hAnsiTheme="minorHAnsi" w:cstheme="minorHAnsi"/>
        </w:rPr>
        <w:t>)</w:t>
      </w:r>
      <w:r w:rsidR="008D7C2C" w:rsidRPr="002D74AC">
        <w:rPr>
          <w:rFonts w:asciiTheme="minorHAnsi" w:hAnsiTheme="minorHAnsi" w:cstheme="minorHAnsi"/>
        </w:rPr>
        <w:t xml:space="preserve"> a </w:t>
      </w:r>
      <w:r w:rsidR="006C29A7" w:rsidRPr="002D74AC">
        <w:rPr>
          <w:rFonts w:asciiTheme="minorHAnsi" w:hAnsiTheme="minorHAnsi" w:cstheme="minorHAnsi"/>
        </w:rPr>
        <w:t>(</w:t>
      </w:r>
      <w:r w:rsidR="008D7C2C" w:rsidRPr="002D74AC">
        <w:rPr>
          <w:rFonts w:asciiTheme="minorHAnsi" w:hAnsiTheme="minorHAnsi" w:cstheme="minorHAnsi"/>
        </w:rPr>
        <w:t>E</w:t>
      </w:r>
      <w:r w:rsidR="006C29A7" w:rsidRPr="002D74AC">
        <w:rPr>
          <w:rFonts w:asciiTheme="minorHAnsi" w:hAnsiTheme="minorHAnsi" w:cstheme="minorHAnsi"/>
        </w:rPr>
        <w:t>)</w:t>
      </w:r>
      <w:r w:rsidR="00767574" w:rsidRPr="002D74AC">
        <w:rPr>
          <w:rFonts w:asciiTheme="minorHAnsi" w:hAnsiTheme="minorHAnsi" w:cstheme="minorHAnsi"/>
        </w:rPr>
        <w:t>)</w:t>
      </w:r>
      <w:r w:rsidR="0010578C" w:rsidRPr="002D74AC">
        <w:rPr>
          <w:rFonts w:asciiTheme="minorHAnsi" w:hAnsiTheme="minorHAnsi" w:cstheme="minorHAnsi"/>
        </w:rPr>
        <w:t xml:space="preserve">, </w:t>
      </w:r>
      <w:r w:rsidRPr="002D74AC">
        <w:rPr>
          <w:rFonts w:asciiTheme="minorHAnsi" w:hAnsiTheme="minorHAnsi" w:cstheme="minorHAnsi"/>
        </w:rPr>
        <w:t xml:space="preserve">nepřevýší částku stanovenou výše, pokud toto omezení platné zákony nezakazují. </w:t>
      </w:r>
    </w:p>
    <w:p w14:paraId="53C67E03" w14:textId="386F96AF" w:rsidR="00EA20C9" w:rsidRPr="002D74AC" w:rsidRDefault="00EA20C9">
      <w:pPr>
        <w:pStyle w:val="Zkladntextodsazen"/>
        <w:ind w:left="0" w:firstLine="0"/>
        <w:jc w:val="both"/>
        <w:rPr>
          <w:rFonts w:asciiTheme="minorHAnsi" w:hAnsiTheme="minorHAnsi" w:cstheme="minorHAnsi"/>
          <w:b w:val="0"/>
          <w:sz w:val="20"/>
          <w:lang w:val="cs-CZ"/>
        </w:rPr>
      </w:pPr>
    </w:p>
    <w:p w14:paraId="59A8F6B3" w14:textId="77777777" w:rsidR="006A702C" w:rsidRPr="002D74AC" w:rsidRDefault="00767574">
      <w:pPr>
        <w:pStyle w:val="Zkladntextodsazen"/>
        <w:ind w:left="0"/>
        <w:jc w:val="both"/>
        <w:rPr>
          <w:rFonts w:asciiTheme="minorHAnsi" w:hAnsiTheme="minorHAnsi" w:cstheme="minorHAnsi"/>
          <w:bCs/>
          <w:sz w:val="20"/>
          <w:lang w:val="cs-CZ"/>
        </w:rPr>
      </w:pPr>
      <w:r w:rsidRPr="002D74AC">
        <w:rPr>
          <w:rFonts w:asciiTheme="minorHAnsi" w:hAnsiTheme="minorHAnsi" w:cstheme="minorHAnsi"/>
          <w:bCs/>
          <w:sz w:val="20"/>
          <w:lang w:val="cs-CZ"/>
        </w:rPr>
        <w:t>1</w:t>
      </w:r>
      <w:r w:rsidR="00EC2226" w:rsidRPr="002D74AC">
        <w:rPr>
          <w:rFonts w:asciiTheme="minorHAnsi" w:hAnsiTheme="minorHAnsi" w:cstheme="minorHAnsi"/>
          <w:bCs/>
          <w:sz w:val="20"/>
          <w:lang w:val="cs-CZ"/>
        </w:rPr>
        <w:t>5</w:t>
      </w:r>
      <w:r w:rsidR="006A702C" w:rsidRPr="002D74AC">
        <w:rPr>
          <w:rFonts w:asciiTheme="minorHAnsi" w:hAnsiTheme="minorHAnsi" w:cstheme="minorHAnsi"/>
          <w:bCs/>
          <w:sz w:val="20"/>
          <w:lang w:val="cs-CZ"/>
        </w:rPr>
        <w:t>.</w:t>
      </w:r>
      <w:r w:rsidR="006A702C" w:rsidRPr="002D74AC">
        <w:rPr>
          <w:rFonts w:asciiTheme="minorHAnsi" w:hAnsiTheme="minorHAnsi" w:cstheme="minorHAnsi"/>
          <w:bCs/>
          <w:sz w:val="20"/>
          <w:lang w:val="cs-CZ"/>
        </w:rPr>
        <w:tab/>
      </w:r>
      <w:r w:rsidR="00A526B7" w:rsidRPr="002D74AC">
        <w:rPr>
          <w:rFonts w:asciiTheme="minorHAnsi" w:hAnsiTheme="minorHAnsi" w:cstheme="minorHAnsi"/>
          <w:bCs/>
          <w:sz w:val="20"/>
          <w:lang w:val="cs-CZ"/>
        </w:rPr>
        <w:t xml:space="preserve">ODDĚLITELNOST USTANOVENÍ </w:t>
      </w:r>
    </w:p>
    <w:p w14:paraId="420D08D8" w14:textId="77777777" w:rsidR="006A702C" w:rsidRPr="002D74AC" w:rsidRDefault="006A702C">
      <w:pPr>
        <w:pStyle w:val="Zkladntextodsazen"/>
        <w:ind w:left="0" w:firstLine="0"/>
        <w:jc w:val="both"/>
        <w:rPr>
          <w:rFonts w:asciiTheme="minorHAnsi" w:hAnsiTheme="minorHAnsi" w:cstheme="minorHAnsi"/>
          <w:b w:val="0"/>
          <w:sz w:val="20"/>
          <w:lang w:val="cs-CZ"/>
        </w:rPr>
      </w:pPr>
    </w:p>
    <w:p w14:paraId="09191BD1" w14:textId="77777777" w:rsidR="006A702C" w:rsidRPr="002D74AC" w:rsidRDefault="00A526B7">
      <w:pPr>
        <w:pStyle w:val="Zkladntextodsazen"/>
        <w:ind w:left="0" w:firstLine="0"/>
        <w:jc w:val="both"/>
        <w:rPr>
          <w:rFonts w:asciiTheme="minorHAnsi" w:hAnsiTheme="minorHAnsi" w:cstheme="minorHAnsi"/>
          <w:b w:val="0"/>
          <w:bCs/>
          <w:sz w:val="20"/>
          <w:lang w:val="cs-CZ"/>
        </w:rPr>
      </w:pPr>
      <w:r w:rsidRPr="002D74AC">
        <w:rPr>
          <w:rFonts w:asciiTheme="minorHAnsi" w:hAnsiTheme="minorHAnsi" w:cstheme="minorHAnsi"/>
          <w:b w:val="0"/>
          <w:bCs/>
          <w:sz w:val="20"/>
          <w:lang w:val="cs-CZ"/>
        </w:rPr>
        <w:t xml:space="preserve">V případě, že budou jakákoliv ustanovení této Smlouvy uznána neplatnými, nezákonnými, nevykonatelnými či neúčinnými, tato skutečnost nebude mít za následek neplatnost, nezákonnost, </w:t>
      </w:r>
      <w:r w:rsidRPr="002D74AC">
        <w:rPr>
          <w:rFonts w:asciiTheme="minorHAnsi" w:hAnsiTheme="minorHAnsi" w:cstheme="minorHAnsi"/>
          <w:b w:val="0"/>
          <w:bCs/>
          <w:sz w:val="20"/>
          <w:lang w:val="cs-CZ"/>
        </w:rPr>
        <w:lastRenderedPageBreak/>
        <w:t xml:space="preserve">nevykonatelnost ani neúčinnost Smlouvy jako celku. V takovém případě jsou Strany zproštěny všech práv a odpovědností vyplývajících z takového ustanovení, ale pouze do té míry, do jaké je takové ustanovení neplatné, nevykonatelné nebo neúčinné. V tomto případě Strany vyvinou </w:t>
      </w:r>
      <w:r w:rsidR="00D32B49" w:rsidRPr="002D74AC">
        <w:rPr>
          <w:rFonts w:asciiTheme="minorHAnsi" w:hAnsiTheme="minorHAnsi" w:cstheme="minorHAnsi"/>
          <w:b w:val="0"/>
          <w:bCs/>
          <w:sz w:val="20"/>
          <w:lang w:val="cs-CZ"/>
        </w:rPr>
        <w:t xml:space="preserve">maximální </w:t>
      </w:r>
      <w:r w:rsidRPr="002D74AC">
        <w:rPr>
          <w:rFonts w:asciiTheme="minorHAnsi" w:hAnsiTheme="minorHAnsi" w:cstheme="minorHAnsi"/>
          <w:b w:val="0"/>
          <w:bCs/>
          <w:sz w:val="20"/>
          <w:lang w:val="cs-CZ"/>
        </w:rPr>
        <w:t>úsilí, aby nahradily takové ustanovení platným ustanovením, které má nejbližší možný ekonomický a právní význam jako</w:t>
      </w:r>
      <w:r w:rsidR="00D32B49" w:rsidRPr="002D74AC">
        <w:rPr>
          <w:rFonts w:asciiTheme="minorHAnsi" w:hAnsiTheme="minorHAnsi" w:cstheme="minorHAnsi"/>
          <w:b w:val="0"/>
          <w:bCs/>
          <w:sz w:val="20"/>
          <w:lang w:val="cs-CZ"/>
        </w:rPr>
        <w:t xml:space="preserve"> původní</w:t>
      </w:r>
      <w:r w:rsidRPr="002D74AC">
        <w:rPr>
          <w:rFonts w:asciiTheme="minorHAnsi" w:hAnsiTheme="minorHAnsi" w:cstheme="minorHAnsi"/>
          <w:b w:val="0"/>
          <w:bCs/>
          <w:sz w:val="20"/>
          <w:lang w:val="cs-CZ"/>
        </w:rPr>
        <w:t xml:space="preserve"> neplatné, nevykonatelné nebo neúčinné ustanovení</w:t>
      </w:r>
      <w:r w:rsidR="006A702C" w:rsidRPr="002D74AC">
        <w:rPr>
          <w:rFonts w:asciiTheme="minorHAnsi" w:hAnsiTheme="minorHAnsi" w:cstheme="minorHAnsi"/>
          <w:b w:val="0"/>
          <w:bCs/>
          <w:sz w:val="20"/>
          <w:lang w:val="cs-CZ"/>
        </w:rPr>
        <w:t>.</w:t>
      </w:r>
    </w:p>
    <w:p w14:paraId="48E6D018" w14:textId="108CAEF7" w:rsidR="00EA20C9" w:rsidRPr="002D74AC" w:rsidRDefault="00EA20C9" w:rsidP="004403D4">
      <w:pPr>
        <w:pStyle w:val="Zkladntextodsazen"/>
        <w:ind w:left="0" w:firstLine="0"/>
        <w:jc w:val="both"/>
        <w:rPr>
          <w:rFonts w:asciiTheme="minorHAnsi" w:hAnsiTheme="minorHAnsi" w:cstheme="minorHAnsi"/>
          <w:b w:val="0"/>
          <w:sz w:val="20"/>
          <w:lang w:val="cs-CZ"/>
        </w:rPr>
      </w:pPr>
    </w:p>
    <w:p w14:paraId="54D96C76" w14:textId="77777777" w:rsidR="006A702C" w:rsidRPr="002D74AC" w:rsidRDefault="00767574">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1</w:t>
      </w:r>
      <w:r w:rsidR="00EC2226" w:rsidRPr="002D74AC">
        <w:rPr>
          <w:rFonts w:asciiTheme="minorHAnsi" w:hAnsiTheme="minorHAnsi" w:cstheme="minorHAnsi"/>
          <w:b/>
          <w:bCs/>
          <w:color w:val="auto"/>
          <w:sz w:val="20"/>
          <w:szCs w:val="20"/>
          <w:lang w:val="cs-CZ"/>
        </w:rPr>
        <w:t>6</w:t>
      </w:r>
      <w:r w:rsidR="006A702C" w:rsidRPr="002D74AC">
        <w:rPr>
          <w:rFonts w:asciiTheme="minorHAnsi" w:hAnsiTheme="minorHAnsi" w:cstheme="minorHAnsi"/>
          <w:b/>
          <w:bCs/>
          <w:color w:val="auto"/>
          <w:sz w:val="20"/>
          <w:szCs w:val="20"/>
          <w:lang w:val="cs-CZ"/>
        </w:rPr>
        <w:t>.</w:t>
      </w:r>
      <w:r w:rsidR="006A702C" w:rsidRPr="002D74AC">
        <w:rPr>
          <w:rFonts w:asciiTheme="minorHAnsi" w:hAnsiTheme="minorHAnsi" w:cstheme="minorHAnsi"/>
          <w:b/>
          <w:bCs/>
          <w:color w:val="auto"/>
          <w:sz w:val="20"/>
          <w:szCs w:val="20"/>
          <w:lang w:val="cs-CZ"/>
        </w:rPr>
        <w:tab/>
      </w:r>
      <w:r w:rsidR="00A526B7" w:rsidRPr="002D74AC">
        <w:rPr>
          <w:rFonts w:asciiTheme="minorHAnsi" w:hAnsiTheme="minorHAnsi" w:cstheme="minorHAnsi"/>
          <w:b/>
          <w:bCs/>
          <w:color w:val="auto"/>
          <w:sz w:val="20"/>
          <w:szCs w:val="20"/>
          <w:lang w:val="cs-CZ"/>
        </w:rPr>
        <w:t xml:space="preserve">ROZHODNÉ PRÁVO </w:t>
      </w:r>
    </w:p>
    <w:p w14:paraId="3422C8FA" w14:textId="77777777" w:rsidR="006A702C" w:rsidRPr="002D74AC" w:rsidRDefault="006A702C">
      <w:pPr>
        <w:pStyle w:val="Zkladntextodsazen"/>
        <w:ind w:left="719" w:firstLine="0"/>
        <w:jc w:val="both"/>
        <w:rPr>
          <w:rFonts w:asciiTheme="minorHAnsi" w:hAnsiTheme="minorHAnsi" w:cstheme="minorHAnsi"/>
          <w:b w:val="0"/>
          <w:sz w:val="20"/>
          <w:lang w:val="cs-CZ"/>
        </w:rPr>
      </w:pPr>
    </w:p>
    <w:p w14:paraId="3584FE0E" w14:textId="7FF1854E" w:rsidR="00A526B7" w:rsidRPr="002D74AC" w:rsidRDefault="00A526B7" w:rsidP="00A526B7">
      <w:pPr>
        <w:pStyle w:val="Zkladntextodsazen"/>
        <w:ind w:left="0" w:firstLine="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Tato Smlouva je vykládána a vykonávána v souvislosti se zákony </w:t>
      </w:r>
      <w:r w:rsidR="00AC5F0C" w:rsidRPr="002D74AC">
        <w:rPr>
          <w:rFonts w:asciiTheme="minorHAnsi" w:hAnsiTheme="minorHAnsi" w:cstheme="minorHAnsi"/>
          <w:b w:val="0"/>
          <w:sz w:val="20"/>
          <w:lang w:val="cs-CZ"/>
        </w:rPr>
        <w:t>České republiky</w:t>
      </w:r>
      <w:r w:rsidRPr="002D74AC">
        <w:rPr>
          <w:rFonts w:asciiTheme="minorHAnsi" w:hAnsiTheme="minorHAnsi" w:cstheme="minorHAnsi"/>
          <w:b w:val="0"/>
          <w:sz w:val="20"/>
          <w:lang w:val="cs-CZ"/>
        </w:rPr>
        <w:t xml:space="preserve"> a jimi se řídí její platnost a plnění. </w:t>
      </w:r>
    </w:p>
    <w:p w14:paraId="4A1333C1" w14:textId="77777777" w:rsidR="00A526B7" w:rsidRPr="002D74AC" w:rsidRDefault="00A526B7" w:rsidP="00A526B7">
      <w:pPr>
        <w:pStyle w:val="Zkladntextodsazen"/>
        <w:ind w:left="0" w:firstLine="0"/>
        <w:jc w:val="both"/>
        <w:rPr>
          <w:rFonts w:asciiTheme="minorHAnsi" w:hAnsiTheme="minorHAnsi" w:cstheme="minorHAnsi"/>
          <w:b w:val="0"/>
          <w:sz w:val="20"/>
          <w:lang w:val="cs-CZ"/>
        </w:rPr>
      </w:pPr>
    </w:p>
    <w:p w14:paraId="5DB556B1" w14:textId="33415A3E" w:rsidR="001666A4" w:rsidRPr="002D74AC" w:rsidRDefault="00A526B7" w:rsidP="00A526B7">
      <w:pPr>
        <w:pStyle w:val="Zkladntextodsazen"/>
        <w:ind w:left="0" w:firstLine="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Strany tímto souhlasí, že vyvinou </w:t>
      </w:r>
      <w:r w:rsidR="007F7EC7" w:rsidRPr="002D74AC">
        <w:rPr>
          <w:rFonts w:asciiTheme="minorHAnsi" w:hAnsiTheme="minorHAnsi" w:cstheme="minorHAnsi"/>
          <w:b w:val="0"/>
          <w:sz w:val="20"/>
          <w:lang w:val="cs-CZ"/>
        </w:rPr>
        <w:t>maximální</w:t>
      </w:r>
      <w:r w:rsidRPr="002D74AC">
        <w:rPr>
          <w:rFonts w:asciiTheme="minorHAnsi" w:hAnsiTheme="minorHAnsi" w:cstheme="minorHAnsi"/>
          <w:b w:val="0"/>
          <w:sz w:val="20"/>
          <w:lang w:val="cs-CZ"/>
        </w:rPr>
        <w:t xml:space="preserve"> úsilí k urovnání všech sporů vyplývajících z této Smlouvy nebo v souvislosti s ní zejména smírem a v dobré víře se zohledněním a při použití zásad vzájemné spolupráce stanovených v této Smlouvě. Strany dále souhlasí </w:t>
      </w:r>
      <w:r w:rsidR="0033645D" w:rsidRPr="002D74AC">
        <w:rPr>
          <w:rFonts w:asciiTheme="minorHAnsi" w:hAnsiTheme="minorHAnsi" w:cstheme="minorHAnsi"/>
          <w:b w:val="0"/>
          <w:sz w:val="20"/>
          <w:lang w:val="cs-CZ"/>
        </w:rPr>
        <w:t xml:space="preserve">s tím, že předloží </w:t>
      </w:r>
      <w:r w:rsidRPr="002D74AC">
        <w:rPr>
          <w:rFonts w:asciiTheme="minorHAnsi" w:hAnsiTheme="minorHAnsi" w:cstheme="minorHAnsi"/>
          <w:b w:val="0"/>
          <w:sz w:val="20"/>
          <w:lang w:val="cs-CZ"/>
        </w:rPr>
        <w:t xml:space="preserve">jakýkoli spor nebo nárok vyplývající z této Smlouvy nebo v souvislosti s ní, který nebude vyřešen smírně, </w:t>
      </w:r>
      <w:r w:rsidR="0033645D" w:rsidRPr="002D74AC">
        <w:rPr>
          <w:rFonts w:asciiTheme="minorHAnsi" w:hAnsiTheme="minorHAnsi" w:cstheme="minorHAnsi"/>
          <w:b w:val="0"/>
          <w:sz w:val="20"/>
          <w:lang w:val="cs-CZ"/>
        </w:rPr>
        <w:t xml:space="preserve">příslušnému </w:t>
      </w:r>
      <w:r w:rsidRPr="002D74AC">
        <w:rPr>
          <w:rFonts w:asciiTheme="minorHAnsi" w:hAnsiTheme="minorHAnsi" w:cstheme="minorHAnsi"/>
          <w:b w:val="0"/>
          <w:sz w:val="20"/>
          <w:lang w:val="cs-CZ"/>
        </w:rPr>
        <w:t xml:space="preserve">soudu </w:t>
      </w:r>
      <w:r w:rsidR="00AC5F0C" w:rsidRPr="002D74AC">
        <w:rPr>
          <w:rFonts w:asciiTheme="minorHAnsi" w:hAnsiTheme="minorHAnsi" w:cstheme="minorHAnsi"/>
          <w:b w:val="0"/>
          <w:sz w:val="20"/>
          <w:lang w:val="cs-CZ"/>
        </w:rPr>
        <w:t>České republiky</w:t>
      </w:r>
      <w:r w:rsidRPr="002D74AC">
        <w:rPr>
          <w:rFonts w:asciiTheme="minorHAnsi" w:hAnsiTheme="minorHAnsi" w:cstheme="minorHAnsi"/>
          <w:b w:val="0"/>
          <w:sz w:val="20"/>
          <w:lang w:val="cs-CZ"/>
        </w:rPr>
        <w:t>.</w:t>
      </w:r>
      <w:r w:rsidR="001666A4" w:rsidRPr="002D74AC">
        <w:rPr>
          <w:rFonts w:asciiTheme="minorHAnsi" w:hAnsiTheme="minorHAnsi" w:cstheme="minorHAnsi"/>
          <w:b w:val="0"/>
          <w:sz w:val="20"/>
          <w:lang w:val="cs-CZ"/>
        </w:rPr>
        <w:t xml:space="preserve"> </w:t>
      </w:r>
    </w:p>
    <w:p w14:paraId="70CBE23C" w14:textId="356C567F" w:rsidR="006A702C" w:rsidRPr="002D74AC" w:rsidRDefault="006A702C" w:rsidP="004403D4">
      <w:pPr>
        <w:pStyle w:val="Zkladntextodsazen"/>
        <w:ind w:left="0" w:firstLine="0"/>
        <w:jc w:val="both"/>
        <w:rPr>
          <w:rFonts w:asciiTheme="minorHAnsi" w:hAnsiTheme="minorHAnsi" w:cstheme="minorHAnsi"/>
          <w:b w:val="0"/>
          <w:sz w:val="20"/>
          <w:lang w:val="cs-CZ"/>
        </w:rPr>
      </w:pPr>
    </w:p>
    <w:p w14:paraId="58B316B9" w14:textId="77777777" w:rsidR="006A702C" w:rsidRPr="002D74AC" w:rsidRDefault="00767574">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1</w:t>
      </w:r>
      <w:r w:rsidR="00EC2226" w:rsidRPr="002D74AC">
        <w:rPr>
          <w:rFonts w:asciiTheme="minorHAnsi" w:hAnsiTheme="minorHAnsi" w:cstheme="minorHAnsi"/>
          <w:b/>
          <w:bCs/>
          <w:color w:val="auto"/>
          <w:sz w:val="20"/>
          <w:szCs w:val="20"/>
          <w:lang w:val="cs-CZ"/>
        </w:rPr>
        <w:t>7</w:t>
      </w:r>
      <w:r w:rsidR="006A702C" w:rsidRPr="002D74AC">
        <w:rPr>
          <w:rFonts w:asciiTheme="minorHAnsi" w:hAnsiTheme="minorHAnsi" w:cstheme="minorHAnsi"/>
          <w:b/>
          <w:bCs/>
          <w:color w:val="auto"/>
          <w:sz w:val="20"/>
          <w:szCs w:val="20"/>
          <w:lang w:val="cs-CZ"/>
        </w:rPr>
        <w:t>.</w:t>
      </w:r>
      <w:r w:rsidR="006A702C" w:rsidRPr="002D74AC">
        <w:rPr>
          <w:rFonts w:asciiTheme="minorHAnsi" w:hAnsiTheme="minorHAnsi" w:cstheme="minorHAnsi"/>
          <w:b/>
          <w:bCs/>
          <w:color w:val="auto"/>
          <w:sz w:val="20"/>
          <w:szCs w:val="20"/>
          <w:lang w:val="cs-CZ"/>
        </w:rPr>
        <w:tab/>
      </w:r>
      <w:r w:rsidR="0033645D" w:rsidRPr="002D74AC">
        <w:rPr>
          <w:rFonts w:asciiTheme="minorHAnsi" w:hAnsiTheme="minorHAnsi" w:cstheme="minorHAnsi"/>
          <w:b/>
          <w:bCs/>
          <w:color w:val="auto"/>
          <w:sz w:val="20"/>
          <w:szCs w:val="20"/>
          <w:lang w:val="cs-CZ"/>
        </w:rPr>
        <w:t xml:space="preserve"> ÚPLNÉ ZNĚNÍ</w:t>
      </w:r>
    </w:p>
    <w:p w14:paraId="697BAC05" w14:textId="77777777" w:rsidR="006A702C" w:rsidRPr="002D74AC" w:rsidRDefault="006A702C">
      <w:pPr>
        <w:ind w:left="719"/>
        <w:jc w:val="both"/>
        <w:rPr>
          <w:rFonts w:asciiTheme="minorHAnsi" w:hAnsiTheme="minorHAnsi" w:cstheme="minorHAnsi"/>
          <w:color w:val="auto"/>
          <w:sz w:val="20"/>
          <w:szCs w:val="20"/>
          <w:lang w:val="cs-CZ"/>
        </w:rPr>
      </w:pPr>
    </w:p>
    <w:p w14:paraId="48831C79" w14:textId="7E27CA7F" w:rsidR="000A2609" w:rsidRPr="002D74AC" w:rsidRDefault="000A2609" w:rsidP="000A2609">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Tato Smlouva </w:t>
      </w:r>
      <w:r w:rsidR="0033645D" w:rsidRPr="002D74AC">
        <w:rPr>
          <w:rFonts w:asciiTheme="minorHAnsi" w:hAnsiTheme="minorHAnsi" w:cstheme="minorHAnsi"/>
          <w:color w:val="auto"/>
          <w:sz w:val="20"/>
          <w:szCs w:val="20"/>
          <w:lang w:val="cs-CZ"/>
        </w:rPr>
        <w:t>tvoří úplné znění a obsahuje veškerá ujednání</w:t>
      </w:r>
      <w:r w:rsidRPr="002D74AC">
        <w:rPr>
          <w:rFonts w:asciiTheme="minorHAnsi" w:hAnsiTheme="minorHAnsi" w:cstheme="minorHAnsi"/>
          <w:color w:val="auto"/>
          <w:sz w:val="20"/>
          <w:szCs w:val="20"/>
          <w:lang w:val="cs-CZ"/>
        </w:rPr>
        <w:t xml:space="preserve"> mezi </w:t>
      </w:r>
      <w:r w:rsidR="0057515A" w:rsidRPr="002D74AC">
        <w:rPr>
          <w:rFonts w:asciiTheme="minorHAnsi" w:hAnsiTheme="minorHAnsi" w:cstheme="minorHAnsi"/>
          <w:color w:val="auto"/>
          <w:sz w:val="20"/>
          <w:szCs w:val="20"/>
          <w:lang w:val="cs-CZ"/>
        </w:rPr>
        <w:t>S</w:t>
      </w:r>
      <w:r w:rsidRPr="002D74AC">
        <w:rPr>
          <w:rFonts w:asciiTheme="minorHAnsi" w:hAnsiTheme="minorHAnsi" w:cstheme="minorHAnsi"/>
          <w:color w:val="auto"/>
          <w:sz w:val="20"/>
          <w:szCs w:val="20"/>
          <w:lang w:val="cs-CZ"/>
        </w:rPr>
        <w:t xml:space="preserve">tranami ohledně předmětu této Smlouvy, kromě případů zde výslovně uvedených, a bude nahrazovat veškerá předchozí ujednání, veškeré předchozí závazky a dohody existující mezi smluvními stranami v jakékoliv formě. </w:t>
      </w:r>
    </w:p>
    <w:p w14:paraId="4C1BD076" w14:textId="3FC9EE2B" w:rsidR="00EA20C9" w:rsidRPr="002D74AC" w:rsidRDefault="00EA20C9" w:rsidP="000A2609">
      <w:pPr>
        <w:jc w:val="both"/>
        <w:rPr>
          <w:rFonts w:asciiTheme="minorHAnsi" w:hAnsiTheme="minorHAnsi" w:cstheme="minorHAnsi"/>
          <w:color w:val="auto"/>
          <w:sz w:val="20"/>
          <w:szCs w:val="20"/>
          <w:lang w:val="cs-CZ"/>
        </w:rPr>
      </w:pPr>
    </w:p>
    <w:p w14:paraId="2F1D39D5" w14:textId="77777777" w:rsidR="006A702C" w:rsidRPr="002D74AC" w:rsidRDefault="00767574">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1</w:t>
      </w:r>
      <w:r w:rsidR="00EC2226" w:rsidRPr="002D74AC">
        <w:rPr>
          <w:rFonts w:asciiTheme="minorHAnsi" w:hAnsiTheme="minorHAnsi" w:cstheme="minorHAnsi"/>
          <w:b/>
          <w:bCs/>
          <w:color w:val="auto"/>
          <w:sz w:val="20"/>
          <w:szCs w:val="20"/>
          <w:lang w:val="cs-CZ"/>
        </w:rPr>
        <w:t>8</w:t>
      </w:r>
      <w:r w:rsidR="006A702C" w:rsidRPr="002D74AC">
        <w:rPr>
          <w:rFonts w:asciiTheme="minorHAnsi" w:hAnsiTheme="minorHAnsi" w:cstheme="minorHAnsi"/>
          <w:b/>
          <w:bCs/>
          <w:color w:val="auto"/>
          <w:sz w:val="20"/>
          <w:szCs w:val="20"/>
          <w:lang w:val="cs-CZ"/>
        </w:rPr>
        <w:t>.</w:t>
      </w:r>
      <w:r w:rsidR="006A702C" w:rsidRPr="002D74AC">
        <w:rPr>
          <w:rFonts w:asciiTheme="minorHAnsi" w:hAnsiTheme="minorHAnsi" w:cstheme="minorHAnsi"/>
          <w:b/>
          <w:bCs/>
          <w:color w:val="auto"/>
          <w:sz w:val="20"/>
          <w:szCs w:val="20"/>
          <w:lang w:val="cs-CZ"/>
        </w:rPr>
        <w:tab/>
      </w:r>
      <w:r w:rsidR="00733ECE" w:rsidRPr="002D74AC">
        <w:rPr>
          <w:rFonts w:asciiTheme="minorHAnsi" w:hAnsiTheme="minorHAnsi" w:cstheme="minorHAnsi"/>
          <w:b/>
          <w:bCs/>
          <w:color w:val="auto"/>
          <w:sz w:val="20"/>
          <w:szCs w:val="20"/>
          <w:lang w:val="cs-CZ"/>
        </w:rPr>
        <w:t>OZNÁMENÍ</w:t>
      </w:r>
    </w:p>
    <w:p w14:paraId="0F406A56" w14:textId="77777777" w:rsidR="006A702C" w:rsidRPr="002D74AC" w:rsidRDefault="006A702C">
      <w:pPr>
        <w:pStyle w:val="Zkladntextodsazen"/>
        <w:ind w:left="719" w:firstLine="0"/>
        <w:jc w:val="both"/>
        <w:rPr>
          <w:rFonts w:asciiTheme="minorHAnsi" w:hAnsiTheme="minorHAnsi" w:cstheme="minorHAnsi"/>
          <w:b w:val="0"/>
          <w:sz w:val="20"/>
          <w:lang w:val="cs-CZ"/>
        </w:rPr>
      </w:pPr>
    </w:p>
    <w:p w14:paraId="353C236F" w14:textId="77777777" w:rsidR="006A702C" w:rsidRPr="003A3A79" w:rsidRDefault="00733ECE" w:rsidP="004E5571">
      <w:pPr>
        <w:pStyle w:val="Zkladntextodsazen"/>
        <w:numPr>
          <w:ilvl w:val="0"/>
          <w:numId w:val="13"/>
        </w:numPr>
        <w:tabs>
          <w:tab w:val="clear" w:pos="1079"/>
          <w:tab w:val="num" w:pos="-342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Veškerá oznámení nebo žádosti vyžadované podle této Smlouvy a všechna další sdělení související s touto </w:t>
      </w:r>
      <w:r w:rsidRPr="003A3A79">
        <w:rPr>
          <w:rFonts w:asciiTheme="minorHAnsi" w:hAnsiTheme="minorHAnsi" w:cstheme="minorHAnsi"/>
          <w:b w:val="0"/>
          <w:sz w:val="20"/>
          <w:lang w:val="cs-CZ"/>
        </w:rPr>
        <w:t>Smlouvou budou učiněna písemně a budou považována za řádně provedená, pokud jsou doručena nebo zaslána faxem, elektronickou poštou nebo kurýrem, adresována podle níže uvedený</w:t>
      </w:r>
      <w:r w:rsidR="004315B7" w:rsidRPr="003A3A79">
        <w:rPr>
          <w:rFonts w:asciiTheme="minorHAnsi" w:hAnsiTheme="minorHAnsi" w:cstheme="minorHAnsi"/>
          <w:b w:val="0"/>
          <w:sz w:val="20"/>
          <w:lang w:val="cs-CZ"/>
        </w:rPr>
        <w:t>ch</w:t>
      </w:r>
      <w:r w:rsidRPr="003A3A79">
        <w:rPr>
          <w:rFonts w:asciiTheme="minorHAnsi" w:hAnsiTheme="minorHAnsi" w:cstheme="minorHAnsi"/>
          <w:b w:val="0"/>
          <w:sz w:val="20"/>
          <w:lang w:val="cs-CZ"/>
        </w:rPr>
        <w:t xml:space="preserve"> údajů a jsou účinná při přijetí</w:t>
      </w:r>
      <w:r w:rsidR="006A702C" w:rsidRPr="003A3A79">
        <w:rPr>
          <w:rFonts w:asciiTheme="minorHAnsi" w:hAnsiTheme="minorHAnsi" w:cstheme="minorHAnsi"/>
          <w:b w:val="0"/>
          <w:sz w:val="20"/>
          <w:lang w:val="cs-CZ"/>
        </w:rPr>
        <w:t>:</w:t>
      </w:r>
    </w:p>
    <w:p w14:paraId="5F282A05" w14:textId="77777777" w:rsidR="006A702C" w:rsidRPr="003A3A79" w:rsidRDefault="006A702C">
      <w:pPr>
        <w:pStyle w:val="Zkladntextodsazen"/>
        <w:ind w:left="1079"/>
        <w:jc w:val="both"/>
        <w:rPr>
          <w:rFonts w:asciiTheme="minorHAnsi" w:hAnsiTheme="minorHAnsi" w:cstheme="minorHAnsi"/>
          <w:b w:val="0"/>
          <w:sz w:val="20"/>
          <w:lang w:val="cs-CZ"/>
        </w:rPr>
      </w:pPr>
    </w:p>
    <w:p w14:paraId="3E5556F8" w14:textId="175F479A" w:rsidR="003C07AF" w:rsidRDefault="006A702C" w:rsidP="005F7598">
      <w:pPr>
        <w:pStyle w:val="Zkladntextodsazen"/>
        <w:ind w:left="1079"/>
        <w:jc w:val="both"/>
        <w:rPr>
          <w:rFonts w:asciiTheme="minorHAnsi" w:hAnsiTheme="minorHAnsi" w:cstheme="minorHAnsi"/>
          <w:b w:val="0"/>
          <w:sz w:val="20"/>
          <w:lang w:val="cs-CZ"/>
        </w:rPr>
      </w:pPr>
      <w:r w:rsidRPr="003A3A79">
        <w:rPr>
          <w:rFonts w:asciiTheme="minorHAnsi" w:hAnsiTheme="minorHAnsi" w:cstheme="minorHAnsi"/>
          <w:b w:val="0"/>
          <w:sz w:val="20"/>
          <w:lang w:val="cs-CZ"/>
        </w:rPr>
        <w:t>Deloitte</w:t>
      </w:r>
      <w:r w:rsidRPr="003A3A79">
        <w:rPr>
          <w:rFonts w:asciiTheme="minorHAnsi" w:hAnsiTheme="minorHAnsi" w:cstheme="minorHAnsi"/>
          <w:sz w:val="20"/>
        </w:rPr>
        <w:tab/>
      </w:r>
      <w:r w:rsidRPr="003A3A79">
        <w:rPr>
          <w:rFonts w:asciiTheme="minorHAnsi" w:hAnsiTheme="minorHAnsi" w:cstheme="minorHAnsi"/>
          <w:sz w:val="20"/>
        </w:rPr>
        <w:tab/>
      </w:r>
      <w:r w:rsidRPr="003A3A79">
        <w:rPr>
          <w:rFonts w:asciiTheme="minorHAnsi" w:hAnsiTheme="minorHAnsi" w:cstheme="minorHAnsi"/>
          <w:sz w:val="20"/>
        </w:rPr>
        <w:tab/>
      </w:r>
      <w:proofErr w:type="spellStart"/>
      <w:r w:rsidR="005F7598">
        <w:rPr>
          <w:rFonts w:asciiTheme="minorHAnsi" w:hAnsiTheme="minorHAnsi" w:cstheme="minorHAnsi"/>
          <w:b w:val="0"/>
          <w:sz w:val="20"/>
          <w:lang w:val="cs-CZ"/>
        </w:rPr>
        <w:t>xxxxxxxxxxxxx</w:t>
      </w:r>
      <w:proofErr w:type="spellEnd"/>
    </w:p>
    <w:p w14:paraId="7175842E" w14:textId="77777777" w:rsidR="005F7598" w:rsidRPr="002D74AC" w:rsidRDefault="005F7598" w:rsidP="005F7598">
      <w:pPr>
        <w:pStyle w:val="Zkladntextodsazen"/>
        <w:ind w:left="1079"/>
        <w:jc w:val="both"/>
        <w:rPr>
          <w:rFonts w:asciiTheme="minorHAnsi" w:hAnsiTheme="minorHAnsi" w:cstheme="minorHAnsi"/>
          <w:b w:val="0"/>
          <w:sz w:val="20"/>
          <w:lang w:val="cs-CZ"/>
        </w:rPr>
      </w:pPr>
    </w:p>
    <w:p w14:paraId="6AF6484D" w14:textId="7F364217" w:rsidR="006A702C" w:rsidRPr="002D74AC" w:rsidRDefault="006A702C">
      <w:pPr>
        <w:pStyle w:val="Zkladntextodsazen"/>
        <w:ind w:left="1079"/>
        <w:jc w:val="both"/>
        <w:rPr>
          <w:rFonts w:asciiTheme="minorHAnsi" w:hAnsiTheme="minorHAnsi" w:cstheme="minorHAnsi"/>
          <w:b w:val="0"/>
          <w:sz w:val="20"/>
          <w:lang w:val="cs-CZ"/>
        </w:rPr>
      </w:pPr>
    </w:p>
    <w:p w14:paraId="46F53813" w14:textId="7BF4D7EF" w:rsidR="003C07AF" w:rsidRDefault="006A702C" w:rsidP="005F7598">
      <w:pPr>
        <w:pStyle w:val="Zkladntextodsazen"/>
        <w:ind w:left="1079"/>
        <w:jc w:val="both"/>
        <w:rPr>
          <w:rFonts w:asciiTheme="minorHAnsi" w:hAnsiTheme="minorHAnsi" w:cstheme="minorHAnsi"/>
          <w:b w:val="0"/>
          <w:sz w:val="20"/>
          <w:lang w:val="cs-CZ"/>
        </w:rPr>
      </w:pPr>
      <w:r w:rsidRPr="002D74AC">
        <w:rPr>
          <w:rFonts w:asciiTheme="minorHAnsi" w:hAnsiTheme="minorHAnsi" w:cstheme="minorHAnsi"/>
          <w:b w:val="0"/>
          <w:sz w:val="20"/>
          <w:lang w:val="cs-CZ"/>
        </w:rPr>
        <w:t>S</w:t>
      </w:r>
      <w:r w:rsidR="00246AF2" w:rsidRPr="002D74AC">
        <w:rPr>
          <w:rFonts w:asciiTheme="minorHAnsi" w:hAnsiTheme="minorHAnsi" w:cstheme="minorHAnsi"/>
          <w:b w:val="0"/>
          <w:sz w:val="20"/>
          <w:lang w:val="cs-CZ"/>
        </w:rPr>
        <w:t>ub</w:t>
      </w:r>
      <w:r w:rsidR="00733ECE" w:rsidRPr="002D74AC">
        <w:rPr>
          <w:rFonts w:asciiTheme="minorHAnsi" w:hAnsiTheme="minorHAnsi" w:cstheme="minorHAnsi"/>
          <w:b w:val="0"/>
          <w:sz w:val="20"/>
          <w:lang w:val="cs-CZ"/>
        </w:rPr>
        <w:t>dodavatel</w:t>
      </w:r>
      <w:r w:rsidRPr="00076672">
        <w:rPr>
          <w:rFonts w:asciiTheme="minorHAnsi" w:hAnsiTheme="minorHAnsi" w:cstheme="minorHAnsi"/>
          <w:sz w:val="20"/>
          <w:lang w:val="es-ES"/>
        </w:rPr>
        <w:tab/>
      </w:r>
      <w:proofErr w:type="spellStart"/>
      <w:r w:rsidR="005F7598">
        <w:rPr>
          <w:rFonts w:asciiTheme="minorHAnsi" w:hAnsiTheme="minorHAnsi" w:cstheme="minorHAnsi"/>
          <w:b w:val="0"/>
          <w:sz w:val="20"/>
          <w:lang w:val="cs-CZ"/>
        </w:rPr>
        <w:t>xxxxxxxxxxxxx</w:t>
      </w:r>
      <w:proofErr w:type="spellEnd"/>
    </w:p>
    <w:p w14:paraId="2EAD1C9B" w14:textId="77777777" w:rsidR="005F7598" w:rsidRDefault="005F7598" w:rsidP="005F7598">
      <w:pPr>
        <w:pStyle w:val="Zkladntextodsazen"/>
        <w:ind w:left="1079"/>
        <w:jc w:val="both"/>
        <w:rPr>
          <w:rFonts w:asciiTheme="minorHAnsi" w:hAnsiTheme="minorHAnsi" w:cstheme="minorHAnsi"/>
          <w:b w:val="0"/>
          <w:sz w:val="20"/>
          <w:lang w:val="cs-CZ"/>
        </w:rPr>
      </w:pPr>
    </w:p>
    <w:p w14:paraId="77571714" w14:textId="77777777" w:rsidR="005F7598" w:rsidRDefault="005F7598" w:rsidP="005F7598">
      <w:pPr>
        <w:pStyle w:val="Zkladntextodsazen"/>
        <w:ind w:left="1079"/>
        <w:jc w:val="both"/>
        <w:rPr>
          <w:rFonts w:asciiTheme="minorHAnsi" w:hAnsiTheme="minorHAnsi" w:cstheme="minorHAnsi"/>
          <w:b w:val="0"/>
          <w:sz w:val="20"/>
          <w:lang w:val="cs-CZ"/>
        </w:rPr>
      </w:pPr>
    </w:p>
    <w:p w14:paraId="29C28338" w14:textId="77777777" w:rsidR="005F7598" w:rsidRDefault="005F7598" w:rsidP="005F7598">
      <w:pPr>
        <w:pStyle w:val="Zkladntextodsazen"/>
        <w:ind w:left="1079"/>
        <w:jc w:val="both"/>
        <w:rPr>
          <w:rFonts w:asciiTheme="minorHAnsi" w:hAnsiTheme="minorHAnsi" w:cstheme="minorHAnsi"/>
          <w:b w:val="0"/>
          <w:sz w:val="20"/>
          <w:lang w:val="cs-CZ"/>
        </w:rPr>
      </w:pPr>
    </w:p>
    <w:p w14:paraId="3921CCC0" w14:textId="77777777" w:rsidR="005F7598" w:rsidRDefault="005F7598" w:rsidP="005F7598">
      <w:pPr>
        <w:pStyle w:val="Zkladntextodsazen"/>
        <w:ind w:left="1079"/>
        <w:jc w:val="both"/>
        <w:rPr>
          <w:rFonts w:asciiTheme="minorHAnsi" w:hAnsiTheme="minorHAnsi" w:cstheme="minorHAnsi"/>
          <w:b w:val="0"/>
          <w:sz w:val="20"/>
          <w:lang w:val="cs-CZ"/>
        </w:rPr>
      </w:pPr>
    </w:p>
    <w:p w14:paraId="26D6C600" w14:textId="77777777" w:rsidR="005F7598" w:rsidRDefault="005F7598" w:rsidP="005F7598">
      <w:pPr>
        <w:pStyle w:val="Zkladntextodsazen"/>
        <w:ind w:left="1079"/>
        <w:jc w:val="both"/>
        <w:rPr>
          <w:rFonts w:asciiTheme="minorHAnsi" w:hAnsiTheme="minorHAnsi" w:cstheme="minorHAnsi"/>
          <w:b w:val="0"/>
          <w:sz w:val="20"/>
          <w:lang w:val="cs-CZ"/>
        </w:rPr>
      </w:pPr>
    </w:p>
    <w:p w14:paraId="1BBB845F" w14:textId="77777777" w:rsidR="005F7598" w:rsidRDefault="005F7598" w:rsidP="005F7598">
      <w:pPr>
        <w:pStyle w:val="Zkladntextodsazen"/>
        <w:ind w:left="1079"/>
        <w:jc w:val="both"/>
        <w:rPr>
          <w:rFonts w:asciiTheme="minorHAnsi" w:hAnsiTheme="minorHAnsi" w:cstheme="minorHAnsi"/>
          <w:b w:val="0"/>
          <w:sz w:val="20"/>
          <w:lang w:val="cs-CZ"/>
        </w:rPr>
      </w:pPr>
    </w:p>
    <w:p w14:paraId="2920D02F" w14:textId="77777777" w:rsidR="005F7598" w:rsidRDefault="005F7598" w:rsidP="005F7598">
      <w:pPr>
        <w:pStyle w:val="Zkladntextodsazen"/>
        <w:ind w:left="1079"/>
        <w:jc w:val="both"/>
        <w:rPr>
          <w:rFonts w:asciiTheme="minorHAnsi" w:hAnsiTheme="minorHAnsi" w:cstheme="minorHAnsi"/>
          <w:b w:val="0"/>
          <w:sz w:val="20"/>
          <w:lang w:val="cs-CZ"/>
        </w:rPr>
      </w:pPr>
    </w:p>
    <w:p w14:paraId="1636AD7B" w14:textId="77777777" w:rsidR="005F7598" w:rsidRPr="002D74AC" w:rsidRDefault="005F7598" w:rsidP="005F7598">
      <w:pPr>
        <w:pStyle w:val="Zkladntextodsazen"/>
        <w:ind w:left="1079"/>
        <w:jc w:val="both"/>
        <w:rPr>
          <w:rFonts w:asciiTheme="minorHAnsi" w:hAnsiTheme="minorHAnsi" w:cstheme="minorHAnsi"/>
          <w:b w:val="0"/>
          <w:sz w:val="20"/>
          <w:lang w:val="cs-CZ"/>
        </w:rPr>
      </w:pPr>
    </w:p>
    <w:p w14:paraId="48750A97" w14:textId="77777777" w:rsidR="006A702C" w:rsidRPr="002D74AC" w:rsidRDefault="006A702C">
      <w:pPr>
        <w:pStyle w:val="Zkladntextodsazen"/>
        <w:ind w:left="0" w:hanging="540"/>
        <w:jc w:val="both"/>
        <w:rPr>
          <w:rFonts w:asciiTheme="minorHAnsi" w:hAnsiTheme="minorHAnsi" w:cstheme="minorHAnsi"/>
          <w:b w:val="0"/>
          <w:sz w:val="20"/>
          <w:lang w:val="cs-CZ"/>
        </w:rPr>
      </w:pPr>
    </w:p>
    <w:p w14:paraId="4D242CF4" w14:textId="77777777" w:rsidR="00BB6B1B" w:rsidRPr="002D74AC" w:rsidRDefault="00BB6B1B" w:rsidP="004E5571">
      <w:pPr>
        <w:pStyle w:val="Zkladntextodsazen"/>
        <w:numPr>
          <w:ilvl w:val="0"/>
          <w:numId w:val="13"/>
        </w:numPr>
        <w:tabs>
          <w:tab w:val="clear" w:pos="1079"/>
          <w:tab w:val="num" w:pos="-342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Deloitte tímto označuje výše uvedené osoby za primární kontaktní osoby. </w:t>
      </w:r>
    </w:p>
    <w:p w14:paraId="7FDD6E45" w14:textId="77777777" w:rsidR="00BB6B1B" w:rsidRPr="002D74AC" w:rsidRDefault="00BB6B1B" w:rsidP="00BB6B1B">
      <w:pPr>
        <w:pStyle w:val="Zkladntextodsazen"/>
        <w:ind w:left="0" w:hanging="540"/>
        <w:jc w:val="both"/>
        <w:rPr>
          <w:rFonts w:asciiTheme="minorHAnsi" w:hAnsiTheme="minorHAnsi" w:cstheme="minorHAnsi"/>
          <w:b w:val="0"/>
          <w:sz w:val="20"/>
          <w:lang w:val="cs-CZ"/>
        </w:rPr>
      </w:pPr>
    </w:p>
    <w:p w14:paraId="6CDC40E7" w14:textId="77777777" w:rsidR="006A702C" w:rsidRPr="002D74AC" w:rsidRDefault="00BB6B1B" w:rsidP="004E5571">
      <w:pPr>
        <w:pStyle w:val="Zkladntextodsazen"/>
        <w:numPr>
          <w:ilvl w:val="0"/>
          <w:numId w:val="13"/>
        </w:numPr>
        <w:tabs>
          <w:tab w:val="clear" w:pos="1079"/>
          <w:tab w:val="num" w:pos="-342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Každá Strana může tuto adresu, jmenování nebo pozici osob změnit písemným oznámením vydaným a doručeným, jak je popsáno výše</w:t>
      </w:r>
      <w:r w:rsidR="006A702C" w:rsidRPr="002D74AC">
        <w:rPr>
          <w:rFonts w:asciiTheme="minorHAnsi" w:hAnsiTheme="minorHAnsi" w:cstheme="minorHAnsi"/>
          <w:b w:val="0"/>
          <w:sz w:val="20"/>
          <w:lang w:val="cs-CZ"/>
        </w:rPr>
        <w:t>.</w:t>
      </w:r>
    </w:p>
    <w:p w14:paraId="58B2D73A" w14:textId="77777777" w:rsidR="003C07AF" w:rsidRPr="002D74AC" w:rsidRDefault="003C07AF" w:rsidP="003C07AF">
      <w:pPr>
        <w:pStyle w:val="Zkladntextodsazen"/>
        <w:ind w:left="0" w:firstLine="0"/>
        <w:jc w:val="both"/>
        <w:rPr>
          <w:rFonts w:asciiTheme="minorHAnsi" w:hAnsiTheme="minorHAnsi" w:cstheme="minorHAnsi"/>
          <w:b w:val="0"/>
          <w:sz w:val="20"/>
          <w:lang w:val="cs-CZ"/>
        </w:rPr>
      </w:pPr>
    </w:p>
    <w:p w14:paraId="5FF7A8E8" w14:textId="77777777" w:rsidR="006A702C" w:rsidRPr="002D74AC" w:rsidRDefault="00BB6B1B" w:rsidP="004E5571">
      <w:pPr>
        <w:pStyle w:val="Zkladntextodsazen"/>
        <w:numPr>
          <w:ilvl w:val="0"/>
          <w:numId w:val="13"/>
        </w:numPr>
        <w:tabs>
          <w:tab w:val="clear" w:pos="1079"/>
          <w:tab w:val="num" w:pos="-342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Každodenní korespondence související s doručením Služeb a/nebo Výstupů podle této Smlouvy může být vyměňována </w:t>
      </w:r>
      <w:r w:rsidR="0033645D" w:rsidRPr="002D74AC">
        <w:rPr>
          <w:rFonts w:asciiTheme="minorHAnsi" w:hAnsiTheme="minorHAnsi" w:cstheme="minorHAnsi"/>
          <w:b w:val="0"/>
          <w:sz w:val="20"/>
          <w:lang w:val="cs-CZ"/>
        </w:rPr>
        <w:t>prostřednictvím elektronické pošty</w:t>
      </w:r>
      <w:r w:rsidR="003C07AF" w:rsidRPr="002D74AC">
        <w:rPr>
          <w:rFonts w:asciiTheme="minorHAnsi" w:hAnsiTheme="minorHAnsi" w:cstheme="minorHAnsi"/>
          <w:b w:val="0"/>
          <w:sz w:val="20"/>
          <w:lang w:val="cs-CZ"/>
        </w:rPr>
        <w:t>.</w:t>
      </w:r>
      <w:r w:rsidR="00D45B59" w:rsidRPr="002D74AC">
        <w:rPr>
          <w:rFonts w:asciiTheme="minorHAnsi" w:hAnsiTheme="minorHAnsi" w:cstheme="minorHAnsi"/>
          <w:b w:val="0"/>
          <w:sz w:val="20"/>
          <w:lang w:val="cs-CZ"/>
        </w:rPr>
        <w:t xml:space="preserve"> </w:t>
      </w:r>
    </w:p>
    <w:p w14:paraId="7206B3D8" w14:textId="7A1C793A" w:rsidR="00EA20C9" w:rsidRPr="002D74AC" w:rsidRDefault="00EA20C9" w:rsidP="00893DE2">
      <w:pPr>
        <w:rPr>
          <w:rFonts w:asciiTheme="minorHAnsi" w:hAnsiTheme="minorHAnsi" w:cstheme="minorHAnsi"/>
          <w:color w:val="auto"/>
          <w:sz w:val="20"/>
          <w:szCs w:val="20"/>
          <w:lang w:val="cs-CZ"/>
        </w:rPr>
      </w:pPr>
    </w:p>
    <w:p w14:paraId="159A6172" w14:textId="77777777" w:rsidR="00893DE2" w:rsidRPr="002D74AC" w:rsidRDefault="00893DE2" w:rsidP="00893DE2">
      <w:pPr>
        <w:ind w:hanging="567"/>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t xml:space="preserve">19. </w:t>
      </w:r>
      <w:r w:rsidRPr="002D74AC">
        <w:rPr>
          <w:rFonts w:asciiTheme="minorHAnsi" w:hAnsiTheme="minorHAnsi" w:cstheme="minorHAnsi"/>
          <w:b/>
          <w:color w:val="auto"/>
          <w:sz w:val="20"/>
          <w:szCs w:val="20"/>
          <w:lang w:val="cs-CZ"/>
        </w:rPr>
        <w:tab/>
        <w:t>OCHRANA A UCHOVÁNÍ OSOBNÍCH ÚDAJŮ</w:t>
      </w:r>
    </w:p>
    <w:p w14:paraId="70427B16" w14:textId="4924E671" w:rsidR="0056043F" w:rsidRPr="002D74AC" w:rsidRDefault="0056043F" w:rsidP="00893DE2">
      <w:pPr>
        <w:rPr>
          <w:rFonts w:asciiTheme="minorHAnsi" w:hAnsiTheme="minorHAnsi" w:cstheme="minorHAnsi"/>
          <w:color w:val="auto"/>
          <w:sz w:val="20"/>
          <w:szCs w:val="20"/>
          <w:lang w:val="cs-CZ"/>
        </w:rPr>
      </w:pPr>
    </w:p>
    <w:p w14:paraId="076092F3" w14:textId="194E390F"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Aniž by byla dotčena ustanovení v odstavcích H až K níže, Strany berou na vědomí a souhlasí, že při zpracování jakýchkoliv informací, které mohou identifikovat jednotlivce (</w:t>
      </w:r>
      <w:r w:rsidR="00D37CFC" w:rsidRPr="002D74AC">
        <w:rPr>
          <w:rFonts w:asciiTheme="minorHAnsi" w:hAnsiTheme="minorHAnsi" w:cstheme="minorHAnsi"/>
          <w:color w:val="auto"/>
          <w:sz w:val="20"/>
          <w:szCs w:val="20"/>
          <w:lang w:val="cs-CZ"/>
        </w:rPr>
        <w:t xml:space="preserve">dále jen </w:t>
      </w:r>
      <w:r w:rsidRPr="002D74AC">
        <w:rPr>
          <w:rFonts w:asciiTheme="minorHAnsi" w:hAnsiTheme="minorHAnsi" w:cstheme="minorHAnsi"/>
          <w:color w:val="auto"/>
          <w:sz w:val="20"/>
          <w:szCs w:val="20"/>
          <w:lang w:val="cs-CZ"/>
        </w:rPr>
        <w:t>„</w:t>
      </w:r>
      <w:r w:rsidRPr="002D74AC">
        <w:rPr>
          <w:rFonts w:asciiTheme="minorHAnsi" w:hAnsiTheme="minorHAnsi" w:cstheme="minorHAnsi"/>
          <w:b/>
          <w:color w:val="auto"/>
          <w:sz w:val="20"/>
          <w:szCs w:val="20"/>
          <w:lang w:val="cs-CZ"/>
        </w:rPr>
        <w:t>Osobní údaje</w:t>
      </w:r>
      <w:r w:rsidRPr="002D74AC">
        <w:rPr>
          <w:rFonts w:asciiTheme="minorHAnsi" w:hAnsiTheme="minorHAnsi" w:cstheme="minorHAnsi"/>
          <w:color w:val="auto"/>
          <w:sz w:val="20"/>
          <w:szCs w:val="20"/>
          <w:lang w:val="cs-CZ"/>
        </w:rPr>
        <w:t xml:space="preserve">“) v rámci poskytování Služeb, bude Subdodavatel tyto Osobní údaje zpracovávat jako </w:t>
      </w:r>
      <w:r w:rsidR="004E1280" w:rsidRPr="002D74AC">
        <w:rPr>
          <w:rFonts w:asciiTheme="minorHAnsi" w:hAnsiTheme="minorHAnsi" w:cstheme="minorHAnsi"/>
          <w:color w:val="auto"/>
          <w:sz w:val="20"/>
          <w:szCs w:val="20"/>
          <w:lang w:val="cs-CZ"/>
        </w:rPr>
        <w:t>Z</w:t>
      </w:r>
      <w:r w:rsidRPr="002D74AC">
        <w:rPr>
          <w:rFonts w:asciiTheme="minorHAnsi" w:hAnsiTheme="minorHAnsi" w:cstheme="minorHAnsi"/>
          <w:color w:val="auto"/>
          <w:sz w:val="20"/>
          <w:szCs w:val="20"/>
          <w:lang w:val="cs-CZ"/>
        </w:rPr>
        <w:t xml:space="preserve">pracovatel </w:t>
      </w:r>
      <w:r w:rsidRPr="002D74AC">
        <w:rPr>
          <w:rFonts w:asciiTheme="minorHAnsi" w:hAnsiTheme="minorHAnsi" w:cstheme="minorHAnsi"/>
          <w:color w:val="auto"/>
          <w:sz w:val="20"/>
          <w:szCs w:val="20"/>
          <w:lang w:val="cs-CZ"/>
        </w:rPr>
        <w:lastRenderedPageBreak/>
        <w:t>společnosti Deloitte. V takovém případě je rozsah zpracování Osobních údajů Subdodavatelem následující:</w:t>
      </w:r>
    </w:p>
    <w:p w14:paraId="1EF21BEB" w14:textId="66EE01F4" w:rsidR="002A111D" w:rsidRPr="002D74AC" w:rsidRDefault="002A111D" w:rsidP="004E5571">
      <w:pPr>
        <w:numPr>
          <w:ilvl w:val="1"/>
          <w:numId w:val="28"/>
        </w:numPr>
        <w:tabs>
          <w:tab w:val="left" w:pos="993"/>
        </w:tabs>
        <w:ind w:left="426" w:hanging="426"/>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Předmět, povaha a účel zpracování: Osobní údaje budou zpracovávány za účelem poskytování Služeb.</w:t>
      </w:r>
    </w:p>
    <w:p w14:paraId="4925BD38" w14:textId="2B35BD38" w:rsidR="002A111D" w:rsidRPr="002D74AC" w:rsidRDefault="002A111D" w:rsidP="004E5571">
      <w:pPr>
        <w:numPr>
          <w:ilvl w:val="1"/>
          <w:numId w:val="28"/>
        </w:numPr>
        <w:tabs>
          <w:tab w:val="left" w:pos="993"/>
        </w:tabs>
        <w:ind w:left="426" w:hanging="426"/>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Doba</w:t>
      </w:r>
      <w:r w:rsidR="002939F8" w:rsidRPr="002D74AC">
        <w:rPr>
          <w:rFonts w:asciiTheme="minorHAnsi" w:hAnsiTheme="minorHAnsi" w:cstheme="minorHAnsi"/>
          <w:color w:val="auto"/>
          <w:sz w:val="20"/>
          <w:szCs w:val="20"/>
          <w:lang w:val="cs-CZ"/>
        </w:rPr>
        <w:t xml:space="preserve"> </w:t>
      </w:r>
      <w:r w:rsidR="00B81AAC" w:rsidRPr="002D74AC">
        <w:rPr>
          <w:rFonts w:asciiTheme="minorHAnsi" w:hAnsiTheme="minorHAnsi" w:cstheme="minorHAnsi"/>
          <w:color w:val="auto"/>
          <w:sz w:val="20"/>
          <w:szCs w:val="20"/>
          <w:lang w:val="cs-CZ"/>
        </w:rPr>
        <w:t>zpracování</w:t>
      </w:r>
      <w:r w:rsidR="002939F8" w:rsidRPr="002D74AC">
        <w:rPr>
          <w:rFonts w:asciiTheme="minorHAnsi" w:hAnsiTheme="minorHAnsi" w:cstheme="minorHAnsi"/>
          <w:color w:val="auto"/>
          <w:sz w:val="20"/>
          <w:szCs w:val="20"/>
          <w:lang w:val="cs-CZ"/>
        </w:rPr>
        <w:t>: po celou D</w:t>
      </w:r>
      <w:r w:rsidRPr="002D74AC">
        <w:rPr>
          <w:rFonts w:asciiTheme="minorHAnsi" w:hAnsiTheme="minorHAnsi" w:cstheme="minorHAnsi"/>
          <w:color w:val="auto"/>
          <w:sz w:val="20"/>
          <w:szCs w:val="20"/>
          <w:lang w:val="cs-CZ"/>
        </w:rPr>
        <w:t>obu trvání Smlouvy.</w:t>
      </w:r>
    </w:p>
    <w:p w14:paraId="47D8E5AF" w14:textId="77777777" w:rsidR="002A111D" w:rsidRPr="002D74AC" w:rsidRDefault="002A111D" w:rsidP="004E5571">
      <w:pPr>
        <w:numPr>
          <w:ilvl w:val="1"/>
          <w:numId w:val="28"/>
        </w:numPr>
        <w:tabs>
          <w:tab w:val="left" w:pos="993"/>
        </w:tabs>
        <w:ind w:left="426" w:hanging="426"/>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Typy Osobních údajů a kategorie subjektu údajů: jméno, příjmení a emailová adresa zaměstnanců společnosti Deloitte.</w:t>
      </w:r>
    </w:p>
    <w:p w14:paraId="66F04A55" w14:textId="77777777" w:rsidR="002A111D" w:rsidRPr="002D74AC" w:rsidRDefault="002A111D" w:rsidP="0071416B">
      <w:pPr>
        <w:tabs>
          <w:tab w:val="left" w:pos="993"/>
        </w:tabs>
        <w:ind w:hanging="426"/>
        <w:jc w:val="both"/>
        <w:rPr>
          <w:rFonts w:asciiTheme="minorHAnsi" w:hAnsiTheme="minorHAnsi" w:cstheme="minorHAnsi"/>
          <w:color w:val="auto"/>
          <w:sz w:val="20"/>
          <w:szCs w:val="20"/>
          <w:lang w:val="cs-CZ"/>
        </w:rPr>
      </w:pPr>
    </w:p>
    <w:p w14:paraId="2B607DF7" w14:textId="316159CC"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Subdodavatel nesmí používat, zveřejňovat nebo předávat přes hranice Osobní údaje, které zpracovává pro společnost Deloitte, </w:t>
      </w:r>
      <w:r w:rsidR="002939F8" w:rsidRPr="002D74AC">
        <w:rPr>
          <w:rFonts w:asciiTheme="minorHAnsi" w:hAnsiTheme="minorHAnsi" w:cstheme="minorHAnsi"/>
          <w:color w:val="auto"/>
          <w:sz w:val="20"/>
          <w:szCs w:val="20"/>
          <w:lang w:val="cs-CZ"/>
        </w:rPr>
        <w:t>pokud tak n</w:t>
      </w:r>
      <w:r w:rsidR="00A17FA6" w:rsidRPr="002D74AC">
        <w:rPr>
          <w:rFonts w:asciiTheme="minorHAnsi" w:hAnsiTheme="minorHAnsi" w:cstheme="minorHAnsi"/>
          <w:color w:val="auto"/>
          <w:sz w:val="20"/>
          <w:szCs w:val="20"/>
          <w:lang w:val="cs-CZ"/>
        </w:rPr>
        <w:t>e</w:t>
      </w:r>
      <w:r w:rsidR="002939F8" w:rsidRPr="002D74AC">
        <w:rPr>
          <w:rFonts w:asciiTheme="minorHAnsi" w:hAnsiTheme="minorHAnsi" w:cstheme="minorHAnsi"/>
          <w:color w:val="auto"/>
          <w:sz w:val="20"/>
          <w:szCs w:val="20"/>
          <w:lang w:val="cs-CZ"/>
        </w:rPr>
        <w:t>činí v rozsahu nezbytném</w:t>
      </w:r>
      <w:r w:rsidRPr="002D74AC">
        <w:rPr>
          <w:rFonts w:asciiTheme="minorHAnsi" w:hAnsiTheme="minorHAnsi" w:cstheme="minorHAnsi"/>
          <w:color w:val="auto"/>
          <w:sz w:val="20"/>
          <w:szCs w:val="20"/>
          <w:lang w:val="cs-CZ"/>
        </w:rPr>
        <w:t xml:space="preserve"> pro poskytování Služeb.</w:t>
      </w:r>
    </w:p>
    <w:p w14:paraId="2FCD3377" w14:textId="77777777" w:rsidR="002A111D" w:rsidRPr="002D74AC" w:rsidRDefault="002A111D" w:rsidP="0071416B">
      <w:pPr>
        <w:tabs>
          <w:tab w:val="left" w:pos="284"/>
        </w:tabs>
        <w:ind w:hanging="426"/>
        <w:jc w:val="both"/>
        <w:rPr>
          <w:rFonts w:asciiTheme="minorHAnsi" w:hAnsiTheme="minorHAnsi" w:cstheme="minorHAnsi"/>
          <w:color w:val="auto"/>
          <w:sz w:val="20"/>
          <w:szCs w:val="20"/>
          <w:lang w:val="cs-CZ"/>
        </w:rPr>
      </w:pPr>
    </w:p>
    <w:p w14:paraId="6E3C21B0" w14:textId="77777777"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Bez předchozího písemného souhlasu společnosti Deloitte Subdodavatel nezadá zpracování Osobních údajů jiné osobě. Pokud je takový souhlas udělen, Subdodavatel zaváže tuto jinou osobu stejnými povinnostmi týkajícími se ochrany Osobních údajů, jako jsou stanoveny v této Smlouvě, a to na základě písemné dohody, a Subdodavatel zajistí, že tato jiná osoba bude tyto povinnosti dodržovat. Subdodavatel přitom zůstává plně odpovědným vůči společnosti Deloitte za dodržování povinností této jiné osoby.</w:t>
      </w:r>
    </w:p>
    <w:p w14:paraId="13E54564" w14:textId="77777777" w:rsidR="002A111D" w:rsidRPr="002D74AC" w:rsidRDefault="002A111D" w:rsidP="0071416B">
      <w:pPr>
        <w:tabs>
          <w:tab w:val="left" w:pos="284"/>
        </w:tabs>
        <w:ind w:hanging="426"/>
        <w:jc w:val="both"/>
        <w:rPr>
          <w:rFonts w:asciiTheme="minorHAnsi" w:hAnsiTheme="minorHAnsi" w:cstheme="minorHAnsi"/>
          <w:color w:val="auto"/>
          <w:sz w:val="20"/>
          <w:szCs w:val="20"/>
          <w:lang w:val="cs-CZ"/>
        </w:rPr>
      </w:pPr>
    </w:p>
    <w:p w14:paraId="5DA3C8E5" w14:textId="0B121AA7"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bude Osobní údaje zpracovávat pouze na základě doložených pokynů společnosti Deloitte, pokud mu toto zpracování již neukládají právní předpisy EU/EHP, které se na zpracovatele vztahují. V takovém případě musí Subdodavatel informovat společnost Deloitte o tomto zákonném požadavku před zahájením zpracování, ledaže by tyto právní předpisy t</w:t>
      </w:r>
      <w:r w:rsidR="002939F8" w:rsidRPr="002D74AC">
        <w:rPr>
          <w:rFonts w:asciiTheme="minorHAnsi" w:hAnsiTheme="minorHAnsi" w:cstheme="minorHAnsi"/>
          <w:color w:val="auto"/>
          <w:sz w:val="20"/>
          <w:szCs w:val="20"/>
          <w:lang w:val="cs-CZ"/>
        </w:rPr>
        <w:t>akové</w:t>
      </w:r>
      <w:r w:rsidRPr="002D74AC">
        <w:rPr>
          <w:rFonts w:asciiTheme="minorHAnsi" w:hAnsiTheme="minorHAnsi" w:cstheme="minorHAnsi"/>
          <w:color w:val="auto"/>
          <w:sz w:val="20"/>
          <w:szCs w:val="20"/>
          <w:lang w:val="cs-CZ"/>
        </w:rPr>
        <w:t xml:space="preserve"> informování zakazovaly z důležitých důvodů veřejného zájmu. Subdodavatel bude dodržovat všechny právní předpisy v oblasti ochrany osobních údajů, které jsou aplikovatelné, zavede a bude udržovat vhodná technická a organizační opatření a další prostředky ochrany Osobních údajů před náhodným nebo protiprávním zničením nebo náhodnou ztrátou, změnou, neoprávněným zveřejněním nebo zpřístupněním. Opatření, která budou připadat v úvahu, zahrnují, nikoliv však výlučně (a) pseudonymizaci Osobních údajů; (b) schopnost zajistit </w:t>
      </w:r>
      <w:r w:rsidR="00B81AAC" w:rsidRPr="002D74AC">
        <w:rPr>
          <w:rFonts w:asciiTheme="minorHAnsi" w:hAnsiTheme="minorHAnsi" w:cstheme="minorHAnsi"/>
          <w:color w:val="auto"/>
          <w:sz w:val="20"/>
          <w:szCs w:val="20"/>
          <w:lang w:val="cs-CZ"/>
        </w:rPr>
        <w:t xml:space="preserve">nepřetržitou </w:t>
      </w:r>
      <w:r w:rsidRPr="002D74AC">
        <w:rPr>
          <w:rFonts w:asciiTheme="minorHAnsi" w:hAnsiTheme="minorHAnsi" w:cstheme="minorHAnsi"/>
          <w:color w:val="auto"/>
          <w:sz w:val="20"/>
          <w:szCs w:val="20"/>
          <w:lang w:val="cs-CZ"/>
        </w:rPr>
        <w:t>důvěrnost, integritu, dostupnost a odolnost systémů a služeb zpracování; (c) schopnost včasného obnovení dostupnosti Osobních údajů a přístupu k nim v případě fyzického nebo technického incidentu; a (d) proces pravidelného testování, posuzování a hodnocení účinnosti technických a organizačních opatření za účelem zajištění bezpečnosti zpracování. Aniž by byla dotčena ustanovení předchozí věty a čl</w:t>
      </w:r>
      <w:r w:rsidR="00D37CFC" w:rsidRPr="002D74AC">
        <w:rPr>
          <w:rFonts w:asciiTheme="minorHAnsi" w:hAnsiTheme="minorHAnsi" w:cstheme="minorHAnsi"/>
          <w:color w:val="auto"/>
          <w:sz w:val="20"/>
          <w:szCs w:val="20"/>
          <w:lang w:val="cs-CZ"/>
        </w:rPr>
        <w:t>ánku</w:t>
      </w:r>
      <w:r w:rsidRPr="002D74AC">
        <w:rPr>
          <w:rFonts w:asciiTheme="minorHAnsi" w:hAnsiTheme="minorHAnsi" w:cstheme="minorHAnsi"/>
          <w:color w:val="auto"/>
          <w:sz w:val="20"/>
          <w:szCs w:val="20"/>
          <w:lang w:val="cs-CZ"/>
        </w:rPr>
        <w:t xml:space="preserve"> 9</w:t>
      </w:r>
      <w:r w:rsidR="00D37CFC" w:rsidRPr="002D74AC">
        <w:rPr>
          <w:rFonts w:asciiTheme="minorHAnsi" w:hAnsiTheme="minorHAnsi" w:cstheme="minorHAnsi"/>
          <w:color w:val="auto"/>
          <w:sz w:val="20"/>
          <w:szCs w:val="20"/>
          <w:lang w:val="cs-CZ"/>
        </w:rPr>
        <w:t xml:space="preserve"> odstavce  (</w:t>
      </w:r>
      <w:r w:rsidRPr="002D74AC">
        <w:rPr>
          <w:rFonts w:asciiTheme="minorHAnsi" w:hAnsiTheme="minorHAnsi" w:cstheme="minorHAnsi"/>
          <w:color w:val="auto"/>
          <w:sz w:val="20"/>
          <w:szCs w:val="20"/>
          <w:lang w:val="cs-CZ"/>
        </w:rPr>
        <w:t>B</w:t>
      </w:r>
      <w:r w:rsidR="00D37CFC"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 xml:space="preserve"> výše, bude Subdodavatel (a) šifrovat Osobní údaje a Důvěrné informace uchovávané v systémech Subdodavatele za použití postupů, které odpovídají aktuálnímu stavu technologií, (b) šifrovat Osobní údaje a Důvěrné informace při jej</w:t>
      </w:r>
      <w:r w:rsidR="002453D6" w:rsidRPr="002D74AC">
        <w:rPr>
          <w:rFonts w:asciiTheme="minorHAnsi" w:hAnsiTheme="minorHAnsi" w:cstheme="minorHAnsi"/>
          <w:color w:val="auto"/>
          <w:sz w:val="20"/>
          <w:szCs w:val="20"/>
          <w:lang w:val="cs-CZ"/>
        </w:rPr>
        <w:t>i</w:t>
      </w:r>
      <w:r w:rsidRPr="002D74AC">
        <w:rPr>
          <w:rFonts w:asciiTheme="minorHAnsi" w:hAnsiTheme="minorHAnsi" w:cstheme="minorHAnsi"/>
          <w:color w:val="auto"/>
          <w:sz w:val="20"/>
          <w:szCs w:val="20"/>
          <w:lang w:val="cs-CZ"/>
        </w:rPr>
        <w:t xml:space="preserve">ch předávání za použití postupů, které odpovídají aktuálnímu stavu technologií (c) šifrovat hesla personálu Subdodavatele při jejich uchovávání či přenosech, a (d) šifrovat užívání prohlížeče webových aplikací (browser </w:t>
      </w:r>
      <w:proofErr w:type="spellStart"/>
      <w:r w:rsidRPr="002D74AC">
        <w:rPr>
          <w:rFonts w:asciiTheme="minorHAnsi" w:hAnsiTheme="minorHAnsi" w:cstheme="minorHAnsi"/>
          <w:color w:val="auto"/>
          <w:sz w:val="20"/>
          <w:szCs w:val="20"/>
          <w:lang w:val="cs-CZ"/>
        </w:rPr>
        <w:t>traffic</w:t>
      </w:r>
      <w:proofErr w:type="spellEnd"/>
      <w:r w:rsidRPr="002D74AC">
        <w:rPr>
          <w:rFonts w:asciiTheme="minorHAnsi" w:hAnsiTheme="minorHAnsi" w:cstheme="minorHAnsi"/>
          <w:color w:val="auto"/>
          <w:sz w:val="20"/>
          <w:szCs w:val="20"/>
          <w:lang w:val="cs-CZ"/>
        </w:rPr>
        <w:t xml:space="preserve">) personálu Subdodavatele. Subdodavatel okamžitě oznámí na adresu </w:t>
      </w:r>
      <w:hyperlink r:id="rId11" w:history="1">
        <w:r w:rsidRPr="002D74AC">
          <w:rPr>
            <w:rFonts w:asciiTheme="minorHAnsi" w:hAnsiTheme="minorHAnsi" w:cstheme="minorHAnsi"/>
            <w:color w:val="auto"/>
            <w:sz w:val="20"/>
            <w:szCs w:val="20"/>
            <w:lang w:val="cs-CZ"/>
          </w:rPr>
          <w:t>CEIncidentReportingDesk@deloitte.com</w:t>
        </w:r>
      </w:hyperlink>
      <w:r w:rsidRPr="002D74AC">
        <w:rPr>
          <w:rFonts w:asciiTheme="minorHAnsi" w:hAnsiTheme="minorHAnsi" w:cstheme="minorHAnsi"/>
          <w:color w:val="auto"/>
          <w:sz w:val="20"/>
          <w:szCs w:val="20"/>
          <w:lang w:val="cs-CZ"/>
        </w:rPr>
        <w:t xml:space="preserve"> jakékoliv porušení zabezpečení Osobních údajů nebo Důvěrných informací. S výjimkou případů, kdy to bude vyžadováno platnými právními předpisy, Subdodavatel nebude uskutečňovat žádné komunikace, oznámení nebo korespondenci související s jakýmkoliv domnělým porušením vůči orgánům dohledu, třetím stranám nebo subjektu údajů, v žádném případě však bez předchozího písemného souhlasu spole</w:t>
      </w:r>
      <w:r w:rsidR="002939F8" w:rsidRPr="002D74AC">
        <w:rPr>
          <w:rFonts w:asciiTheme="minorHAnsi" w:hAnsiTheme="minorHAnsi" w:cstheme="minorHAnsi"/>
          <w:color w:val="auto"/>
          <w:sz w:val="20"/>
          <w:szCs w:val="20"/>
          <w:lang w:val="cs-CZ"/>
        </w:rPr>
        <w:t>čnosti Deloitte a bez koordinace</w:t>
      </w:r>
      <w:r w:rsidRPr="002D74AC">
        <w:rPr>
          <w:rFonts w:asciiTheme="minorHAnsi" w:hAnsiTheme="minorHAnsi" w:cstheme="minorHAnsi"/>
          <w:color w:val="auto"/>
          <w:sz w:val="20"/>
          <w:szCs w:val="20"/>
          <w:lang w:val="cs-CZ"/>
        </w:rPr>
        <w:t xml:space="preserve"> s ní. Subdodavatel bude plnit požadavky společnosti Deloitte a poskytne jí asistenci při vyřizování žádostí subjektu údajů o přístup k Osobním údajům, jejich opravu, vymazání, omezení zpracování, či vyřizování námitek proti zpracování Osobních údajů a při uplatnění práva na přenositelnost Osobních údajů v držení Subdodavatele. Na žádost společnosti Deloitte Subdodavatel poskytne veškeré informace nezbytné</w:t>
      </w:r>
      <w:r w:rsidR="002939F8" w:rsidRPr="002D74AC">
        <w:rPr>
          <w:rFonts w:asciiTheme="minorHAnsi" w:hAnsiTheme="minorHAnsi" w:cstheme="minorHAnsi"/>
          <w:color w:val="auto"/>
          <w:sz w:val="20"/>
          <w:szCs w:val="20"/>
          <w:lang w:val="cs-CZ"/>
        </w:rPr>
        <w:t xml:space="preserve"> k tomu, aby</w:t>
      </w:r>
      <w:r w:rsidRPr="002D74AC">
        <w:rPr>
          <w:rFonts w:asciiTheme="minorHAnsi" w:hAnsiTheme="minorHAnsi" w:cstheme="minorHAnsi"/>
          <w:color w:val="auto"/>
          <w:sz w:val="20"/>
          <w:szCs w:val="20"/>
          <w:lang w:val="cs-CZ"/>
        </w:rPr>
        <w:t xml:space="preserve"> společnost Deloitte </w:t>
      </w:r>
      <w:r w:rsidR="002939F8" w:rsidRPr="002D74AC">
        <w:rPr>
          <w:rFonts w:asciiTheme="minorHAnsi" w:hAnsiTheme="minorHAnsi" w:cstheme="minorHAnsi"/>
          <w:color w:val="auto"/>
          <w:sz w:val="20"/>
          <w:szCs w:val="20"/>
          <w:lang w:val="cs-CZ"/>
        </w:rPr>
        <w:t>mohla prokázat</w:t>
      </w:r>
      <w:r w:rsidRPr="002D74AC">
        <w:rPr>
          <w:rFonts w:asciiTheme="minorHAnsi" w:hAnsiTheme="minorHAnsi" w:cstheme="minorHAnsi"/>
          <w:color w:val="auto"/>
          <w:sz w:val="20"/>
          <w:szCs w:val="20"/>
          <w:lang w:val="cs-CZ"/>
        </w:rPr>
        <w:t xml:space="preserve"> plnění všech povinností vyplývajících z právních předpisů v oblasti ochrany osobních údajů a umožní a bude se podílet na provedení auditů, včetně inspekcí, uskutečněných společností Deloitte nebo jiným auditorem pověřeným společností Deloitte.</w:t>
      </w:r>
    </w:p>
    <w:p w14:paraId="6F5EE28A" w14:textId="77777777" w:rsidR="002A111D" w:rsidRPr="002D74AC" w:rsidRDefault="002A111D" w:rsidP="0071416B">
      <w:pPr>
        <w:tabs>
          <w:tab w:val="left" w:pos="284"/>
        </w:tabs>
        <w:ind w:hanging="426"/>
        <w:jc w:val="both"/>
        <w:rPr>
          <w:rFonts w:asciiTheme="minorHAnsi" w:hAnsiTheme="minorHAnsi" w:cstheme="minorHAnsi"/>
          <w:color w:val="auto"/>
          <w:sz w:val="20"/>
          <w:szCs w:val="20"/>
          <w:lang w:val="cs-CZ"/>
        </w:rPr>
      </w:pPr>
    </w:p>
    <w:p w14:paraId="2625B0CF" w14:textId="5B2D6D31"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Subdodavatel zajistí, aby se osoby oprávněné zpracovávat Osobní údaje zavázaly k povinnosti mlčenlivosti nebo aby podléhaly vhodné zákonné povinnosti mlčenlivosti. Subdodavatel bude společnosti Deloitte poskytovat podporu při zajištění plnění povinností v oblasti bezpečnosti zpracování a oznamování porušení zabezpečení Osobních údajů (porušení zabezpečení Osobních údajů znamená porušení nebo rozumné podezření na porušení zabezpečení, vedoucí k náhodnému nebo protiprávnímu zničení, ztrátě, změně, neoprávněnému zveřejnění nebo zpřístupnění předávaných, </w:t>
      </w:r>
      <w:r w:rsidRPr="002D74AC">
        <w:rPr>
          <w:rFonts w:asciiTheme="minorHAnsi" w:hAnsiTheme="minorHAnsi" w:cstheme="minorHAnsi"/>
          <w:color w:val="auto"/>
          <w:sz w:val="20"/>
          <w:szCs w:val="20"/>
          <w:lang w:val="cs-CZ"/>
        </w:rPr>
        <w:lastRenderedPageBreak/>
        <w:t>uchovávaných nebo jinak zpracovávaných Oso</w:t>
      </w:r>
      <w:r w:rsidR="008853D2" w:rsidRPr="002D74AC">
        <w:rPr>
          <w:rFonts w:asciiTheme="minorHAnsi" w:hAnsiTheme="minorHAnsi" w:cstheme="minorHAnsi"/>
          <w:color w:val="auto"/>
          <w:sz w:val="20"/>
          <w:szCs w:val="20"/>
          <w:lang w:val="cs-CZ"/>
        </w:rPr>
        <w:t>bních údajů)</w:t>
      </w:r>
      <w:r w:rsidRPr="002D74AC">
        <w:rPr>
          <w:rFonts w:asciiTheme="minorHAnsi" w:hAnsiTheme="minorHAnsi" w:cstheme="minorHAnsi"/>
          <w:color w:val="auto"/>
          <w:sz w:val="20"/>
          <w:szCs w:val="20"/>
          <w:lang w:val="cs-CZ"/>
        </w:rPr>
        <w:t xml:space="preserve"> orgánu dohledu, oznamování případů porušení zabezpečení Osobních údajů subjektům údajů, posouzení vlivu na ochranu Osobních údajů a </w:t>
      </w:r>
      <w:r w:rsidR="000B60A1" w:rsidRPr="002D74AC">
        <w:rPr>
          <w:rFonts w:asciiTheme="minorHAnsi" w:hAnsiTheme="minorHAnsi" w:cstheme="minorHAnsi"/>
          <w:color w:val="auto"/>
          <w:sz w:val="20"/>
          <w:szCs w:val="20"/>
          <w:lang w:val="cs-CZ"/>
        </w:rPr>
        <w:t xml:space="preserve">při </w:t>
      </w:r>
      <w:r w:rsidRPr="002D74AC">
        <w:rPr>
          <w:rFonts w:asciiTheme="minorHAnsi" w:hAnsiTheme="minorHAnsi" w:cstheme="minorHAnsi"/>
          <w:color w:val="auto"/>
          <w:sz w:val="20"/>
          <w:szCs w:val="20"/>
          <w:lang w:val="cs-CZ"/>
        </w:rPr>
        <w:t>konzultací</w:t>
      </w:r>
      <w:r w:rsidR="00E67EF6" w:rsidRPr="002D74AC">
        <w:rPr>
          <w:rFonts w:asciiTheme="minorHAnsi" w:hAnsiTheme="minorHAnsi" w:cstheme="minorHAnsi"/>
          <w:color w:val="auto"/>
          <w:sz w:val="20"/>
          <w:szCs w:val="20"/>
          <w:lang w:val="cs-CZ"/>
        </w:rPr>
        <w:t>ch</w:t>
      </w:r>
      <w:r w:rsidRPr="002D74AC">
        <w:rPr>
          <w:rFonts w:asciiTheme="minorHAnsi" w:hAnsiTheme="minorHAnsi" w:cstheme="minorHAnsi"/>
          <w:color w:val="auto"/>
          <w:sz w:val="20"/>
          <w:szCs w:val="20"/>
          <w:lang w:val="cs-CZ"/>
        </w:rPr>
        <w:t xml:space="preserve"> s orgánem dohledu, a to s ohledem na povahu zpracování a informace dostupné Subdodavateli.</w:t>
      </w:r>
    </w:p>
    <w:p w14:paraId="0EFCC59A" w14:textId="77777777" w:rsidR="002A111D" w:rsidRPr="002D74AC" w:rsidRDefault="002A111D" w:rsidP="0071416B">
      <w:pPr>
        <w:tabs>
          <w:tab w:val="left" w:pos="0"/>
        </w:tabs>
        <w:ind w:hanging="426"/>
        <w:jc w:val="both"/>
        <w:rPr>
          <w:rFonts w:asciiTheme="minorHAnsi" w:hAnsiTheme="minorHAnsi" w:cstheme="minorHAnsi"/>
          <w:color w:val="auto"/>
          <w:sz w:val="20"/>
          <w:szCs w:val="20"/>
          <w:lang w:val="cs-CZ"/>
        </w:rPr>
      </w:pPr>
    </w:p>
    <w:p w14:paraId="1235549A" w14:textId="1CFB8047"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Předávání Osobních údajů: Jakékoliv předávání Osobních úd</w:t>
      </w:r>
      <w:r w:rsidR="000B60A1" w:rsidRPr="002D74AC">
        <w:rPr>
          <w:rFonts w:asciiTheme="minorHAnsi" w:hAnsiTheme="minorHAnsi" w:cstheme="minorHAnsi"/>
          <w:color w:val="auto"/>
          <w:sz w:val="20"/>
          <w:szCs w:val="20"/>
          <w:lang w:val="cs-CZ"/>
        </w:rPr>
        <w:t>ajů mimo prostor EU/EHP</w:t>
      </w:r>
      <w:r w:rsidRPr="002D74AC">
        <w:rPr>
          <w:rFonts w:asciiTheme="minorHAnsi" w:hAnsiTheme="minorHAnsi" w:cstheme="minorHAnsi"/>
          <w:color w:val="auto"/>
          <w:sz w:val="20"/>
          <w:szCs w:val="20"/>
          <w:lang w:val="cs-CZ"/>
        </w:rPr>
        <w:t> Subdodavateli nebo uskutečňované Subdodavatelem musí být písemně schválen</w:t>
      </w:r>
      <w:r w:rsidR="000B60A1" w:rsidRPr="002D74AC">
        <w:rPr>
          <w:rFonts w:asciiTheme="minorHAnsi" w:hAnsiTheme="minorHAnsi" w:cstheme="minorHAnsi"/>
          <w:color w:val="auto"/>
          <w:sz w:val="20"/>
          <w:szCs w:val="20"/>
          <w:lang w:val="cs-CZ"/>
        </w:rPr>
        <w:t>o</w:t>
      </w:r>
      <w:r w:rsidRPr="002D74AC">
        <w:rPr>
          <w:rFonts w:asciiTheme="minorHAnsi" w:hAnsiTheme="minorHAnsi" w:cstheme="minorHAnsi"/>
          <w:color w:val="auto"/>
          <w:sz w:val="20"/>
          <w:szCs w:val="20"/>
          <w:lang w:val="cs-CZ"/>
        </w:rPr>
        <w:t xml:space="preserve"> společností Deloitte před zahájením takového předání a musí být zajištěn</w:t>
      </w:r>
      <w:r w:rsidR="000B60A1" w:rsidRPr="002D74AC">
        <w:rPr>
          <w:rFonts w:asciiTheme="minorHAnsi" w:hAnsiTheme="minorHAnsi" w:cstheme="minorHAnsi"/>
          <w:color w:val="auto"/>
          <w:sz w:val="20"/>
          <w:szCs w:val="20"/>
          <w:lang w:val="cs-CZ"/>
        </w:rPr>
        <w:t>o</w:t>
      </w:r>
      <w:r w:rsidRPr="002D74AC">
        <w:rPr>
          <w:rFonts w:asciiTheme="minorHAnsi" w:hAnsiTheme="minorHAnsi" w:cstheme="minorHAnsi"/>
          <w:color w:val="auto"/>
          <w:sz w:val="20"/>
          <w:szCs w:val="20"/>
          <w:lang w:val="cs-CZ"/>
        </w:rPr>
        <w:t xml:space="preserve"> standardními smluvními doložkami uzavřenými mezi správcem Osobních údajů a zpracovatelem Osobních údajů:</w:t>
      </w:r>
    </w:p>
    <w:p w14:paraId="22FB5F81" w14:textId="77777777" w:rsidR="002A111D" w:rsidRPr="002D74AC" w:rsidRDefault="002A111D" w:rsidP="0071416B">
      <w:pPr>
        <w:pStyle w:val="Odstavecseseznamem"/>
        <w:ind w:left="0" w:hanging="426"/>
        <w:rPr>
          <w:rFonts w:asciiTheme="minorHAnsi" w:hAnsiTheme="minorHAnsi" w:cstheme="minorHAnsi"/>
          <w:color w:val="auto"/>
          <w:sz w:val="20"/>
          <w:szCs w:val="20"/>
          <w:lang w:val="cs-CZ"/>
        </w:rPr>
      </w:pPr>
    </w:p>
    <w:p w14:paraId="208B9D40" w14:textId="77777777" w:rsidR="002A111D" w:rsidRPr="002D74AC" w:rsidRDefault="00000000" w:rsidP="0071416B">
      <w:pPr>
        <w:tabs>
          <w:tab w:val="left" w:pos="0"/>
        </w:tabs>
        <w:jc w:val="both"/>
        <w:rPr>
          <w:rFonts w:asciiTheme="minorHAnsi" w:hAnsiTheme="minorHAnsi" w:cstheme="minorHAnsi"/>
          <w:color w:val="auto"/>
          <w:sz w:val="20"/>
          <w:szCs w:val="20"/>
          <w:lang w:val="cs-CZ"/>
        </w:rPr>
      </w:pPr>
      <w:hyperlink r:id="rId12" w:history="1">
        <w:r w:rsidR="002A111D" w:rsidRPr="002D74AC">
          <w:rPr>
            <w:rFonts w:asciiTheme="minorHAnsi" w:hAnsiTheme="minorHAnsi" w:cstheme="minorHAnsi"/>
            <w:color w:val="auto"/>
            <w:sz w:val="20"/>
            <w:szCs w:val="20"/>
            <w:lang w:val="cs-CZ"/>
          </w:rPr>
          <w:t>http://eur-lex.europa.eu/legal-content/EN/TXT/?qid=1401799946706&amp;uri=C</w:t>
        </w:r>
        <w:r w:rsidR="002A111D" w:rsidRPr="002D74AC">
          <w:rPr>
            <w:rFonts w:asciiTheme="minorHAnsi" w:hAnsiTheme="minorHAnsi" w:cstheme="minorHAnsi"/>
            <w:color w:val="auto"/>
            <w:sz w:val="20"/>
            <w:szCs w:val="20"/>
            <w:lang w:val="cs-CZ"/>
          </w:rPr>
          <w:t>E</w:t>
        </w:r>
        <w:r w:rsidR="002A111D" w:rsidRPr="002D74AC">
          <w:rPr>
            <w:rFonts w:asciiTheme="minorHAnsi" w:hAnsiTheme="minorHAnsi" w:cstheme="minorHAnsi"/>
            <w:color w:val="auto"/>
            <w:sz w:val="20"/>
            <w:szCs w:val="20"/>
            <w:lang w:val="cs-CZ"/>
          </w:rPr>
          <w:t>LEX:32010D0087</w:t>
        </w:r>
      </w:hyperlink>
      <w:r w:rsidR="002A111D" w:rsidRPr="002D74AC">
        <w:rPr>
          <w:rFonts w:asciiTheme="minorHAnsi" w:hAnsiTheme="minorHAnsi" w:cstheme="minorHAnsi"/>
          <w:color w:val="auto"/>
          <w:sz w:val="20"/>
          <w:szCs w:val="20"/>
          <w:lang w:val="cs-CZ"/>
        </w:rPr>
        <w:t>.</w:t>
      </w:r>
    </w:p>
    <w:p w14:paraId="271C5B5F" w14:textId="77777777" w:rsidR="002A111D" w:rsidRPr="002D74AC" w:rsidRDefault="002A111D" w:rsidP="0071416B">
      <w:pPr>
        <w:pStyle w:val="Odstavecseseznamem"/>
        <w:ind w:left="0" w:hanging="426"/>
        <w:rPr>
          <w:rFonts w:asciiTheme="minorHAnsi" w:hAnsiTheme="minorHAnsi" w:cstheme="minorHAnsi"/>
          <w:color w:val="auto"/>
          <w:sz w:val="20"/>
          <w:szCs w:val="20"/>
          <w:lang w:val="cs-CZ"/>
        </w:rPr>
      </w:pPr>
    </w:p>
    <w:p w14:paraId="05EA0B0E" w14:textId="77777777"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Po ukončení této Smlouvy je Subdodavatel povinen vrátit veškeré Důvěrné informace a Osobní údaje společnosti Deloitte a, jakmile je společnost Deloitte obdrží, neprodleně zničit, odstranit a vymazat veškeré Důvěrné informace a Osobní údaje v jeho systémech, pokud mu společnost Deloitte neudělí písemně jiný pokyn.</w:t>
      </w:r>
    </w:p>
    <w:p w14:paraId="7EB6CCC2" w14:textId="77777777" w:rsidR="002A111D" w:rsidRPr="002D74AC" w:rsidRDefault="002A111D" w:rsidP="0071416B">
      <w:pPr>
        <w:tabs>
          <w:tab w:val="left" w:pos="0"/>
        </w:tabs>
        <w:ind w:hanging="426"/>
        <w:jc w:val="both"/>
        <w:rPr>
          <w:rFonts w:asciiTheme="minorHAnsi" w:hAnsiTheme="minorHAnsi" w:cstheme="minorHAnsi"/>
          <w:color w:val="auto"/>
          <w:sz w:val="20"/>
          <w:szCs w:val="20"/>
          <w:lang w:val="cs-CZ"/>
        </w:rPr>
      </w:pPr>
    </w:p>
    <w:p w14:paraId="45DA22EA" w14:textId="6FB32526"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Strany berou na vědomí, že Osobní údaje poskytnuté Subdodavatelem budou zpracovávány společností Deloitte jakožto Správcem Osobních údajů pro následující účely nebo v souvislosti s následujícím: (i) poskytování Služeb; (</w:t>
      </w:r>
      <w:proofErr w:type="spellStart"/>
      <w:r w:rsidRPr="002D74AC">
        <w:rPr>
          <w:rFonts w:asciiTheme="minorHAnsi" w:hAnsiTheme="minorHAnsi" w:cstheme="minorHAnsi"/>
          <w:color w:val="auto"/>
          <w:sz w:val="20"/>
          <w:szCs w:val="20"/>
          <w:lang w:val="cs-CZ"/>
        </w:rPr>
        <w:t>ii</w:t>
      </w:r>
      <w:proofErr w:type="spellEnd"/>
      <w:r w:rsidRPr="002D74AC">
        <w:rPr>
          <w:rFonts w:asciiTheme="minorHAnsi" w:hAnsiTheme="minorHAnsi" w:cstheme="minorHAnsi"/>
          <w:color w:val="auto"/>
          <w:sz w:val="20"/>
          <w:szCs w:val="20"/>
          <w:lang w:val="cs-CZ"/>
        </w:rPr>
        <w:t>) zajištění souladu s příslušnými právními, regulatorními nebo profesními požadavky; (</w:t>
      </w:r>
      <w:proofErr w:type="spellStart"/>
      <w:r w:rsidRPr="002D74AC">
        <w:rPr>
          <w:rFonts w:asciiTheme="minorHAnsi" w:hAnsiTheme="minorHAnsi" w:cstheme="minorHAnsi"/>
          <w:color w:val="auto"/>
          <w:sz w:val="20"/>
          <w:szCs w:val="20"/>
          <w:lang w:val="cs-CZ"/>
        </w:rPr>
        <w:t>iii</w:t>
      </w:r>
      <w:proofErr w:type="spellEnd"/>
      <w:r w:rsidRPr="002D74AC">
        <w:rPr>
          <w:rFonts w:asciiTheme="minorHAnsi" w:hAnsiTheme="minorHAnsi" w:cstheme="minorHAnsi"/>
          <w:color w:val="auto"/>
          <w:sz w:val="20"/>
          <w:szCs w:val="20"/>
          <w:lang w:val="cs-CZ"/>
        </w:rPr>
        <w:t>) řešení požadavků nebo komunikací od příslušných orgánů; (</w:t>
      </w:r>
      <w:proofErr w:type="spellStart"/>
      <w:r w:rsidRPr="002D74AC">
        <w:rPr>
          <w:rFonts w:asciiTheme="minorHAnsi" w:hAnsiTheme="minorHAnsi" w:cstheme="minorHAnsi"/>
          <w:color w:val="auto"/>
          <w:sz w:val="20"/>
          <w:szCs w:val="20"/>
          <w:lang w:val="cs-CZ"/>
        </w:rPr>
        <w:t>iv</w:t>
      </w:r>
      <w:proofErr w:type="spellEnd"/>
      <w:r w:rsidRPr="002D74AC">
        <w:rPr>
          <w:rFonts w:asciiTheme="minorHAnsi" w:hAnsiTheme="minorHAnsi" w:cstheme="minorHAnsi"/>
          <w:color w:val="auto"/>
          <w:sz w:val="20"/>
          <w:szCs w:val="20"/>
          <w:lang w:val="cs-CZ"/>
        </w:rPr>
        <w:t>) administrace smluv, finanční účetnictví, soulad s interními předpisy a analýza rizik, a vztahy s klienty a (v) využití systémů a aplikací (hostovaných nebo interních) pro služby informačních technologií a informačních systémů (dále jen „</w:t>
      </w:r>
      <w:r w:rsidRPr="002D74AC">
        <w:rPr>
          <w:rFonts w:asciiTheme="minorHAnsi" w:hAnsiTheme="minorHAnsi" w:cstheme="minorHAnsi"/>
          <w:b/>
          <w:color w:val="auto"/>
          <w:sz w:val="20"/>
          <w:szCs w:val="20"/>
          <w:lang w:val="cs-CZ"/>
        </w:rPr>
        <w:t>Účely</w:t>
      </w:r>
      <w:r w:rsidRPr="002D74AC">
        <w:rPr>
          <w:rFonts w:asciiTheme="minorHAnsi" w:hAnsiTheme="minorHAnsi" w:cstheme="minorHAnsi"/>
          <w:color w:val="auto"/>
          <w:sz w:val="20"/>
          <w:szCs w:val="20"/>
          <w:lang w:val="cs-CZ"/>
        </w:rPr>
        <w:t>"). P</w:t>
      </w:r>
      <w:r w:rsidR="00F96DC3" w:rsidRPr="002D74AC">
        <w:rPr>
          <w:rFonts w:asciiTheme="minorHAnsi" w:hAnsiTheme="minorHAnsi" w:cstheme="minorHAnsi"/>
          <w:color w:val="auto"/>
          <w:sz w:val="20"/>
          <w:szCs w:val="20"/>
          <w:lang w:val="cs-CZ"/>
        </w:rPr>
        <w:t>ro Ú</w:t>
      </w:r>
      <w:r w:rsidRPr="002D74AC">
        <w:rPr>
          <w:rFonts w:asciiTheme="minorHAnsi" w:hAnsiTheme="minorHAnsi" w:cstheme="minorHAnsi"/>
          <w:color w:val="auto"/>
          <w:sz w:val="20"/>
          <w:szCs w:val="20"/>
          <w:lang w:val="cs-CZ"/>
        </w:rPr>
        <w:t xml:space="preserve">čely uvedené výše mohou být Osobní údaje zpřístupněny/předány Příjemcům Osobních údajů (včetně Správců a Zpracovatelů Osobních údajů) a mohou být těmito Příjemci Osobních údajů zpracovány, jak je uvedeno v příslušném Prohlášení Deloitte </w:t>
      </w:r>
      <w:r w:rsidR="004A4194" w:rsidRPr="002D74AC">
        <w:rPr>
          <w:rFonts w:asciiTheme="minorHAnsi" w:hAnsiTheme="minorHAnsi" w:cstheme="minorHAnsi"/>
          <w:color w:val="auto"/>
          <w:sz w:val="20"/>
          <w:szCs w:val="20"/>
          <w:lang w:val="cs-CZ"/>
        </w:rPr>
        <w:t xml:space="preserve">CE </w:t>
      </w:r>
      <w:r w:rsidRPr="002D74AC">
        <w:rPr>
          <w:rFonts w:asciiTheme="minorHAnsi" w:hAnsiTheme="minorHAnsi" w:cstheme="minorHAnsi"/>
          <w:color w:val="auto"/>
          <w:sz w:val="20"/>
          <w:szCs w:val="20"/>
          <w:lang w:val="cs-CZ"/>
        </w:rPr>
        <w:t>o ochraně osobních údajů.</w:t>
      </w:r>
    </w:p>
    <w:p w14:paraId="5C7A4F56" w14:textId="77777777" w:rsidR="002A111D" w:rsidRPr="002D74AC" w:rsidRDefault="002A111D" w:rsidP="0071416B">
      <w:pPr>
        <w:tabs>
          <w:tab w:val="left" w:pos="0"/>
        </w:tabs>
        <w:ind w:hanging="426"/>
        <w:jc w:val="both"/>
        <w:rPr>
          <w:rFonts w:asciiTheme="minorHAnsi" w:hAnsiTheme="minorHAnsi" w:cstheme="minorHAnsi"/>
          <w:color w:val="auto"/>
          <w:sz w:val="20"/>
          <w:szCs w:val="20"/>
          <w:lang w:val="cs-CZ"/>
        </w:rPr>
      </w:pPr>
    </w:p>
    <w:p w14:paraId="5B427866" w14:textId="611DEA11"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Článek 19 odstavec </w:t>
      </w:r>
      <w:r w:rsidR="004E1280"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H</w:t>
      </w:r>
      <w:r w:rsidR="004E1280" w:rsidRPr="002D74AC">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 xml:space="preserve"> je jen shrnutím Prohlášení Deloitte </w:t>
      </w:r>
      <w:proofErr w:type="spellStart"/>
      <w:r w:rsidR="006E7488" w:rsidRPr="002D74AC">
        <w:rPr>
          <w:rFonts w:asciiTheme="minorHAnsi" w:hAnsiTheme="minorHAnsi" w:cstheme="minorHAnsi"/>
          <w:color w:val="auto"/>
          <w:sz w:val="20"/>
          <w:szCs w:val="20"/>
          <w:lang w:val="cs-CZ"/>
        </w:rPr>
        <w:t>Central</w:t>
      </w:r>
      <w:proofErr w:type="spellEnd"/>
      <w:r w:rsidR="006E7488" w:rsidRPr="002D74AC">
        <w:rPr>
          <w:rFonts w:asciiTheme="minorHAnsi" w:hAnsiTheme="minorHAnsi" w:cstheme="minorHAnsi"/>
          <w:color w:val="auto"/>
          <w:sz w:val="20"/>
          <w:szCs w:val="20"/>
          <w:lang w:val="cs-CZ"/>
        </w:rPr>
        <w:t xml:space="preserve"> </w:t>
      </w:r>
      <w:proofErr w:type="spellStart"/>
      <w:r w:rsidR="006E7488" w:rsidRPr="002D74AC">
        <w:rPr>
          <w:rFonts w:asciiTheme="minorHAnsi" w:hAnsiTheme="minorHAnsi" w:cstheme="minorHAnsi"/>
          <w:color w:val="auto"/>
          <w:sz w:val="20"/>
          <w:szCs w:val="20"/>
          <w:lang w:val="cs-CZ"/>
        </w:rPr>
        <w:t>Europe</w:t>
      </w:r>
      <w:proofErr w:type="spellEnd"/>
      <w:r w:rsidR="006E7488"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 xml:space="preserve">o ochraně osobních údajů, jehož celé znění je k dispozici zde: </w:t>
      </w:r>
      <w:hyperlink r:id="rId13" w:history="1">
        <w:r w:rsidRPr="002D74AC">
          <w:rPr>
            <w:rFonts w:asciiTheme="minorHAnsi" w:hAnsiTheme="minorHAnsi" w:cstheme="minorHAnsi"/>
            <w:color w:val="auto"/>
            <w:sz w:val="20"/>
            <w:szCs w:val="20"/>
            <w:lang w:val="cs-CZ"/>
          </w:rPr>
          <w:t>https://www2.deloitte.com/ce/en/pages/about-deloitte/articles/deloitte-ce-privacy-statement-for-clients.html</w:t>
        </w:r>
      </w:hyperlink>
      <w:r w:rsidRPr="002D74AC">
        <w:rPr>
          <w:rFonts w:asciiTheme="minorHAnsi" w:hAnsiTheme="minorHAnsi" w:cstheme="minorHAnsi"/>
          <w:color w:val="auto"/>
          <w:sz w:val="20"/>
          <w:szCs w:val="20"/>
          <w:lang w:val="cs-CZ"/>
        </w:rPr>
        <w:t xml:space="preserve"> (dále jen „</w:t>
      </w:r>
      <w:r w:rsidRPr="002D74AC">
        <w:rPr>
          <w:rFonts w:asciiTheme="minorHAnsi" w:hAnsiTheme="minorHAnsi" w:cstheme="minorHAnsi"/>
          <w:b/>
          <w:color w:val="auto"/>
          <w:sz w:val="20"/>
          <w:szCs w:val="20"/>
          <w:lang w:val="cs-CZ"/>
        </w:rPr>
        <w:t xml:space="preserve">Prohlášení Deloitte </w:t>
      </w:r>
      <w:r w:rsidR="004A4194" w:rsidRPr="002D74AC">
        <w:rPr>
          <w:rFonts w:asciiTheme="minorHAnsi" w:hAnsiTheme="minorHAnsi" w:cstheme="minorHAnsi"/>
          <w:b/>
          <w:color w:val="auto"/>
          <w:sz w:val="20"/>
          <w:szCs w:val="20"/>
          <w:lang w:val="cs-CZ"/>
        </w:rPr>
        <w:t xml:space="preserve">CE </w:t>
      </w:r>
      <w:r w:rsidRPr="002D74AC">
        <w:rPr>
          <w:rFonts w:asciiTheme="minorHAnsi" w:hAnsiTheme="minorHAnsi" w:cstheme="minorHAnsi"/>
          <w:b/>
          <w:color w:val="auto"/>
          <w:sz w:val="20"/>
          <w:szCs w:val="20"/>
          <w:lang w:val="cs-CZ"/>
        </w:rPr>
        <w:t>o ochraně Osobních údajů</w:t>
      </w:r>
      <w:r w:rsidRPr="002D74AC">
        <w:rPr>
          <w:rFonts w:asciiTheme="minorHAnsi" w:hAnsiTheme="minorHAnsi" w:cstheme="minorHAnsi"/>
          <w:color w:val="auto"/>
          <w:sz w:val="20"/>
          <w:szCs w:val="20"/>
          <w:lang w:val="cs-CZ"/>
        </w:rPr>
        <w:t xml:space="preserve">“). </w:t>
      </w:r>
    </w:p>
    <w:p w14:paraId="2011B8F3" w14:textId="77777777" w:rsidR="002A111D" w:rsidRPr="002D74AC" w:rsidRDefault="002A111D" w:rsidP="0071416B">
      <w:pPr>
        <w:tabs>
          <w:tab w:val="left" w:pos="0"/>
        </w:tabs>
        <w:ind w:hanging="426"/>
        <w:jc w:val="both"/>
        <w:rPr>
          <w:rFonts w:asciiTheme="minorHAnsi" w:hAnsiTheme="minorHAnsi" w:cstheme="minorHAnsi"/>
          <w:color w:val="auto"/>
          <w:sz w:val="20"/>
          <w:szCs w:val="20"/>
          <w:lang w:val="cs-CZ"/>
        </w:rPr>
      </w:pPr>
    </w:p>
    <w:p w14:paraId="62F0F839" w14:textId="77777777"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Každá Strana musí při zpracování Osobních údajů dodržovat Právní předpisy v oblasti ochrany osobních údajů. </w:t>
      </w:r>
    </w:p>
    <w:p w14:paraId="516F9A84" w14:textId="77777777" w:rsidR="002A111D" w:rsidRPr="002D74AC" w:rsidRDefault="002A111D" w:rsidP="0071416B">
      <w:pPr>
        <w:pStyle w:val="Odstavecseseznamem"/>
        <w:ind w:left="0" w:hanging="426"/>
        <w:rPr>
          <w:rFonts w:asciiTheme="minorHAnsi" w:hAnsiTheme="minorHAnsi" w:cstheme="minorHAnsi"/>
          <w:color w:val="auto"/>
          <w:sz w:val="20"/>
          <w:szCs w:val="20"/>
          <w:lang w:val="cs-CZ"/>
        </w:rPr>
      </w:pPr>
    </w:p>
    <w:p w14:paraId="4187A4CD" w14:textId="77777777" w:rsidR="002A111D" w:rsidRPr="002D74AC" w:rsidRDefault="002A111D" w:rsidP="004E5571">
      <w:pPr>
        <w:numPr>
          <w:ilvl w:val="0"/>
          <w:numId w:val="28"/>
        </w:numPr>
        <w:tabs>
          <w:tab w:val="clear" w:pos="-360"/>
          <w:tab w:val="left" w:pos="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Pro účely tohoto článku budou mít definice následující význam: </w:t>
      </w:r>
    </w:p>
    <w:p w14:paraId="0BCA2711" w14:textId="77777777" w:rsidR="002A111D" w:rsidRPr="002D74AC" w:rsidRDefault="002A111D" w:rsidP="004E5571">
      <w:pPr>
        <w:numPr>
          <w:ilvl w:val="1"/>
          <w:numId w:val="28"/>
        </w:numPr>
        <w:ind w:left="426" w:hanging="426"/>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„Správce“ označuje správce nebo správce údajů (jak je definován Právními předpisy v oblasti ochrany osobních údajů). </w:t>
      </w:r>
    </w:p>
    <w:p w14:paraId="65495B70" w14:textId="27CE3C8B" w:rsidR="002A111D" w:rsidRPr="002D74AC" w:rsidRDefault="002A111D" w:rsidP="004E5571">
      <w:pPr>
        <w:numPr>
          <w:ilvl w:val="1"/>
          <w:numId w:val="28"/>
        </w:numPr>
        <w:ind w:left="426" w:hanging="426"/>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„Právní předpisy v oblasti ochrany osobních údajů“ označují následující právní předpisy v rozsahu, v jakém se</w:t>
      </w:r>
      <w:r w:rsidR="000B60A1" w:rsidRPr="002D74AC">
        <w:rPr>
          <w:rFonts w:asciiTheme="minorHAnsi" w:hAnsiTheme="minorHAnsi" w:cstheme="minorHAnsi"/>
          <w:color w:val="auto"/>
          <w:sz w:val="20"/>
          <w:szCs w:val="20"/>
          <w:lang w:val="cs-CZ"/>
        </w:rPr>
        <w:t xml:space="preserve"> v příslušném okamžiku aplikují</w:t>
      </w:r>
      <w:r w:rsidRPr="002D74AC">
        <w:rPr>
          <w:rFonts w:asciiTheme="minorHAnsi" w:hAnsiTheme="minorHAnsi" w:cstheme="minorHAnsi"/>
          <w:color w:val="auto"/>
          <w:sz w:val="20"/>
          <w:szCs w:val="20"/>
          <w:lang w:val="cs-CZ"/>
        </w:rPr>
        <w:t xml:space="preserve">: (a) vnitrostátní právní předpisy implementující Směrnici 2002/58/EC o soukromí a  elektronických komunikacích; (b) Obecné nařízení o ochraně osobních údajů [(EU) 2016/679)]; a (c) jakékoliv další vnitrostátní právní předpisy týkající se ochrany </w:t>
      </w:r>
      <w:r w:rsidR="007216D1" w:rsidRPr="002D74AC">
        <w:rPr>
          <w:rFonts w:asciiTheme="minorHAnsi" w:hAnsiTheme="minorHAnsi" w:cstheme="minorHAnsi"/>
          <w:color w:val="auto"/>
          <w:sz w:val="20"/>
          <w:szCs w:val="20"/>
          <w:lang w:val="cs-CZ"/>
        </w:rPr>
        <w:t>O</w:t>
      </w:r>
      <w:r w:rsidRPr="002D74AC">
        <w:rPr>
          <w:rFonts w:asciiTheme="minorHAnsi" w:hAnsiTheme="minorHAnsi" w:cstheme="minorHAnsi"/>
          <w:color w:val="auto"/>
          <w:sz w:val="20"/>
          <w:szCs w:val="20"/>
          <w:lang w:val="cs-CZ"/>
        </w:rPr>
        <w:t xml:space="preserve">sobních údajů. </w:t>
      </w:r>
    </w:p>
    <w:p w14:paraId="4A45D498" w14:textId="77777777" w:rsidR="002A111D" w:rsidRPr="002D74AC" w:rsidRDefault="002A111D" w:rsidP="004E5571">
      <w:pPr>
        <w:numPr>
          <w:ilvl w:val="1"/>
          <w:numId w:val="28"/>
        </w:numPr>
        <w:ind w:left="426" w:hanging="426"/>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„Zpracovatel“ označuje zpracovatele údajů nebo zpracovatele (jak je definován Právními předpisy v oblasti ochrany osobních údajů). </w:t>
      </w:r>
    </w:p>
    <w:p w14:paraId="73F99D30" w14:textId="77777777" w:rsidR="002A111D" w:rsidRPr="002D74AC" w:rsidRDefault="002A111D" w:rsidP="004E5571">
      <w:pPr>
        <w:numPr>
          <w:ilvl w:val="1"/>
          <w:numId w:val="28"/>
        </w:numPr>
        <w:ind w:left="426" w:hanging="426"/>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„Příjemce“ označuje fyzickou nebo právnickou osobu, orgán veřejné moci, agenturu nebo jiný subjekt, jemuž jsou Osobní údaje poskytnuty (jak je dále definován  Právními předpisy v oblasti ochrany osobních údajů).</w:t>
      </w:r>
    </w:p>
    <w:p w14:paraId="4A102FB3" w14:textId="77777777" w:rsidR="002A111D" w:rsidRPr="002D74AC" w:rsidRDefault="002A111D" w:rsidP="0071416B">
      <w:pPr>
        <w:ind w:hanging="426"/>
        <w:jc w:val="both"/>
        <w:rPr>
          <w:rFonts w:asciiTheme="minorHAnsi" w:hAnsiTheme="minorHAnsi" w:cstheme="minorHAnsi"/>
          <w:color w:val="auto"/>
          <w:sz w:val="20"/>
          <w:szCs w:val="20"/>
          <w:lang w:val="cs-CZ"/>
        </w:rPr>
      </w:pPr>
    </w:p>
    <w:p w14:paraId="6A02CA34" w14:textId="77777777" w:rsidR="002A111D" w:rsidRPr="002D74AC" w:rsidRDefault="002A111D" w:rsidP="004E5571">
      <w:pPr>
        <w:pStyle w:val="Odstavecseseznamem"/>
        <w:numPr>
          <w:ilvl w:val="0"/>
          <w:numId w:val="28"/>
        </w:numPr>
        <w:tabs>
          <w:tab w:val="clear" w:pos="-360"/>
        </w:tabs>
        <w:ind w:left="0" w:hanging="567"/>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Dokumentace týkající se poskytování Služeb podle této Smlouvy, včetně Osobních údajů a Důvěrných informací, bude uchovávána po dobu 10 let následujících po skončení Smlouvy nebo po dobu vyžadovanou právními předpisy proti legalizaci výnosů z trestné činnosti nebo jiných příslušných právních předpisů.</w:t>
      </w:r>
    </w:p>
    <w:p w14:paraId="39F89B42" w14:textId="7B110DA3" w:rsidR="003D6B74" w:rsidRPr="002D74AC" w:rsidRDefault="003D6B74" w:rsidP="003D6B74">
      <w:pPr>
        <w:pStyle w:val="Zkladntextodsazen"/>
        <w:ind w:left="0" w:firstLine="0"/>
        <w:jc w:val="both"/>
        <w:rPr>
          <w:rFonts w:asciiTheme="minorHAnsi" w:hAnsiTheme="minorHAnsi" w:cstheme="minorHAnsi"/>
          <w:b w:val="0"/>
          <w:sz w:val="20"/>
          <w:lang w:val="cs-CZ"/>
        </w:rPr>
      </w:pPr>
    </w:p>
    <w:p w14:paraId="11690387" w14:textId="77777777" w:rsidR="006A702C" w:rsidRPr="002D74AC" w:rsidRDefault="00893DE2" w:rsidP="0005131D">
      <w:pPr>
        <w:keepNext/>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lastRenderedPageBreak/>
        <w:t>20</w:t>
      </w:r>
      <w:r w:rsidR="006A702C" w:rsidRPr="002D74AC">
        <w:rPr>
          <w:rFonts w:asciiTheme="minorHAnsi" w:hAnsiTheme="minorHAnsi" w:cstheme="minorHAnsi"/>
          <w:b/>
          <w:bCs/>
          <w:color w:val="auto"/>
          <w:sz w:val="20"/>
          <w:szCs w:val="20"/>
          <w:lang w:val="cs-CZ"/>
        </w:rPr>
        <w:t>.</w:t>
      </w:r>
      <w:r w:rsidR="006A702C" w:rsidRPr="002D74AC">
        <w:rPr>
          <w:rFonts w:asciiTheme="minorHAnsi" w:hAnsiTheme="minorHAnsi" w:cstheme="minorHAnsi"/>
          <w:b/>
          <w:bCs/>
          <w:color w:val="auto"/>
          <w:sz w:val="20"/>
          <w:szCs w:val="20"/>
          <w:lang w:val="cs-CZ"/>
        </w:rPr>
        <w:tab/>
      </w:r>
      <w:r w:rsidR="00BB6B1B" w:rsidRPr="002D74AC">
        <w:rPr>
          <w:rFonts w:asciiTheme="minorHAnsi" w:hAnsiTheme="minorHAnsi" w:cstheme="minorHAnsi"/>
          <w:b/>
          <w:bCs/>
          <w:color w:val="auto"/>
          <w:sz w:val="20"/>
          <w:szCs w:val="20"/>
          <w:lang w:val="cs-CZ"/>
        </w:rPr>
        <w:t xml:space="preserve">ÚPRAVY </w:t>
      </w:r>
    </w:p>
    <w:p w14:paraId="04B90FA3" w14:textId="77777777" w:rsidR="006A702C" w:rsidRPr="002D74AC" w:rsidRDefault="006A702C" w:rsidP="0005131D">
      <w:pPr>
        <w:keepNext/>
        <w:ind w:left="284"/>
        <w:jc w:val="both"/>
        <w:rPr>
          <w:rFonts w:asciiTheme="minorHAnsi" w:hAnsiTheme="minorHAnsi" w:cstheme="minorHAnsi"/>
          <w:color w:val="auto"/>
          <w:sz w:val="20"/>
          <w:szCs w:val="20"/>
          <w:lang w:val="cs-CZ"/>
        </w:rPr>
      </w:pPr>
    </w:p>
    <w:p w14:paraId="4A999F87" w14:textId="77777777" w:rsidR="0033645D" w:rsidRPr="002D74AC" w:rsidRDefault="0033645D" w:rsidP="0005131D">
      <w:pPr>
        <w:pStyle w:val="Zkladntextodsazen"/>
        <w:keepNext/>
        <w:ind w:left="0" w:firstLine="0"/>
        <w:jc w:val="both"/>
        <w:rPr>
          <w:rFonts w:asciiTheme="minorHAnsi" w:hAnsiTheme="minorHAnsi" w:cstheme="minorHAnsi"/>
          <w:b w:val="0"/>
          <w:sz w:val="20"/>
          <w:lang w:val="cs-CZ"/>
        </w:rPr>
      </w:pPr>
      <w:r w:rsidRPr="002D74AC">
        <w:rPr>
          <w:rFonts w:asciiTheme="minorHAnsi" w:hAnsiTheme="minorHAnsi" w:cstheme="minorHAnsi"/>
          <w:b w:val="0"/>
          <w:sz w:val="20"/>
          <w:lang w:val="cs-CZ"/>
        </w:rPr>
        <w:t xml:space="preserve">Kromě případů výslovně uvedených v této Smlouvě nebudou žádné úpravy této Smlouvy platné, pokud nebudou učiněny písemně a podepsány statutárním, či řádně zplnomocněným zástupcem Deloitte a Subdodavatele. Ani skutečnost, že smluvní Strany  budou přihlížet k plnění, které se liší od ustanovení této Smlouvy, či absence uplatnění jakéhokoli práva nebo prosazení jakékoli podmínky podle této Smlouvy nebudou považovány za změnu této Smlouvy. </w:t>
      </w:r>
    </w:p>
    <w:p w14:paraId="7FF78A91" w14:textId="0CC29750" w:rsidR="004E32B3" w:rsidRPr="002D74AC" w:rsidRDefault="004E32B3" w:rsidP="004403D4">
      <w:pPr>
        <w:pStyle w:val="Zkladntextodsazen"/>
        <w:ind w:left="0" w:firstLine="0"/>
        <w:jc w:val="both"/>
        <w:rPr>
          <w:rFonts w:asciiTheme="minorHAnsi" w:hAnsiTheme="minorHAnsi" w:cstheme="minorHAnsi"/>
          <w:sz w:val="20"/>
          <w:lang w:val="cs-CZ"/>
        </w:rPr>
      </w:pPr>
    </w:p>
    <w:p w14:paraId="568BE618" w14:textId="77777777" w:rsidR="004E32B3" w:rsidRPr="002D74AC" w:rsidRDefault="00767574" w:rsidP="004E32B3">
      <w:pPr>
        <w:ind w:hanging="720"/>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2</w:t>
      </w:r>
      <w:r w:rsidR="00893DE2" w:rsidRPr="002D74AC">
        <w:rPr>
          <w:rFonts w:asciiTheme="minorHAnsi" w:hAnsiTheme="minorHAnsi" w:cstheme="minorHAnsi"/>
          <w:b/>
          <w:bCs/>
          <w:color w:val="auto"/>
          <w:sz w:val="20"/>
          <w:szCs w:val="20"/>
          <w:lang w:val="cs-CZ"/>
        </w:rPr>
        <w:t>1</w:t>
      </w:r>
      <w:r w:rsidR="004E32B3" w:rsidRPr="002D74AC">
        <w:rPr>
          <w:rFonts w:asciiTheme="minorHAnsi" w:hAnsiTheme="minorHAnsi" w:cstheme="minorHAnsi"/>
          <w:b/>
          <w:bCs/>
          <w:color w:val="auto"/>
          <w:sz w:val="20"/>
          <w:szCs w:val="20"/>
          <w:lang w:val="cs-CZ"/>
        </w:rPr>
        <w:t>.</w:t>
      </w:r>
      <w:r w:rsidR="004E32B3" w:rsidRPr="002D74AC">
        <w:rPr>
          <w:rFonts w:asciiTheme="minorHAnsi" w:hAnsiTheme="minorHAnsi" w:cstheme="minorHAnsi"/>
          <w:b/>
          <w:bCs/>
          <w:color w:val="auto"/>
          <w:sz w:val="20"/>
          <w:szCs w:val="20"/>
          <w:lang w:val="cs-CZ"/>
        </w:rPr>
        <w:tab/>
      </w:r>
      <w:r w:rsidR="00A35B28" w:rsidRPr="002D74AC">
        <w:rPr>
          <w:rFonts w:asciiTheme="minorHAnsi" w:hAnsiTheme="minorHAnsi" w:cstheme="minorHAnsi"/>
          <w:b/>
          <w:bCs/>
          <w:color w:val="auto"/>
          <w:sz w:val="20"/>
          <w:szCs w:val="20"/>
          <w:lang w:val="cs-CZ"/>
        </w:rPr>
        <w:t>RŮZNÉ</w:t>
      </w:r>
    </w:p>
    <w:p w14:paraId="50071C95" w14:textId="77777777" w:rsidR="004E32B3" w:rsidRPr="002D74AC" w:rsidRDefault="004E32B3" w:rsidP="004E32B3">
      <w:pPr>
        <w:pStyle w:val="Zkladntextodsazen"/>
        <w:ind w:left="0" w:firstLine="0"/>
        <w:jc w:val="both"/>
        <w:rPr>
          <w:rFonts w:asciiTheme="minorHAnsi" w:hAnsiTheme="minorHAnsi" w:cstheme="minorHAnsi"/>
          <w:b w:val="0"/>
          <w:sz w:val="20"/>
          <w:lang w:val="cs-CZ"/>
        </w:rPr>
      </w:pPr>
    </w:p>
    <w:p w14:paraId="3BE04F41" w14:textId="0013D3F6" w:rsidR="004E32B3" w:rsidRPr="002D74AC" w:rsidRDefault="00A35B28" w:rsidP="004E5571">
      <w:pPr>
        <w:pStyle w:val="Zkladntextodsazen"/>
        <w:numPr>
          <w:ilvl w:val="1"/>
          <w:numId w:val="15"/>
        </w:numPr>
        <w:tabs>
          <w:tab w:val="clear" w:pos="1440"/>
          <w:tab w:val="num" w:pos="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Subdodavatel je nezávislým dodavatelem a tato Smlouva nezakládá žádný</w:t>
      </w:r>
      <w:r w:rsidR="00C053C3" w:rsidRPr="002D74AC">
        <w:rPr>
          <w:rFonts w:asciiTheme="minorHAnsi" w:hAnsiTheme="minorHAnsi" w:cstheme="minorHAnsi"/>
          <w:b w:val="0"/>
          <w:sz w:val="20"/>
          <w:lang w:val="cs-CZ"/>
        </w:rPr>
        <w:t xml:space="preserve"> vztah</w:t>
      </w:r>
      <w:r w:rsidR="00D620D5" w:rsidRPr="002D74AC">
        <w:rPr>
          <w:rFonts w:asciiTheme="minorHAnsi" w:hAnsiTheme="minorHAnsi" w:cstheme="minorHAnsi"/>
          <w:b w:val="0"/>
          <w:sz w:val="20"/>
          <w:lang w:val="cs-CZ"/>
        </w:rPr>
        <w:t xml:space="preserve"> zastoupení</w:t>
      </w:r>
      <w:r w:rsidRPr="002D74AC">
        <w:rPr>
          <w:rFonts w:asciiTheme="minorHAnsi" w:hAnsiTheme="minorHAnsi" w:cstheme="minorHAnsi"/>
          <w:b w:val="0"/>
          <w:sz w:val="20"/>
          <w:lang w:val="cs-CZ"/>
        </w:rPr>
        <w:t xml:space="preserve"> mezi Deloitte a Subdodavatelem nebo mezi Deloitte a </w:t>
      </w:r>
      <w:r w:rsidR="004F2ACE" w:rsidRPr="002D74AC">
        <w:rPr>
          <w:rFonts w:asciiTheme="minorHAnsi" w:hAnsiTheme="minorHAnsi" w:cstheme="minorHAnsi"/>
          <w:b w:val="0"/>
          <w:sz w:val="20"/>
          <w:lang w:val="cs-CZ"/>
        </w:rPr>
        <w:t xml:space="preserve">členy týmu </w:t>
      </w:r>
      <w:r w:rsidRPr="002D74AC">
        <w:rPr>
          <w:rFonts w:asciiTheme="minorHAnsi" w:hAnsiTheme="minorHAnsi" w:cstheme="minorHAnsi"/>
          <w:b w:val="0"/>
          <w:sz w:val="20"/>
          <w:lang w:val="cs-CZ"/>
        </w:rPr>
        <w:t xml:space="preserve">Subdodavatele. </w:t>
      </w:r>
      <w:r w:rsidR="00C053C3" w:rsidRPr="002D74AC">
        <w:rPr>
          <w:rFonts w:asciiTheme="minorHAnsi" w:hAnsiTheme="minorHAnsi" w:cstheme="minorHAnsi"/>
          <w:b w:val="0"/>
          <w:sz w:val="20"/>
          <w:lang w:val="cs-CZ"/>
        </w:rPr>
        <w:t>Ve vztahu k</w:t>
      </w:r>
      <w:r w:rsidR="004F2ACE" w:rsidRPr="002D74AC">
        <w:rPr>
          <w:rFonts w:asciiTheme="minorHAnsi" w:hAnsiTheme="minorHAnsi" w:cstheme="minorHAnsi"/>
          <w:b w:val="0"/>
          <w:sz w:val="20"/>
          <w:lang w:val="cs-CZ"/>
        </w:rPr>
        <w:t xml:space="preserve"> členům týmu </w:t>
      </w:r>
      <w:r w:rsidR="00CC6BBA" w:rsidRPr="002D74AC">
        <w:rPr>
          <w:rFonts w:asciiTheme="minorHAnsi" w:hAnsiTheme="minorHAnsi" w:cstheme="minorHAnsi"/>
          <w:b w:val="0"/>
          <w:sz w:val="20"/>
          <w:lang w:val="cs-CZ"/>
        </w:rPr>
        <w:t>Subd</w:t>
      </w:r>
      <w:r w:rsidR="00C053C3" w:rsidRPr="002D74AC">
        <w:rPr>
          <w:rFonts w:asciiTheme="minorHAnsi" w:hAnsiTheme="minorHAnsi" w:cstheme="minorHAnsi"/>
          <w:b w:val="0"/>
          <w:sz w:val="20"/>
          <w:lang w:val="cs-CZ"/>
        </w:rPr>
        <w:t xml:space="preserve">odavatele </w:t>
      </w:r>
      <w:r w:rsidRPr="002D74AC">
        <w:rPr>
          <w:rFonts w:asciiTheme="minorHAnsi" w:hAnsiTheme="minorHAnsi" w:cstheme="minorHAnsi"/>
          <w:b w:val="0"/>
          <w:sz w:val="20"/>
          <w:lang w:val="cs-CZ"/>
        </w:rPr>
        <w:t>Deloitte nepřebírá žádnou odpovědnost nebo</w:t>
      </w:r>
      <w:r w:rsidR="00C053C3" w:rsidRPr="002D74AC">
        <w:rPr>
          <w:rFonts w:asciiTheme="minorHAnsi" w:hAnsiTheme="minorHAnsi" w:cstheme="minorHAnsi"/>
          <w:b w:val="0"/>
          <w:sz w:val="20"/>
          <w:lang w:val="cs-CZ"/>
        </w:rPr>
        <w:t xml:space="preserve"> jakýkoli</w:t>
      </w:r>
      <w:r w:rsidRPr="002D74AC">
        <w:rPr>
          <w:rFonts w:asciiTheme="minorHAnsi" w:hAnsiTheme="minorHAnsi" w:cstheme="minorHAnsi"/>
          <w:b w:val="0"/>
          <w:sz w:val="20"/>
          <w:lang w:val="cs-CZ"/>
        </w:rPr>
        <w:t xml:space="preserve"> závazek.</w:t>
      </w:r>
    </w:p>
    <w:p w14:paraId="274D4343" w14:textId="77777777" w:rsidR="001D6987" w:rsidRPr="002D74AC" w:rsidRDefault="001D6987" w:rsidP="001D6987">
      <w:pPr>
        <w:pStyle w:val="Zkladntextodsazen"/>
        <w:tabs>
          <w:tab w:val="left" w:pos="0"/>
        </w:tabs>
        <w:ind w:left="-540" w:firstLine="0"/>
        <w:jc w:val="both"/>
        <w:rPr>
          <w:rFonts w:asciiTheme="minorHAnsi" w:hAnsiTheme="minorHAnsi" w:cstheme="minorHAnsi"/>
          <w:b w:val="0"/>
          <w:sz w:val="20"/>
          <w:lang w:val="cs-CZ"/>
        </w:rPr>
      </w:pPr>
    </w:p>
    <w:p w14:paraId="5A1A223A" w14:textId="0A430E0F" w:rsidR="004E32B3" w:rsidRPr="002D74AC" w:rsidRDefault="00A03F74" w:rsidP="004E5571">
      <w:pPr>
        <w:pStyle w:val="Zkladntextodsazen"/>
        <w:numPr>
          <w:ilvl w:val="1"/>
          <w:numId w:val="15"/>
        </w:numPr>
        <w:tabs>
          <w:tab w:val="clear" w:pos="1440"/>
          <w:tab w:val="num" w:pos="0"/>
        </w:tabs>
        <w:ind w:left="0" w:hanging="540"/>
        <w:jc w:val="both"/>
        <w:rPr>
          <w:rFonts w:asciiTheme="minorHAnsi" w:hAnsiTheme="minorHAnsi" w:cstheme="minorHAnsi"/>
          <w:b w:val="0"/>
          <w:sz w:val="20"/>
          <w:lang w:val="cs-CZ"/>
        </w:rPr>
      </w:pPr>
      <w:r w:rsidRPr="002D74AC">
        <w:rPr>
          <w:rFonts w:asciiTheme="minorHAnsi" w:hAnsiTheme="minorHAnsi" w:cstheme="minorHAnsi"/>
          <w:b w:val="0"/>
          <w:sz w:val="20"/>
          <w:lang w:val="cs-CZ"/>
        </w:rPr>
        <w:t>V případě, že bud</w:t>
      </w:r>
      <w:r w:rsidR="004F2ACE" w:rsidRPr="002D74AC">
        <w:rPr>
          <w:rFonts w:asciiTheme="minorHAnsi" w:hAnsiTheme="minorHAnsi" w:cstheme="minorHAnsi"/>
          <w:b w:val="0"/>
          <w:sz w:val="20"/>
          <w:lang w:val="cs-CZ"/>
        </w:rPr>
        <w:t>ou mít členové týmu</w:t>
      </w:r>
      <w:r w:rsidRPr="002D74AC">
        <w:rPr>
          <w:rFonts w:asciiTheme="minorHAnsi" w:hAnsiTheme="minorHAnsi" w:cstheme="minorHAnsi"/>
          <w:b w:val="0"/>
          <w:sz w:val="20"/>
          <w:lang w:val="cs-CZ"/>
        </w:rPr>
        <w:t xml:space="preserve"> Subdodavatele </w:t>
      </w:r>
      <w:r w:rsidR="0033645D" w:rsidRPr="002D74AC">
        <w:rPr>
          <w:rFonts w:asciiTheme="minorHAnsi" w:hAnsiTheme="minorHAnsi" w:cstheme="minorHAnsi"/>
          <w:b w:val="0"/>
          <w:sz w:val="20"/>
          <w:lang w:val="cs-CZ"/>
        </w:rPr>
        <w:t xml:space="preserve">přístup k informacím, Osobním údajům, Důvěrným informacím, či jakýmkoli jiným znalostem či vědomostem, dodávkám nebo jinému majetku, včetně majetku vlastněného třetími stranami, ale poskytnutého ze strany Deloitte </w:t>
      </w:r>
      <w:r w:rsidR="004F2ACE" w:rsidRPr="002D74AC">
        <w:rPr>
          <w:rFonts w:asciiTheme="minorHAnsi" w:hAnsiTheme="minorHAnsi" w:cstheme="minorHAnsi"/>
          <w:b w:val="0"/>
          <w:sz w:val="20"/>
          <w:lang w:val="cs-CZ"/>
        </w:rPr>
        <w:t>členům týmu</w:t>
      </w:r>
      <w:r w:rsidR="0033645D" w:rsidRPr="002D74AC">
        <w:rPr>
          <w:rFonts w:asciiTheme="minorHAnsi" w:hAnsiTheme="minorHAnsi" w:cstheme="minorHAnsi"/>
          <w:b w:val="0"/>
          <w:sz w:val="20"/>
          <w:lang w:val="cs-CZ"/>
        </w:rPr>
        <w:t xml:space="preserve"> </w:t>
      </w:r>
      <w:r w:rsidR="004315B7" w:rsidRPr="002D74AC">
        <w:rPr>
          <w:rFonts w:asciiTheme="minorHAnsi" w:hAnsiTheme="minorHAnsi" w:cstheme="minorHAnsi"/>
          <w:b w:val="0"/>
          <w:sz w:val="20"/>
          <w:lang w:val="cs-CZ"/>
        </w:rPr>
        <w:t>Subdodavatele</w:t>
      </w:r>
      <w:r w:rsidR="0033645D" w:rsidRPr="002D74AC">
        <w:rPr>
          <w:rFonts w:asciiTheme="minorHAnsi" w:hAnsiTheme="minorHAnsi" w:cstheme="minorHAnsi"/>
          <w:b w:val="0"/>
          <w:sz w:val="20"/>
          <w:lang w:val="cs-CZ"/>
        </w:rPr>
        <w:t xml:space="preserve"> (</w:t>
      </w:r>
      <w:r w:rsidR="00605340" w:rsidRPr="002D74AC">
        <w:rPr>
          <w:rFonts w:asciiTheme="minorHAnsi" w:hAnsiTheme="minorHAnsi" w:cstheme="minorHAnsi"/>
          <w:b w:val="0"/>
          <w:sz w:val="20"/>
          <w:lang w:val="cs-CZ"/>
        </w:rPr>
        <w:t xml:space="preserve">dále jen </w:t>
      </w:r>
      <w:r w:rsidR="0033645D" w:rsidRPr="002D74AC">
        <w:rPr>
          <w:rFonts w:asciiTheme="minorHAnsi" w:hAnsiTheme="minorHAnsi" w:cstheme="minorHAnsi"/>
          <w:b w:val="0"/>
          <w:sz w:val="20"/>
          <w:lang w:val="cs-CZ"/>
        </w:rPr>
        <w:t>„</w:t>
      </w:r>
      <w:r w:rsidR="0033645D" w:rsidRPr="002D74AC">
        <w:rPr>
          <w:rFonts w:asciiTheme="minorHAnsi" w:hAnsiTheme="minorHAnsi" w:cstheme="minorHAnsi"/>
          <w:sz w:val="20"/>
          <w:lang w:val="cs-CZ"/>
        </w:rPr>
        <w:t>Majetek společnosti Deloitte</w:t>
      </w:r>
      <w:r w:rsidR="0033645D" w:rsidRPr="002D74AC">
        <w:rPr>
          <w:rFonts w:asciiTheme="minorHAnsi" w:hAnsiTheme="minorHAnsi" w:cstheme="minorHAnsi"/>
          <w:b w:val="0"/>
          <w:sz w:val="20"/>
          <w:lang w:val="cs-CZ"/>
        </w:rPr>
        <w:t xml:space="preserve">“), </w:t>
      </w:r>
      <w:r w:rsidR="004F2ACE" w:rsidRPr="002D74AC">
        <w:rPr>
          <w:rFonts w:asciiTheme="minorHAnsi" w:hAnsiTheme="minorHAnsi" w:cstheme="minorHAnsi"/>
          <w:b w:val="0"/>
          <w:sz w:val="20"/>
          <w:lang w:val="cs-CZ"/>
        </w:rPr>
        <w:t>členové týmu</w:t>
      </w:r>
      <w:r w:rsidRPr="002D74AC">
        <w:rPr>
          <w:rFonts w:asciiTheme="minorHAnsi" w:hAnsiTheme="minorHAnsi" w:cstheme="minorHAnsi"/>
          <w:b w:val="0"/>
          <w:sz w:val="20"/>
          <w:lang w:val="cs-CZ"/>
        </w:rPr>
        <w:t xml:space="preserve"> Subdodavatele</w:t>
      </w:r>
      <w:r w:rsidR="004E32B3" w:rsidRPr="002D74AC">
        <w:rPr>
          <w:rFonts w:asciiTheme="minorHAnsi" w:hAnsiTheme="minorHAnsi" w:cstheme="minorHAnsi"/>
          <w:b w:val="0"/>
          <w:sz w:val="20"/>
          <w:lang w:val="cs-CZ"/>
        </w:rPr>
        <w:t xml:space="preserve">:  </w:t>
      </w:r>
    </w:p>
    <w:p w14:paraId="379FF073" w14:textId="0A133694" w:rsidR="0033645D" w:rsidRPr="002D74AC" w:rsidRDefault="001D6987" w:rsidP="0033645D">
      <w:pPr>
        <w:ind w:left="72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(a)</w:t>
      </w:r>
      <w:r w:rsidR="004E32B3"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ab/>
      </w:r>
      <w:r w:rsidR="0033645D" w:rsidRPr="002D74AC">
        <w:rPr>
          <w:rFonts w:asciiTheme="minorHAnsi" w:hAnsiTheme="minorHAnsi" w:cstheme="minorHAnsi"/>
          <w:color w:val="auto"/>
          <w:sz w:val="20"/>
          <w:szCs w:val="20"/>
          <w:lang w:val="cs-CZ"/>
        </w:rPr>
        <w:t>nebud</w:t>
      </w:r>
      <w:r w:rsidR="004F2ACE" w:rsidRPr="002D74AC">
        <w:rPr>
          <w:rFonts w:asciiTheme="minorHAnsi" w:hAnsiTheme="minorHAnsi" w:cstheme="minorHAnsi"/>
          <w:color w:val="auto"/>
          <w:sz w:val="20"/>
          <w:szCs w:val="20"/>
          <w:lang w:val="cs-CZ"/>
        </w:rPr>
        <w:t>ou</w:t>
      </w:r>
      <w:r w:rsidR="0033645D" w:rsidRPr="002D74AC">
        <w:rPr>
          <w:rFonts w:asciiTheme="minorHAnsi" w:hAnsiTheme="minorHAnsi" w:cstheme="minorHAnsi"/>
          <w:color w:val="auto"/>
          <w:sz w:val="20"/>
          <w:szCs w:val="20"/>
          <w:lang w:val="cs-CZ"/>
        </w:rPr>
        <w:t xml:space="preserve"> vynášet Majetek společnosti Deloitte z prostor společnosti Deloitte nebo jiné osoby bez schválení společností Deloitte, </w:t>
      </w:r>
    </w:p>
    <w:p w14:paraId="0DD83C67" w14:textId="16F3720C" w:rsidR="0033645D" w:rsidRPr="002D74AC" w:rsidRDefault="0033645D" w:rsidP="0033645D">
      <w:pPr>
        <w:ind w:left="72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(b) </w:t>
      </w:r>
      <w:r w:rsidRPr="002D74AC">
        <w:rPr>
          <w:rFonts w:asciiTheme="minorHAnsi" w:hAnsiTheme="minorHAnsi" w:cstheme="minorHAnsi"/>
          <w:color w:val="auto"/>
          <w:sz w:val="20"/>
          <w:szCs w:val="20"/>
          <w:lang w:val="cs-CZ"/>
        </w:rPr>
        <w:tab/>
        <w:t>použij</w:t>
      </w:r>
      <w:r w:rsidR="004F2ACE" w:rsidRPr="002D74AC">
        <w:rPr>
          <w:rFonts w:asciiTheme="minorHAnsi" w:hAnsiTheme="minorHAnsi" w:cstheme="minorHAnsi"/>
          <w:color w:val="auto"/>
          <w:sz w:val="20"/>
          <w:szCs w:val="20"/>
          <w:lang w:val="cs-CZ"/>
        </w:rPr>
        <w:t>í</w:t>
      </w:r>
      <w:r w:rsidRPr="002D74AC">
        <w:rPr>
          <w:rFonts w:asciiTheme="minorHAnsi" w:hAnsiTheme="minorHAnsi" w:cstheme="minorHAnsi"/>
          <w:color w:val="auto"/>
          <w:sz w:val="20"/>
          <w:szCs w:val="20"/>
          <w:lang w:val="cs-CZ"/>
        </w:rPr>
        <w:t xml:space="preserve"> Majetek společnosti Deloitte pouze pro účely této Smlouvy a odškodní společnost Deloitte za jakékoli neoprávněné použití,</w:t>
      </w:r>
    </w:p>
    <w:p w14:paraId="3B91FFFA" w14:textId="3614E324" w:rsidR="0033645D" w:rsidRPr="002D74AC" w:rsidRDefault="004F2ACE" w:rsidP="0033645D">
      <w:pPr>
        <w:ind w:left="72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(c)  </w:t>
      </w:r>
      <w:r w:rsidRPr="002D74AC">
        <w:rPr>
          <w:rFonts w:asciiTheme="minorHAnsi" w:hAnsiTheme="minorHAnsi" w:cstheme="minorHAnsi"/>
          <w:color w:val="auto"/>
          <w:sz w:val="20"/>
          <w:szCs w:val="20"/>
          <w:lang w:val="cs-CZ"/>
        </w:rPr>
        <w:tab/>
        <w:t>nebudou</w:t>
      </w:r>
      <w:r w:rsidR="0033645D" w:rsidRPr="002D74AC">
        <w:rPr>
          <w:rFonts w:asciiTheme="minorHAnsi" w:hAnsiTheme="minorHAnsi" w:cstheme="minorHAnsi"/>
          <w:color w:val="auto"/>
          <w:sz w:val="20"/>
          <w:szCs w:val="20"/>
          <w:lang w:val="cs-CZ"/>
        </w:rPr>
        <w:t xml:space="preserve"> sdílet ani sdělovat identifikátory uživatelů, hesla nebo telefonní čísla počítačových vytáčecích portů, </w:t>
      </w:r>
    </w:p>
    <w:p w14:paraId="6B15FB60" w14:textId="59C64A61" w:rsidR="0033645D" w:rsidRPr="002D74AC" w:rsidRDefault="004F2ACE" w:rsidP="0033645D">
      <w:pPr>
        <w:ind w:left="72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 </w:t>
      </w:r>
      <w:r w:rsidRPr="002D74AC">
        <w:rPr>
          <w:rFonts w:asciiTheme="minorHAnsi" w:hAnsiTheme="minorHAnsi" w:cstheme="minorHAnsi"/>
          <w:color w:val="auto"/>
          <w:sz w:val="20"/>
          <w:szCs w:val="20"/>
          <w:lang w:val="cs-CZ"/>
        </w:rPr>
        <w:tab/>
        <w:t>nebudou</w:t>
      </w:r>
      <w:r w:rsidR="0033645D" w:rsidRPr="002D74AC">
        <w:rPr>
          <w:rFonts w:asciiTheme="minorHAnsi" w:hAnsiTheme="minorHAnsi" w:cstheme="minorHAnsi"/>
          <w:color w:val="auto"/>
          <w:sz w:val="20"/>
          <w:szCs w:val="20"/>
          <w:lang w:val="cs-CZ"/>
        </w:rPr>
        <w:t xml:space="preserve"> kopírovat, zveřejňovat ani ponechávat takový Majetek společnosti Deloitte nezajištěný nebo bez dozoru. </w:t>
      </w:r>
    </w:p>
    <w:p w14:paraId="45597EBF" w14:textId="77777777" w:rsidR="004E32B3" w:rsidRPr="002D74AC" w:rsidRDefault="004E32B3" w:rsidP="0033645D">
      <w:pPr>
        <w:ind w:left="720" w:hanging="720"/>
        <w:jc w:val="both"/>
        <w:rPr>
          <w:rFonts w:asciiTheme="minorHAnsi" w:hAnsiTheme="minorHAnsi" w:cstheme="minorHAnsi"/>
          <w:color w:val="auto"/>
          <w:sz w:val="20"/>
          <w:szCs w:val="20"/>
          <w:lang w:val="cs-CZ"/>
        </w:rPr>
      </w:pPr>
    </w:p>
    <w:p w14:paraId="15603C62" w14:textId="517D6FF8" w:rsidR="004E32B3" w:rsidRPr="002D74AC" w:rsidRDefault="00D170C2" w:rsidP="008D1D65">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Společnost </w:t>
      </w:r>
      <w:r w:rsidR="00A03F74" w:rsidRPr="002D74AC">
        <w:rPr>
          <w:rFonts w:asciiTheme="minorHAnsi" w:hAnsiTheme="minorHAnsi" w:cstheme="minorHAnsi"/>
          <w:color w:val="auto"/>
          <w:sz w:val="20"/>
          <w:szCs w:val="20"/>
          <w:lang w:val="cs-CZ"/>
        </w:rPr>
        <w:t>Deloitte je oprávněn</w:t>
      </w:r>
      <w:r w:rsidRPr="002D74AC">
        <w:rPr>
          <w:rFonts w:asciiTheme="minorHAnsi" w:hAnsiTheme="minorHAnsi" w:cstheme="minorHAnsi"/>
          <w:color w:val="auto"/>
          <w:sz w:val="20"/>
          <w:szCs w:val="20"/>
          <w:lang w:val="cs-CZ"/>
        </w:rPr>
        <w:t>a</w:t>
      </w:r>
      <w:r w:rsidR="00A03F74" w:rsidRPr="002D74AC">
        <w:rPr>
          <w:rFonts w:asciiTheme="minorHAnsi" w:hAnsiTheme="minorHAnsi" w:cstheme="minorHAnsi"/>
          <w:color w:val="auto"/>
          <w:sz w:val="20"/>
          <w:szCs w:val="20"/>
          <w:lang w:val="cs-CZ"/>
        </w:rPr>
        <w:t xml:space="preserve"> pravidelně </w:t>
      </w:r>
      <w:r w:rsidR="0033645D" w:rsidRPr="002D74AC">
        <w:rPr>
          <w:rFonts w:asciiTheme="minorHAnsi" w:hAnsiTheme="minorHAnsi" w:cstheme="minorHAnsi"/>
          <w:color w:val="auto"/>
          <w:sz w:val="20"/>
          <w:szCs w:val="20"/>
          <w:lang w:val="cs-CZ"/>
        </w:rPr>
        <w:t xml:space="preserve">kontrolovat </w:t>
      </w:r>
      <w:r w:rsidR="001F6EE3" w:rsidRPr="002D74AC">
        <w:rPr>
          <w:rFonts w:asciiTheme="minorHAnsi" w:hAnsiTheme="minorHAnsi" w:cstheme="minorHAnsi"/>
          <w:color w:val="auto"/>
          <w:sz w:val="20"/>
          <w:szCs w:val="20"/>
          <w:lang w:val="cs-CZ"/>
        </w:rPr>
        <w:t xml:space="preserve">data </w:t>
      </w:r>
      <w:r w:rsidR="0033645D" w:rsidRPr="002D74AC">
        <w:rPr>
          <w:rFonts w:asciiTheme="minorHAnsi" w:hAnsiTheme="minorHAnsi" w:cstheme="minorHAnsi"/>
          <w:color w:val="auto"/>
          <w:sz w:val="20"/>
          <w:szCs w:val="20"/>
          <w:lang w:val="cs-CZ"/>
        </w:rPr>
        <w:t xml:space="preserve">a informace týkající se </w:t>
      </w:r>
      <w:r w:rsidR="001F6EE3" w:rsidRPr="002D74AC">
        <w:rPr>
          <w:rFonts w:asciiTheme="minorHAnsi" w:hAnsiTheme="minorHAnsi" w:cstheme="minorHAnsi"/>
          <w:color w:val="auto"/>
          <w:sz w:val="20"/>
          <w:szCs w:val="20"/>
          <w:lang w:val="cs-CZ"/>
        </w:rPr>
        <w:t xml:space="preserve">Subdodavatele </w:t>
      </w:r>
      <w:r w:rsidR="00FB4408" w:rsidRPr="002D74AC">
        <w:rPr>
          <w:rFonts w:asciiTheme="minorHAnsi" w:hAnsiTheme="minorHAnsi" w:cstheme="minorHAnsi"/>
          <w:color w:val="auto"/>
          <w:sz w:val="20"/>
          <w:szCs w:val="20"/>
          <w:lang w:val="cs-CZ"/>
        </w:rPr>
        <w:t xml:space="preserve">jakýmkoli způsobem uložená, či umístěná </w:t>
      </w:r>
      <w:r w:rsidR="001F6EE3" w:rsidRPr="002D74AC">
        <w:rPr>
          <w:rFonts w:asciiTheme="minorHAnsi" w:hAnsiTheme="minorHAnsi" w:cstheme="minorHAnsi"/>
          <w:color w:val="auto"/>
          <w:sz w:val="20"/>
          <w:szCs w:val="20"/>
          <w:lang w:val="cs-CZ"/>
        </w:rPr>
        <w:t xml:space="preserve">v </w:t>
      </w:r>
      <w:r w:rsidR="00A03F74" w:rsidRPr="002D74AC">
        <w:rPr>
          <w:rFonts w:asciiTheme="minorHAnsi" w:hAnsiTheme="minorHAnsi" w:cstheme="minorHAnsi"/>
          <w:color w:val="auto"/>
          <w:sz w:val="20"/>
          <w:szCs w:val="20"/>
          <w:lang w:val="cs-CZ"/>
        </w:rPr>
        <w:t>Majetku</w:t>
      </w:r>
      <w:r w:rsidR="008D1D65" w:rsidRPr="002D74AC">
        <w:rPr>
          <w:rFonts w:asciiTheme="minorHAnsi" w:hAnsiTheme="minorHAnsi" w:cstheme="minorHAnsi"/>
          <w:color w:val="auto"/>
          <w:sz w:val="20"/>
          <w:szCs w:val="20"/>
          <w:lang w:val="cs-CZ"/>
        </w:rPr>
        <w:t xml:space="preserve"> společnosti</w:t>
      </w:r>
      <w:r w:rsidR="00A03F74" w:rsidRPr="002D74AC">
        <w:rPr>
          <w:rFonts w:asciiTheme="minorHAnsi" w:hAnsiTheme="minorHAnsi" w:cstheme="minorHAnsi"/>
          <w:color w:val="auto"/>
          <w:sz w:val="20"/>
          <w:szCs w:val="20"/>
          <w:lang w:val="cs-CZ"/>
        </w:rPr>
        <w:t xml:space="preserve"> Deloitte.</w:t>
      </w:r>
    </w:p>
    <w:p w14:paraId="27F92AA9" w14:textId="77777777" w:rsidR="004E32B3" w:rsidRPr="00A864A7" w:rsidRDefault="004E32B3" w:rsidP="004E32B3">
      <w:pPr>
        <w:rPr>
          <w:rFonts w:asciiTheme="minorHAnsi" w:hAnsiTheme="minorHAnsi" w:cstheme="minorHAnsi"/>
          <w:color w:val="auto"/>
          <w:sz w:val="20"/>
          <w:szCs w:val="20"/>
          <w:lang w:val="cs-CZ"/>
        </w:rPr>
      </w:pPr>
    </w:p>
    <w:p w14:paraId="49EDE007" w14:textId="4B143F51" w:rsidR="00246AF2" w:rsidRPr="00A864A7" w:rsidRDefault="00A03F74" w:rsidP="00246AF2">
      <w:pPr>
        <w:pStyle w:val="Textkomente"/>
        <w:jc w:val="both"/>
        <w:rPr>
          <w:rFonts w:asciiTheme="minorHAnsi" w:hAnsiTheme="minorHAnsi" w:cstheme="minorHAnsi"/>
          <w:i/>
          <w:color w:val="auto"/>
          <w:highlight w:val="yellow"/>
          <w:lang w:val="cs-CZ"/>
        </w:rPr>
      </w:pPr>
      <w:r w:rsidRPr="00A864A7">
        <w:rPr>
          <w:rFonts w:asciiTheme="minorHAnsi" w:hAnsiTheme="minorHAnsi" w:cstheme="minorHAnsi"/>
          <w:color w:val="auto"/>
          <w:lang w:val="cs-CZ"/>
        </w:rPr>
        <w:t>Pojištění</w:t>
      </w:r>
      <w:r w:rsidR="00AA3D09" w:rsidRPr="00A864A7">
        <w:rPr>
          <w:rFonts w:asciiTheme="minorHAnsi" w:hAnsiTheme="minorHAnsi" w:cstheme="minorHAnsi"/>
          <w:color w:val="auto"/>
          <w:lang w:val="cs-CZ"/>
        </w:rPr>
        <w:t>.</w:t>
      </w:r>
    </w:p>
    <w:p w14:paraId="41A5CF0A" w14:textId="1DC26567" w:rsidR="003D6B74" w:rsidRPr="00A864A7" w:rsidRDefault="00880D8C" w:rsidP="1A9D4722">
      <w:pPr>
        <w:jc w:val="both"/>
        <w:rPr>
          <w:rFonts w:asciiTheme="minorHAnsi" w:hAnsiTheme="minorHAnsi" w:cstheme="minorHAnsi"/>
          <w:color w:val="auto"/>
          <w:sz w:val="20"/>
          <w:szCs w:val="20"/>
          <w:lang w:val="cs-CZ"/>
        </w:rPr>
      </w:pPr>
      <w:r w:rsidRPr="00A864A7">
        <w:rPr>
          <w:rFonts w:asciiTheme="minorHAnsi" w:hAnsiTheme="minorHAnsi" w:cstheme="minorHAnsi"/>
          <w:color w:val="auto"/>
          <w:sz w:val="20"/>
          <w:szCs w:val="20"/>
          <w:lang w:val="cs-CZ"/>
        </w:rPr>
        <w:t xml:space="preserve"> </w:t>
      </w:r>
      <w:r w:rsidR="008D0C0D" w:rsidRPr="00A864A7">
        <w:rPr>
          <w:rFonts w:asciiTheme="minorHAnsi" w:hAnsiTheme="minorHAnsi" w:cstheme="minorHAnsi"/>
          <w:color w:val="auto"/>
          <w:sz w:val="20"/>
          <w:szCs w:val="20"/>
          <w:lang w:val="cs-CZ"/>
        </w:rPr>
        <w:t>Subdodavatel</w:t>
      </w:r>
      <w:r w:rsidR="00E147FF" w:rsidRPr="00A864A7">
        <w:rPr>
          <w:rFonts w:asciiTheme="minorHAnsi" w:hAnsiTheme="minorHAnsi" w:cstheme="minorHAnsi"/>
          <w:color w:val="auto"/>
          <w:sz w:val="20"/>
          <w:szCs w:val="20"/>
          <w:lang w:val="cs-CZ"/>
        </w:rPr>
        <w:t xml:space="preserve"> </w:t>
      </w:r>
      <w:r w:rsidR="00FB4408" w:rsidRPr="00A864A7">
        <w:rPr>
          <w:rFonts w:asciiTheme="minorHAnsi" w:hAnsiTheme="minorHAnsi" w:cstheme="minorHAnsi"/>
          <w:color w:val="auto"/>
          <w:sz w:val="20"/>
          <w:szCs w:val="20"/>
          <w:lang w:val="cs-CZ"/>
        </w:rPr>
        <w:t xml:space="preserve">tímto </w:t>
      </w:r>
      <w:r w:rsidR="0070389A" w:rsidRPr="00A864A7">
        <w:rPr>
          <w:rFonts w:asciiTheme="minorHAnsi" w:hAnsiTheme="minorHAnsi" w:cstheme="minorHAnsi"/>
          <w:color w:val="auto"/>
          <w:sz w:val="20"/>
          <w:szCs w:val="20"/>
          <w:lang w:val="cs-CZ"/>
        </w:rPr>
        <w:t>potvrzuje</w:t>
      </w:r>
      <w:r w:rsidR="00E147FF" w:rsidRPr="00A864A7">
        <w:rPr>
          <w:rFonts w:asciiTheme="minorHAnsi" w:hAnsiTheme="minorHAnsi" w:cstheme="minorHAnsi"/>
          <w:color w:val="auto"/>
          <w:sz w:val="20"/>
          <w:szCs w:val="20"/>
          <w:lang w:val="cs-CZ"/>
        </w:rPr>
        <w:t xml:space="preserve">, že </w:t>
      </w:r>
      <w:r w:rsidR="00A864A7" w:rsidRPr="00A864A7">
        <w:rPr>
          <w:rFonts w:asciiTheme="minorHAnsi" w:hAnsiTheme="minorHAnsi" w:cstheme="minorHAnsi"/>
          <w:color w:val="auto"/>
          <w:sz w:val="20"/>
          <w:szCs w:val="20"/>
          <w:lang w:val="cs-CZ"/>
        </w:rPr>
        <w:t xml:space="preserve">ve vztahu ke Službám má uzavřenou pojistnou smlouvu o </w:t>
      </w:r>
      <w:r w:rsidR="00E147FF" w:rsidRPr="00A864A7">
        <w:rPr>
          <w:rFonts w:asciiTheme="minorHAnsi" w:hAnsiTheme="minorHAnsi" w:cstheme="minorHAnsi"/>
          <w:color w:val="auto"/>
          <w:sz w:val="20"/>
          <w:szCs w:val="20"/>
          <w:lang w:val="cs-CZ"/>
        </w:rPr>
        <w:t>profesní odpovědnosti</w:t>
      </w:r>
      <w:r w:rsidR="00A864A7" w:rsidRPr="00A864A7">
        <w:rPr>
          <w:rFonts w:asciiTheme="minorHAnsi" w:hAnsiTheme="minorHAnsi" w:cstheme="minorHAnsi"/>
          <w:color w:val="auto"/>
          <w:sz w:val="20"/>
          <w:szCs w:val="20"/>
          <w:lang w:val="cs-CZ"/>
        </w:rPr>
        <w:t xml:space="preserve">, která je </w:t>
      </w:r>
      <w:r w:rsidR="00742755">
        <w:rPr>
          <w:rFonts w:asciiTheme="minorHAnsi" w:hAnsiTheme="minorHAnsi" w:cstheme="minorHAnsi"/>
          <w:color w:val="auto"/>
          <w:sz w:val="20"/>
          <w:szCs w:val="20"/>
          <w:lang w:val="cs-CZ"/>
        </w:rPr>
        <w:t xml:space="preserve">účinná a </w:t>
      </w:r>
      <w:r w:rsidR="00A864A7" w:rsidRPr="00A864A7">
        <w:rPr>
          <w:rFonts w:asciiTheme="minorHAnsi" w:hAnsiTheme="minorHAnsi" w:cstheme="minorHAnsi"/>
          <w:color w:val="auto"/>
          <w:sz w:val="20"/>
          <w:szCs w:val="20"/>
          <w:lang w:val="cs-CZ"/>
        </w:rPr>
        <w:t xml:space="preserve">uveřejněná v registru smluv a je dostupná z: </w:t>
      </w:r>
      <w:hyperlink r:id="rId14" w:history="1">
        <w:r w:rsidR="00A864A7" w:rsidRPr="00A864A7">
          <w:rPr>
            <w:rStyle w:val="Hypertextovodkaz"/>
            <w:rFonts w:asciiTheme="minorHAnsi" w:hAnsiTheme="minorHAnsi" w:cstheme="minorHAnsi"/>
            <w:szCs w:val="20"/>
            <w:lang w:val="cs-CZ"/>
          </w:rPr>
          <w:t>https://smlouvy.gov.cz/smlouva/1751360</w:t>
        </w:r>
        <w:r w:rsidR="00A864A7" w:rsidRPr="00A864A7">
          <w:rPr>
            <w:rStyle w:val="Hypertextovodkaz"/>
            <w:rFonts w:asciiTheme="minorHAnsi" w:hAnsiTheme="minorHAnsi" w:cstheme="minorHAnsi"/>
            <w:szCs w:val="20"/>
            <w:lang w:val="cs-CZ"/>
          </w:rPr>
          <w:t>7</w:t>
        </w:r>
        <w:r w:rsidR="00A864A7" w:rsidRPr="00A864A7">
          <w:rPr>
            <w:rStyle w:val="Hypertextovodkaz"/>
            <w:rFonts w:asciiTheme="minorHAnsi" w:hAnsiTheme="minorHAnsi" w:cstheme="minorHAnsi"/>
            <w:szCs w:val="20"/>
            <w:lang w:val="cs-CZ"/>
          </w:rPr>
          <w:t>?backlink=4stgo</w:t>
        </w:r>
      </w:hyperlink>
      <w:r w:rsidR="006810FA">
        <w:rPr>
          <w:rFonts w:asciiTheme="minorHAnsi" w:hAnsiTheme="minorHAnsi" w:cstheme="minorHAnsi"/>
          <w:color w:val="auto"/>
          <w:sz w:val="20"/>
          <w:szCs w:val="20"/>
          <w:lang w:val="cs-CZ"/>
        </w:rPr>
        <w:t>,</w:t>
      </w:r>
      <w:r w:rsidR="00A864A7" w:rsidRPr="00A864A7">
        <w:rPr>
          <w:rFonts w:asciiTheme="minorHAnsi" w:hAnsiTheme="minorHAnsi" w:cstheme="minorHAnsi"/>
          <w:color w:val="auto"/>
          <w:sz w:val="20"/>
          <w:szCs w:val="20"/>
          <w:lang w:val="cs-CZ"/>
        </w:rPr>
        <w:t xml:space="preserve"> </w:t>
      </w:r>
      <w:r w:rsidR="006810FA">
        <w:rPr>
          <w:rFonts w:asciiTheme="minorHAnsi" w:hAnsiTheme="minorHAnsi" w:cstheme="minorHAnsi"/>
          <w:color w:val="auto"/>
          <w:sz w:val="20"/>
          <w:szCs w:val="20"/>
          <w:lang w:val="cs-CZ"/>
        </w:rPr>
        <w:t>včetně provázaných záznamů zejména dostupného z:</w:t>
      </w:r>
      <w:hyperlink r:id="rId15" w:history="1">
        <w:r w:rsidR="00A864A7" w:rsidRPr="00A864A7">
          <w:rPr>
            <w:rStyle w:val="Hypertextovodkaz"/>
            <w:rFonts w:asciiTheme="minorHAnsi" w:hAnsiTheme="minorHAnsi" w:cstheme="minorHAnsi"/>
            <w:szCs w:val="20"/>
            <w:lang w:val="cs-CZ"/>
          </w:rPr>
          <w:t>https://smlouvy.gov.cz/s</w:t>
        </w:r>
        <w:r w:rsidR="00A864A7" w:rsidRPr="00A864A7">
          <w:rPr>
            <w:rStyle w:val="Hypertextovodkaz"/>
            <w:rFonts w:asciiTheme="minorHAnsi" w:hAnsiTheme="minorHAnsi" w:cstheme="minorHAnsi"/>
            <w:szCs w:val="20"/>
            <w:lang w:val="cs-CZ"/>
          </w:rPr>
          <w:t>m</w:t>
        </w:r>
        <w:r w:rsidR="00A864A7" w:rsidRPr="00A864A7">
          <w:rPr>
            <w:rStyle w:val="Hypertextovodkaz"/>
            <w:rFonts w:asciiTheme="minorHAnsi" w:hAnsiTheme="minorHAnsi" w:cstheme="minorHAnsi"/>
            <w:szCs w:val="20"/>
            <w:lang w:val="cs-CZ"/>
          </w:rPr>
          <w:t>louva/25698927</w:t>
        </w:r>
      </w:hyperlink>
      <w:r w:rsidR="00E147FF" w:rsidRPr="00A864A7">
        <w:rPr>
          <w:rFonts w:asciiTheme="minorHAnsi" w:hAnsiTheme="minorHAnsi" w:cstheme="minorHAnsi"/>
          <w:color w:val="auto"/>
          <w:sz w:val="20"/>
          <w:szCs w:val="20"/>
          <w:lang w:val="cs-CZ"/>
        </w:rPr>
        <w:t xml:space="preserve">. </w:t>
      </w:r>
    </w:p>
    <w:p w14:paraId="11049817" w14:textId="59C91679" w:rsidR="00767574" w:rsidRPr="00A864A7" w:rsidRDefault="00767574" w:rsidP="003D6B74">
      <w:pPr>
        <w:jc w:val="both"/>
        <w:rPr>
          <w:rFonts w:asciiTheme="minorHAnsi" w:hAnsiTheme="minorHAnsi" w:cstheme="minorHAnsi"/>
          <w:color w:val="auto"/>
          <w:sz w:val="20"/>
          <w:szCs w:val="20"/>
          <w:lang w:val="cs-CZ"/>
        </w:rPr>
      </w:pPr>
    </w:p>
    <w:p w14:paraId="7EE63F64" w14:textId="77777777" w:rsidR="00D25F38" w:rsidRPr="002D74AC" w:rsidRDefault="00D25F38" w:rsidP="00D25F38">
      <w:pPr>
        <w:ind w:left="-720"/>
        <w:jc w:val="both"/>
        <w:rPr>
          <w:rFonts w:asciiTheme="minorHAnsi" w:hAnsiTheme="minorHAnsi" w:cstheme="minorHAnsi"/>
          <w:color w:val="auto"/>
          <w:sz w:val="20"/>
          <w:szCs w:val="20"/>
          <w:highlight w:val="yellow"/>
          <w:lang w:val="cs-CZ"/>
        </w:rPr>
      </w:pPr>
    </w:p>
    <w:p w14:paraId="621AD1E5" w14:textId="77777777" w:rsidR="00E147FF" w:rsidRPr="002D74AC" w:rsidRDefault="00E147FF" w:rsidP="004E5571">
      <w:pPr>
        <w:numPr>
          <w:ilvl w:val="1"/>
          <w:numId w:val="15"/>
        </w:numPr>
        <w:tabs>
          <w:tab w:val="clear" w:pos="1440"/>
          <w:tab w:val="num" w:pos="0"/>
        </w:tabs>
        <w:ind w:left="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Tato Smlouva je nevýhradní a </w:t>
      </w:r>
      <w:r w:rsidR="001F6EE3" w:rsidRPr="002D74AC">
        <w:rPr>
          <w:rFonts w:asciiTheme="minorHAnsi" w:hAnsiTheme="minorHAnsi" w:cstheme="minorHAnsi"/>
          <w:color w:val="auto"/>
          <w:sz w:val="20"/>
          <w:szCs w:val="20"/>
          <w:lang w:val="cs-CZ"/>
        </w:rPr>
        <w:t xml:space="preserve">každá </w:t>
      </w:r>
      <w:r w:rsidRPr="002D74AC">
        <w:rPr>
          <w:rFonts w:asciiTheme="minorHAnsi" w:hAnsiTheme="minorHAnsi" w:cstheme="minorHAnsi"/>
          <w:color w:val="auto"/>
          <w:sz w:val="20"/>
          <w:szCs w:val="20"/>
          <w:lang w:val="cs-CZ"/>
        </w:rPr>
        <w:t xml:space="preserve">Strana smí </w:t>
      </w:r>
      <w:r w:rsidR="00A45A15" w:rsidRPr="002D74AC">
        <w:rPr>
          <w:rFonts w:asciiTheme="minorHAnsi" w:hAnsiTheme="minorHAnsi" w:cstheme="minorHAnsi"/>
          <w:color w:val="auto"/>
          <w:sz w:val="20"/>
          <w:szCs w:val="20"/>
          <w:lang w:val="cs-CZ"/>
        </w:rPr>
        <w:t xml:space="preserve">navrhovat, vytvářet, vyrábět, pořizovat nebo prodávat konkurenční produkty nebo služby. Společnost Deloitte bude nezávisle stanovovat ceny za opětovný prodej Služeb a Výstupů. </w:t>
      </w:r>
    </w:p>
    <w:p w14:paraId="39F3193B" w14:textId="60EFD6DE" w:rsidR="00767574" w:rsidRPr="002D74AC" w:rsidRDefault="00767574" w:rsidP="1A9D4722">
      <w:pPr>
        <w:jc w:val="both"/>
        <w:rPr>
          <w:rFonts w:asciiTheme="minorHAnsi" w:hAnsiTheme="minorHAnsi" w:cstheme="minorHAnsi"/>
          <w:color w:val="auto"/>
          <w:sz w:val="20"/>
          <w:szCs w:val="20"/>
          <w:lang w:val="cs-CZ"/>
        </w:rPr>
      </w:pPr>
    </w:p>
    <w:p w14:paraId="3159B1E0" w14:textId="77777777" w:rsidR="00767574" w:rsidRPr="002D74AC" w:rsidRDefault="00767574" w:rsidP="00767574">
      <w:pPr>
        <w:pStyle w:val="Odstavecseseznamem"/>
        <w:rPr>
          <w:rFonts w:asciiTheme="minorHAnsi" w:hAnsiTheme="minorHAnsi" w:cstheme="minorHAnsi"/>
          <w:color w:val="auto"/>
          <w:sz w:val="20"/>
          <w:szCs w:val="20"/>
          <w:lang w:val="cs-CZ"/>
        </w:rPr>
      </w:pPr>
    </w:p>
    <w:p w14:paraId="5909A27C" w14:textId="77777777" w:rsidR="001F38A3" w:rsidRPr="002D74AC" w:rsidRDefault="001A4911" w:rsidP="004E5571">
      <w:pPr>
        <w:numPr>
          <w:ilvl w:val="1"/>
          <w:numId w:val="15"/>
        </w:numPr>
        <w:tabs>
          <w:tab w:val="clear" w:pos="1440"/>
          <w:tab w:val="num" w:pos="0"/>
        </w:tabs>
        <w:ind w:left="0" w:hanging="72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Tato Smlouva nahrazuje všechny předchozí ústní nebo písemné dohody nebo jiná </w:t>
      </w:r>
      <w:r w:rsidR="005D5D6F" w:rsidRPr="002D74AC">
        <w:rPr>
          <w:rFonts w:asciiTheme="minorHAnsi" w:hAnsiTheme="minorHAnsi" w:cstheme="minorHAnsi"/>
          <w:color w:val="auto"/>
          <w:sz w:val="20"/>
          <w:szCs w:val="20"/>
          <w:lang w:val="cs-CZ"/>
        </w:rPr>
        <w:t xml:space="preserve">ujednání </w:t>
      </w:r>
      <w:r w:rsidRPr="002D74AC">
        <w:rPr>
          <w:rFonts w:asciiTheme="minorHAnsi" w:hAnsiTheme="minorHAnsi" w:cstheme="minorHAnsi"/>
          <w:color w:val="auto"/>
          <w:sz w:val="20"/>
          <w:szCs w:val="20"/>
          <w:lang w:val="cs-CZ"/>
        </w:rPr>
        <w:t>mezi Stranami s ohledem na předmět této Smlouvy, s výjimkou smlouvy o zachování důvěrnosti informací. V případě rozpor</w:t>
      </w:r>
      <w:r w:rsidR="005D5D6F" w:rsidRPr="002D74AC">
        <w:rPr>
          <w:rFonts w:asciiTheme="minorHAnsi" w:hAnsiTheme="minorHAnsi" w:cstheme="minorHAnsi"/>
          <w:color w:val="auto"/>
          <w:sz w:val="20"/>
          <w:szCs w:val="20"/>
          <w:lang w:val="cs-CZ"/>
        </w:rPr>
        <w:t>ů mezi</w:t>
      </w:r>
      <w:r w:rsidRPr="002D74AC">
        <w:rPr>
          <w:rFonts w:asciiTheme="minorHAnsi" w:hAnsiTheme="minorHAnsi" w:cstheme="minorHAnsi"/>
          <w:color w:val="auto"/>
          <w:sz w:val="20"/>
          <w:szCs w:val="20"/>
          <w:lang w:val="cs-CZ"/>
        </w:rPr>
        <w:t xml:space="preserve"> </w:t>
      </w:r>
      <w:r w:rsidR="005D5D6F" w:rsidRPr="002D74AC">
        <w:rPr>
          <w:rFonts w:asciiTheme="minorHAnsi" w:hAnsiTheme="minorHAnsi" w:cstheme="minorHAnsi"/>
          <w:color w:val="auto"/>
          <w:sz w:val="20"/>
          <w:szCs w:val="20"/>
          <w:lang w:val="cs-CZ"/>
        </w:rPr>
        <w:t xml:space="preserve">existující dokumentací, bude pořadí vzniku platnosti předmětných </w:t>
      </w:r>
      <w:r w:rsidRPr="002D74AC">
        <w:rPr>
          <w:rFonts w:asciiTheme="minorHAnsi" w:hAnsiTheme="minorHAnsi" w:cstheme="minorHAnsi"/>
          <w:color w:val="auto"/>
          <w:sz w:val="20"/>
          <w:szCs w:val="20"/>
          <w:lang w:val="cs-CZ"/>
        </w:rPr>
        <w:t xml:space="preserve">dokumentů následující: </w:t>
      </w:r>
    </w:p>
    <w:p w14:paraId="61AB4D28" w14:textId="46E5FB3E" w:rsidR="001D6987" w:rsidRPr="002D74AC" w:rsidRDefault="001F38A3" w:rsidP="001F38A3">
      <w:pPr>
        <w:ind w:left="1260" w:hanging="90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(a)</w:t>
      </w:r>
      <w:r w:rsidRPr="002D74AC">
        <w:rPr>
          <w:rFonts w:asciiTheme="minorHAnsi" w:hAnsiTheme="minorHAnsi" w:cstheme="minorHAnsi"/>
          <w:color w:val="auto"/>
          <w:sz w:val="20"/>
          <w:szCs w:val="20"/>
          <w:lang w:val="cs-CZ"/>
        </w:rPr>
        <w:tab/>
      </w:r>
      <w:r w:rsidR="001A4911" w:rsidRPr="002D74AC">
        <w:rPr>
          <w:rFonts w:asciiTheme="minorHAnsi" w:hAnsiTheme="minorHAnsi" w:cstheme="minorHAnsi"/>
          <w:color w:val="auto"/>
          <w:sz w:val="20"/>
          <w:szCs w:val="20"/>
          <w:lang w:val="cs-CZ"/>
        </w:rPr>
        <w:t xml:space="preserve">Popis Služeb, </w:t>
      </w:r>
      <w:r w:rsidR="00402CED" w:rsidRPr="002D74AC">
        <w:rPr>
          <w:rFonts w:asciiTheme="minorHAnsi" w:hAnsiTheme="minorHAnsi" w:cstheme="minorHAnsi"/>
          <w:color w:val="auto"/>
          <w:sz w:val="20"/>
          <w:szCs w:val="20"/>
          <w:lang w:val="cs-CZ"/>
        </w:rPr>
        <w:t>odměna a náklady Subdodavatele,</w:t>
      </w:r>
    </w:p>
    <w:p w14:paraId="03BBD6C5" w14:textId="77777777" w:rsidR="009D6427" w:rsidRPr="002D74AC" w:rsidRDefault="001F38A3" w:rsidP="001F38A3">
      <w:pPr>
        <w:ind w:left="1260" w:hanging="900"/>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(b)</w:t>
      </w:r>
      <w:r w:rsidR="001D6987"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ab/>
      </w:r>
      <w:r w:rsidR="001A4911" w:rsidRPr="002D74AC">
        <w:rPr>
          <w:rFonts w:asciiTheme="minorHAnsi" w:hAnsiTheme="minorHAnsi" w:cstheme="minorHAnsi"/>
          <w:color w:val="auto"/>
          <w:sz w:val="20"/>
          <w:szCs w:val="20"/>
          <w:lang w:val="cs-CZ"/>
        </w:rPr>
        <w:t>Smlouva</w:t>
      </w:r>
      <w:r w:rsidR="009D6427" w:rsidRPr="002D74AC">
        <w:rPr>
          <w:rFonts w:asciiTheme="minorHAnsi" w:hAnsiTheme="minorHAnsi" w:cstheme="minorHAnsi"/>
          <w:color w:val="auto"/>
          <w:sz w:val="20"/>
          <w:szCs w:val="20"/>
          <w:lang w:val="cs-CZ"/>
        </w:rPr>
        <w:t>.</w:t>
      </w:r>
    </w:p>
    <w:p w14:paraId="582AF1DF" w14:textId="77777777" w:rsidR="009D6427" w:rsidRPr="002D74AC" w:rsidRDefault="009D6427" w:rsidP="004E5571">
      <w:pPr>
        <w:numPr>
          <w:ilvl w:val="1"/>
          <w:numId w:val="15"/>
        </w:numPr>
        <w:ind w:hanging="3420"/>
        <w:rPr>
          <w:rFonts w:asciiTheme="minorHAnsi" w:hAnsiTheme="minorHAnsi" w:cstheme="minorHAnsi"/>
          <w:color w:val="auto"/>
          <w:sz w:val="20"/>
          <w:szCs w:val="20"/>
          <w:lang w:val="cs-CZ"/>
        </w:rPr>
      </w:pPr>
    </w:p>
    <w:p w14:paraId="028DDB98" w14:textId="4BECC8F9" w:rsidR="006A702C" w:rsidRPr="003A5C28" w:rsidRDefault="003A5C28" w:rsidP="003A5C28">
      <w:pPr>
        <w:jc w:val="center"/>
        <w:rPr>
          <w:rFonts w:asciiTheme="minorHAnsi" w:hAnsiTheme="minorHAnsi" w:cstheme="minorHAnsi"/>
          <w:color w:val="auto"/>
          <w:sz w:val="36"/>
          <w:szCs w:val="36"/>
          <w:lang w:val="cs-CZ"/>
        </w:rPr>
      </w:pPr>
      <w:r w:rsidRPr="003A5C28">
        <w:rPr>
          <w:rFonts w:asciiTheme="minorHAnsi" w:hAnsiTheme="minorHAnsi" w:cstheme="minorHAnsi"/>
          <w:color w:val="auto"/>
          <w:sz w:val="36"/>
          <w:szCs w:val="36"/>
          <w:lang w:val="cs-CZ"/>
        </w:rPr>
        <w:t>NÁSLEDUJE PODPISOVÁ STRANA</w:t>
      </w:r>
    </w:p>
    <w:p w14:paraId="5E8408D3" w14:textId="77777777" w:rsidR="006A702C" w:rsidRDefault="006A702C">
      <w:pPr>
        <w:jc w:val="both"/>
        <w:rPr>
          <w:rFonts w:asciiTheme="minorHAnsi" w:hAnsiTheme="minorHAnsi" w:cstheme="minorHAnsi"/>
          <w:color w:val="auto"/>
          <w:sz w:val="20"/>
          <w:szCs w:val="20"/>
          <w:lang w:val="cs-CZ"/>
        </w:rPr>
      </w:pPr>
    </w:p>
    <w:p w14:paraId="3641294E" w14:textId="77777777" w:rsidR="003A5C28" w:rsidRDefault="003A5C28">
      <w:pPr>
        <w:jc w:val="both"/>
        <w:rPr>
          <w:rFonts w:asciiTheme="minorHAnsi" w:hAnsiTheme="minorHAnsi" w:cstheme="minorHAnsi"/>
          <w:color w:val="auto"/>
          <w:sz w:val="20"/>
          <w:szCs w:val="20"/>
          <w:lang w:val="cs-CZ"/>
        </w:rPr>
      </w:pPr>
    </w:p>
    <w:p w14:paraId="03562A6A" w14:textId="77777777" w:rsidR="003A5C28" w:rsidRDefault="003A5C28">
      <w:pPr>
        <w:jc w:val="both"/>
        <w:rPr>
          <w:rFonts w:asciiTheme="minorHAnsi" w:hAnsiTheme="minorHAnsi" w:cstheme="minorHAnsi"/>
          <w:color w:val="auto"/>
          <w:sz w:val="20"/>
          <w:szCs w:val="20"/>
          <w:lang w:val="cs-CZ"/>
        </w:rPr>
      </w:pPr>
    </w:p>
    <w:p w14:paraId="20B1D72E" w14:textId="77777777" w:rsidR="003A5C28" w:rsidRDefault="003A5C28">
      <w:pPr>
        <w:jc w:val="both"/>
        <w:rPr>
          <w:rFonts w:asciiTheme="minorHAnsi" w:hAnsiTheme="minorHAnsi" w:cstheme="minorHAnsi"/>
          <w:color w:val="auto"/>
          <w:sz w:val="20"/>
          <w:szCs w:val="20"/>
          <w:lang w:val="cs-CZ"/>
        </w:rPr>
      </w:pPr>
    </w:p>
    <w:p w14:paraId="630A6221" w14:textId="77777777" w:rsidR="003A5C28" w:rsidRDefault="003A5C28">
      <w:pPr>
        <w:jc w:val="both"/>
        <w:rPr>
          <w:rFonts w:asciiTheme="minorHAnsi" w:hAnsiTheme="minorHAnsi" w:cstheme="minorHAnsi"/>
          <w:color w:val="auto"/>
          <w:sz w:val="20"/>
          <w:szCs w:val="20"/>
          <w:lang w:val="cs-CZ"/>
        </w:rPr>
      </w:pPr>
    </w:p>
    <w:p w14:paraId="643E681C" w14:textId="77777777" w:rsidR="003A5C28" w:rsidRPr="002D74AC" w:rsidRDefault="003A5C28">
      <w:pPr>
        <w:jc w:val="both"/>
        <w:rPr>
          <w:rFonts w:asciiTheme="minorHAnsi" w:hAnsiTheme="minorHAnsi" w:cstheme="minorHAnsi"/>
          <w:color w:val="auto"/>
          <w:sz w:val="20"/>
          <w:szCs w:val="20"/>
          <w:lang w:val="cs-CZ"/>
        </w:rPr>
      </w:pPr>
    </w:p>
    <w:p w14:paraId="0A537639" w14:textId="77777777" w:rsidR="006A702C" w:rsidRPr="002D74AC" w:rsidRDefault="001A4911">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PODEPSÁNO Stranami v</w:t>
      </w:r>
      <w:r w:rsidR="000A2609" w:rsidRPr="002D74AC">
        <w:rPr>
          <w:rFonts w:asciiTheme="minorHAnsi" w:hAnsiTheme="minorHAnsi" w:cstheme="minorHAnsi"/>
          <w:color w:val="auto"/>
          <w:sz w:val="20"/>
          <w:szCs w:val="20"/>
          <w:lang w:val="cs-CZ"/>
        </w:rPr>
        <w:t>e stanovený den</w:t>
      </w:r>
      <w:r w:rsidR="006A702C" w:rsidRPr="002D74AC">
        <w:rPr>
          <w:rFonts w:asciiTheme="minorHAnsi" w:hAnsiTheme="minorHAnsi" w:cstheme="minorHAnsi"/>
          <w:color w:val="auto"/>
          <w:sz w:val="20"/>
          <w:szCs w:val="20"/>
          <w:lang w:val="cs-CZ"/>
        </w:rPr>
        <w:t>.</w:t>
      </w:r>
    </w:p>
    <w:p w14:paraId="3EEB2DF1" w14:textId="77777777" w:rsidR="006A702C" w:rsidRPr="002D74AC" w:rsidRDefault="006A702C">
      <w:pPr>
        <w:jc w:val="both"/>
        <w:rPr>
          <w:rFonts w:asciiTheme="minorHAnsi" w:hAnsiTheme="minorHAnsi" w:cstheme="minorHAnsi"/>
          <w:color w:val="auto"/>
          <w:sz w:val="20"/>
          <w:szCs w:val="20"/>
          <w:lang w:val="cs-CZ"/>
        </w:rPr>
      </w:pPr>
    </w:p>
    <w:p w14:paraId="5F4E4A18" w14:textId="77777777" w:rsidR="006A702C" w:rsidRDefault="006A702C">
      <w:pPr>
        <w:jc w:val="both"/>
        <w:rPr>
          <w:rFonts w:asciiTheme="minorHAnsi" w:hAnsiTheme="minorHAnsi" w:cstheme="minorHAnsi"/>
          <w:color w:val="auto"/>
          <w:sz w:val="20"/>
          <w:szCs w:val="20"/>
          <w:lang w:val="cs-CZ"/>
        </w:rPr>
      </w:pPr>
    </w:p>
    <w:p w14:paraId="30E06557" w14:textId="77777777" w:rsidR="003A5C28" w:rsidRDefault="003A5C28">
      <w:pPr>
        <w:jc w:val="both"/>
        <w:rPr>
          <w:rFonts w:asciiTheme="minorHAnsi" w:hAnsiTheme="minorHAnsi" w:cstheme="minorHAnsi"/>
          <w:color w:val="auto"/>
          <w:sz w:val="20"/>
          <w:szCs w:val="20"/>
          <w:lang w:val="cs-CZ"/>
        </w:rPr>
      </w:pPr>
    </w:p>
    <w:p w14:paraId="303B728E" w14:textId="77777777" w:rsidR="003A5C28" w:rsidRDefault="003A5C28">
      <w:pPr>
        <w:jc w:val="both"/>
        <w:rPr>
          <w:rFonts w:asciiTheme="minorHAnsi" w:hAnsiTheme="minorHAnsi" w:cstheme="minorHAnsi"/>
          <w:color w:val="auto"/>
          <w:sz w:val="20"/>
          <w:szCs w:val="20"/>
          <w:lang w:val="cs-CZ"/>
        </w:rPr>
      </w:pPr>
    </w:p>
    <w:p w14:paraId="435218CA" w14:textId="77777777" w:rsidR="003A5C28" w:rsidRDefault="003A5C28">
      <w:pPr>
        <w:jc w:val="both"/>
        <w:rPr>
          <w:rFonts w:asciiTheme="minorHAnsi" w:hAnsiTheme="minorHAnsi" w:cstheme="minorHAnsi"/>
          <w:color w:val="auto"/>
          <w:sz w:val="20"/>
          <w:szCs w:val="20"/>
          <w:lang w:val="cs-CZ"/>
        </w:rPr>
      </w:pPr>
    </w:p>
    <w:p w14:paraId="14D92971" w14:textId="77777777" w:rsidR="003A5C28" w:rsidRDefault="003A5C28">
      <w:pPr>
        <w:jc w:val="both"/>
        <w:rPr>
          <w:rFonts w:asciiTheme="minorHAnsi" w:hAnsiTheme="minorHAnsi" w:cstheme="minorHAnsi"/>
          <w:color w:val="auto"/>
          <w:sz w:val="20"/>
          <w:szCs w:val="20"/>
          <w:lang w:val="cs-CZ"/>
        </w:rPr>
      </w:pPr>
    </w:p>
    <w:p w14:paraId="38667951" w14:textId="77777777" w:rsidR="003A5C28" w:rsidRDefault="003A5C28">
      <w:pPr>
        <w:jc w:val="both"/>
        <w:rPr>
          <w:rFonts w:asciiTheme="minorHAnsi" w:hAnsiTheme="minorHAnsi" w:cstheme="minorHAnsi"/>
          <w:color w:val="auto"/>
          <w:sz w:val="20"/>
          <w:szCs w:val="20"/>
          <w:lang w:val="cs-CZ"/>
        </w:rPr>
      </w:pPr>
    </w:p>
    <w:p w14:paraId="4D14A66A" w14:textId="77777777" w:rsidR="003A5C28" w:rsidRDefault="003A5C28">
      <w:pPr>
        <w:jc w:val="both"/>
        <w:rPr>
          <w:rFonts w:asciiTheme="minorHAnsi" w:hAnsiTheme="minorHAnsi" w:cstheme="minorHAnsi"/>
          <w:color w:val="auto"/>
          <w:sz w:val="20"/>
          <w:szCs w:val="20"/>
          <w:lang w:val="cs-CZ"/>
        </w:rPr>
      </w:pPr>
    </w:p>
    <w:p w14:paraId="7723A3CC" w14:textId="77777777" w:rsidR="003A5C28" w:rsidRPr="002D74AC" w:rsidRDefault="003A5C28">
      <w:pPr>
        <w:jc w:val="both"/>
        <w:rPr>
          <w:rFonts w:asciiTheme="minorHAnsi" w:hAnsiTheme="minorHAnsi" w:cstheme="minorHAnsi"/>
          <w:color w:val="auto"/>
          <w:sz w:val="20"/>
          <w:szCs w:val="20"/>
          <w:lang w:val="cs-CZ"/>
        </w:rPr>
      </w:pPr>
    </w:p>
    <w:p w14:paraId="597D68DD" w14:textId="77777777" w:rsidR="006A702C" w:rsidRPr="002D74AC" w:rsidRDefault="006A702C">
      <w:pPr>
        <w:jc w:val="both"/>
        <w:rPr>
          <w:rFonts w:asciiTheme="minorHAnsi" w:hAnsiTheme="minorHAnsi" w:cstheme="minorHAnsi"/>
          <w:color w:val="auto"/>
          <w:sz w:val="20"/>
          <w:szCs w:val="20"/>
          <w:lang w:val="cs-CZ"/>
        </w:rPr>
      </w:pPr>
    </w:p>
    <w:tbl>
      <w:tblPr>
        <w:tblW w:w="8142" w:type="dxa"/>
        <w:tblInd w:w="648" w:type="dxa"/>
        <w:tblLayout w:type="fixed"/>
        <w:tblLook w:val="0000" w:firstRow="0" w:lastRow="0" w:firstColumn="0" w:lastColumn="0" w:noHBand="0" w:noVBand="0"/>
      </w:tblPr>
      <w:tblGrid>
        <w:gridCol w:w="3960"/>
        <w:gridCol w:w="4182"/>
      </w:tblGrid>
      <w:tr w:rsidR="002F3A14" w:rsidRPr="002D74AC" w14:paraId="624FDD71" w14:textId="77777777" w:rsidTr="12DFB290">
        <w:tc>
          <w:tcPr>
            <w:tcW w:w="3960" w:type="dxa"/>
          </w:tcPr>
          <w:p w14:paraId="3B2CC093" w14:textId="33036EFE" w:rsidR="002F3A14" w:rsidRPr="002D74AC" w:rsidRDefault="28675B68" w:rsidP="00FB3408">
            <w:pPr>
              <w:spacing w:line="259" w:lineRule="auto"/>
              <w:jc w:val="both"/>
              <w:rPr>
                <w:rFonts w:asciiTheme="minorHAnsi" w:hAnsiTheme="minorHAnsi" w:cstheme="minorHAnsi"/>
                <w:b/>
                <w:bCs/>
                <w:color w:val="auto"/>
                <w:sz w:val="20"/>
                <w:szCs w:val="20"/>
                <w:lang w:val="cs-CZ"/>
              </w:rPr>
            </w:pPr>
            <w:r w:rsidRPr="002D74AC">
              <w:rPr>
                <w:rFonts w:asciiTheme="minorHAnsi" w:hAnsiTheme="minorHAnsi" w:cstheme="minorHAnsi"/>
                <w:b/>
                <w:bCs/>
                <w:color w:val="auto"/>
                <w:sz w:val="20"/>
                <w:szCs w:val="20"/>
                <w:lang w:val="cs-CZ"/>
              </w:rPr>
              <w:t>Deloitte Advisory, s.r.o.</w:t>
            </w:r>
          </w:p>
          <w:p w14:paraId="3EE49C85" w14:textId="77777777" w:rsidR="002F3A14" w:rsidRPr="002D74AC" w:rsidRDefault="002F3A14" w:rsidP="002F3A14">
            <w:pPr>
              <w:jc w:val="both"/>
              <w:rPr>
                <w:rFonts w:asciiTheme="minorHAnsi" w:hAnsiTheme="minorHAnsi" w:cstheme="minorHAnsi"/>
                <w:color w:val="auto"/>
                <w:sz w:val="20"/>
                <w:szCs w:val="20"/>
                <w:lang w:val="cs-CZ"/>
              </w:rPr>
            </w:pPr>
          </w:p>
        </w:tc>
        <w:tc>
          <w:tcPr>
            <w:tcW w:w="4182" w:type="dxa"/>
          </w:tcPr>
          <w:p w14:paraId="63558157" w14:textId="2ABEE84E" w:rsidR="002F3A14" w:rsidRPr="002D74AC" w:rsidRDefault="2D7A52EA" w:rsidP="00FB3408">
            <w:pPr>
              <w:spacing w:line="259" w:lineRule="auto"/>
              <w:jc w:val="both"/>
              <w:rPr>
                <w:rFonts w:asciiTheme="minorHAnsi" w:eastAsia="Calibri" w:hAnsiTheme="minorHAnsi" w:cstheme="minorHAnsi"/>
                <w:sz w:val="20"/>
                <w:szCs w:val="20"/>
                <w:lang w:val="cs-CZ"/>
              </w:rPr>
            </w:pPr>
            <w:r w:rsidRPr="006D3CAF">
              <w:rPr>
                <w:rFonts w:asciiTheme="minorHAnsi" w:hAnsiTheme="minorHAnsi" w:cstheme="minorHAnsi"/>
                <w:b/>
                <w:bCs/>
                <w:color w:val="auto"/>
                <w:sz w:val="20"/>
                <w:szCs w:val="20"/>
                <w:lang w:val="cs-CZ"/>
              </w:rPr>
              <w:t>ČVUT UCEEB</w:t>
            </w:r>
          </w:p>
        </w:tc>
      </w:tr>
      <w:tr w:rsidR="002F3A14" w:rsidRPr="002D74AC" w14:paraId="7643DDA4" w14:textId="77777777" w:rsidTr="12DFB290">
        <w:tc>
          <w:tcPr>
            <w:tcW w:w="3960" w:type="dxa"/>
          </w:tcPr>
          <w:p w14:paraId="2CEF150A" w14:textId="4AABFB11" w:rsidR="002F3A14" w:rsidRPr="002D74AC" w:rsidRDefault="4A61D2BA" w:rsidP="1A9D472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Osoba: </w:t>
            </w:r>
            <w:r w:rsidR="11A3BCD2" w:rsidRPr="002D74AC">
              <w:rPr>
                <w:rFonts w:asciiTheme="minorHAnsi" w:hAnsiTheme="minorHAnsi" w:cstheme="minorHAnsi"/>
                <w:color w:val="auto"/>
                <w:sz w:val="20"/>
                <w:szCs w:val="20"/>
                <w:lang w:val="cs-CZ"/>
              </w:rPr>
              <w:t xml:space="preserve">Martin </w:t>
            </w:r>
            <w:proofErr w:type="spellStart"/>
            <w:r w:rsidR="11A3BCD2" w:rsidRPr="002D74AC">
              <w:rPr>
                <w:rFonts w:asciiTheme="minorHAnsi" w:hAnsiTheme="minorHAnsi" w:cstheme="minorHAnsi"/>
                <w:color w:val="auto"/>
                <w:sz w:val="20"/>
                <w:szCs w:val="20"/>
                <w:lang w:val="cs-CZ"/>
              </w:rPr>
              <w:t>Kubačka</w:t>
            </w:r>
            <w:proofErr w:type="spellEnd"/>
          </w:p>
        </w:tc>
        <w:tc>
          <w:tcPr>
            <w:tcW w:w="4182" w:type="dxa"/>
          </w:tcPr>
          <w:p w14:paraId="6B06E411" w14:textId="412522C7" w:rsidR="002F3A14" w:rsidRPr="002D74AC" w:rsidRDefault="0F347810" w:rsidP="00FB3408">
            <w:pPr>
              <w:spacing w:line="259" w:lineRule="auto"/>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Osoba: </w:t>
            </w:r>
            <w:r w:rsidR="039785F0" w:rsidRPr="002D74AC">
              <w:rPr>
                <w:rFonts w:asciiTheme="minorHAnsi" w:hAnsiTheme="minorHAnsi" w:cstheme="minorHAnsi"/>
                <w:color w:val="auto"/>
                <w:sz w:val="20"/>
                <w:szCs w:val="20"/>
                <w:lang w:val="cs-CZ"/>
              </w:rPr>
              <w:t>Ing. Robert Jára, Ph.D.</w:t>
            </w:r>
          </w:p>
          <w:p w14:paraId="02684C4D" w14:textId="77777777" w:rsidR="002F3A14" w:rsidRPr="002D74AC" w:rsidRDefault="002F3A14" w:rsidP="002F3A14">
            <w:pPr>
              <w:jc w:val="both"/>
              <w:rPr>
                <w:rFonts w:asciiTheme="minorHAnsi" w:hAnsiTheme="minorHAnsi" w:cstheme="minorHAnsi"/>
                <w:color w:val="auto"/>
                <w:sz w:val="20"/>
                <w:szCs w:val="20"/>
                <w:lang w:val="cs-CZ"/>
              </w:rPr>
            </w:pPr>
          </w:p>
        </w:tc>
      </w:tr>
      <w:tr w:rsidR="002F3A14" w:rsidRPr="002D74AC" w14:paraId="49FC9D92" w14:textId="77777777" w:rsidTr="12DFB290">
        <w:tc>
          <w:tcPr>
            <w:tcW w:w="3960" w:type="dxa"/>
          </w:tcPr>
          <w:p w14:paraId="249ADB36" w14:textId="6D9F4B59" w:rsidR="002F3A14" w:rsidRPr="002D74AC" w:rsidRDefault="0F347810"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Funkce: </w:t>
            </w:r>
            <w:r w:rsidR="7B081D1F" w:rsidRPr="002D74AC">
              <w:rPr>
                <w:rFonts w:asciiTheme="minorHAnsi" w:hAnsiTheme="minorHAnsi" w:cstheme="minorHAnsi"/>
                <w:color w:val="auto"/>
                <w:sz w:val="20"/>
                <w:szCs w:val="20"/>
                <w:lang w:val="cs-CZ"/>
              </w:rPr>
              <w:t>partner</w:t>
            </w:r>
          </w:p>
        </w:tc>
        <w:tc>
          <w:tcPr>
            <w:tcW w:w="4182" w:type="dxa"/>
          </w:tcPr>
          <w:p w14:paraId="63D8701F" w14:textId="3E74E009" w:rsidR="002F3A14" w:rsidRPr="002D74AC" w:rsidRDefault="0F347810"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Funkce: </w:t>
            </w:r>
            <w:r w:rsidR="76EBB340" w:rsidRPr="002D74AC">
              <w:rPr>
                <w:rFonts w:asciiTheme="minorHAnsi" w:hAnsiTheme="minorHAnsi" w:cstheme="minorHAnsi"/>
                <w:color w:val="auto"/>
                <w:sz w:val="20"/>
                <w:szCs w:val="20"/>
                <w:lang w:val="cs-CZ"/>
              </w:rPr>
              <w:t>ředitel</w:t>
            </w:r>
          </w:p>
          <w:p w14:paraId="0152365F" w14:textId="77777777" w:rsidR="002F3A14" w:rsidRPr="002D74AC" w:rsidRDefault="002F3A14" w:rsidP="002F3A14">
            <w:pPr>
              <w:jc w:val="both"/>
              <w:rPr>
                <w:rFonts w:asciiTheme="minorHAnsi" w:hAnsiTheme="minorHAnsi" w:cstheme="minorHAnsi"/>
                <w:color w:val="auto"/>
                <w:sz w:val="20"/>
                <w:szCs w:val="20"/>
                <w:lang w:val="cs-CZ"/>
              </w:rPr>
            </w:pPr>
          </w:p>
        </w:tc>
      </w:tr>
      <w:tr w:rsidR="002F3A14" w:rsidRPr="002D74AC" w14:paraId="2A49A015" w14:textId="77777777" w:rsidTr="12DFB290">
        <w:tc>
          <w:tcPr>
            <w:tcW w:w="3960" w:type="dxa"/>
          </w:tcPr>
          <w:p w14:paraId="7B35D9AE" w14:textId="7CDD1E08" w:rsidR="002F3A14" w:rsidRPr="002D74AC" w:rsidRDefault="002F3A14" w:rsidP="002F3A14">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Datum: </w:t>
            </w:r>
          </w:p>
        </w:tc>
        <w:tc>
          <w:tcPr>
            <w:tcW w:w="4182" w:type="dxa"/>
          </w:tcPr>
          <w:p w14:paraId="5BECE63D" w14:textId="60F4EBB8" w:rsidR="002F3A14" w:rsidRPr="002D74AC" w:rsidRDefault="002F3A14" w:rsidP="00645EC3">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Datum: </w:t>
            </w:r>
          </w:p>
        </w:tc>
      </w:tr>
    </w:tbl>
    <w:p w14:paraId="658F0B03" w14:textId="77777777" w:rsidR="006A702C" w:rsidRPr="002D74AC" w:rsidRDefault="006A702C">
      <w:pPr>
        <w:pStyle w:val="Titulek"/>
        <w:spacing w:before="0" w:after="0"/>
        <w:jc w:val="both"/>
        <w:rPr>
          <w:rFonts w:asciiTheme="minorHAnsi" w:hAnsiTheme="minorHAnsi" w:cstheme="minorHAnsi"/>
          <w:sz w:val="20"/>
          <w:lang w:val="cs-CZ"/>
        </w:rPr>
      </w:pPr>
    </w:p>
    <w:p w14:paraId="7E244210" w14:textId="10437AF8" w:rsidR="00085872" w:rsidRPr="002D74AC" w:rsidRDefault="006A702C" w:rsidP="00085872">
      <w:pPr>
        <w:pStyle w:val="Titulek"/>
        <w:jc w:val="left"/>
        <w:rPr>
          <w:rFonts w:asciiTheme="minorHAnsi" w:hAnsiTheme="minorHAnsi" w:cstheme="minorHAnsi"/>
          <w:b w:val="0"/>
          <w:sz w:val="20"/>
          <w:lang w:val="cs-CZ"/>
        </w:rPr>
      </w:pPr>
      <w:r w:rsidRPr="002D74AC">
        <w:rPr>
          <w:rFonts w:asciiTheme="minorHAnsi" w:hAnsiTheme="minorHAnsi" w:cstheme="minorHAnsi"/>
          <w:sz w:val="20"/>
          <w:lang w:val="cs-CZ"/>
        </w:rPr>
        <w:br w:type="page"/>
      </w:r>
      <w:r w:rsidR="00243C70" w:rsidRPr="002D74AC">
        <w:rPr>
          <w:rFonts w:asciiTheme="minorHAnsi" w:hAnsiTheme="minorHAnsi" w:cstheme="minorHAnsi"/>
          <w:sz w:val="20"/>
          <w:lang w:val="cs-CZ"/>
        </w:rPr>
        <w:lastRenderedPageBreak/>
        <w:t xml:space="preserve">Příloha </w:t>
      </w:r>
      <w:r w:rsidRPr="002D74AC">
        <w:rPr>
          <w:rFonts w:asciiTheme="minorHAnsi" w:hAnsiTheme="minorHAnsi" w:cstheme="minorHAnsi"/>
          <w:sz w:val="20"/>
          <w:lang w:val="cs-CZ"/>
        </w:rPr>
        <w:t>A</w:t>
      </w:r>
      <w:r w:rsidR="00085872" w:rsidRPr="002D74AC">
        <w:rPr>
          <w:rFonts w:asciiTheme="minorHAnsi" w:hAnsiTheme="minorHAnsi" w:cstheme="minorHAnsi"/>
          <w:sz w:val="20"/>
          <w:lang w:val="cs-CZ"/>
        </w:rPr>
        <w:t xml:space="preserve"> - Popis služeb, odměna a náklady Subdodavatele</w:t>
      </w:r>
    </w:p>
    <w:p w14:paraId="50075599" w14:textId="77777777" w:rsidR="00085872" w:rsidRPr="002D74AC" w:rsidRDefault="00085872" w:rsidP="00085872">
      <w:pPr>
        <w:jc w:val="both"/>
        <w:rPr>
          <w:rFonts w:asciiTheme="minorHAnsi" w:hAnsiTheme="minorHAnsi" w:cstheme="minorHAnsi"/>
          <w:color w:val="auto"/>
          <w:sz w:val="20"/>
          <w:szCs w:val="20"/>
          <w:lang w:val="cs-CZ"/>
        </w:rPr>
      </w:pPr>
    </w:p>
    <w:p w14:paraId="446BBD1A" w14:textId="43530573" w:rsidR="00085872" w:rsidRPr="002D74AC" w:rsidRDefault="00085872"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Tato příloha A je neoddělitelnou součástí Smlouvy mezi Deloitte a </w:t>
      </w:r>
      <w:r w:rsidR="627A9AE4" w:rsidRPr="002D74AC">
        <w:rPr>
          <w:rFonts w:asciiTheme="minorHAnsi" w:hAnsiTheme="minorHAnsi" w:cstheme="minorHAnsi"/>
          <w:color w:val="auto"/>
          <w:sz w:val="20"/>
          <w:szCs w:val="20"/>
          <w:lang w:val="cs-CZ"/>
        </w:rPr>
        <w:t>UCEEB</w:t>
      </w:r>
      <w:r w:rsidRPr="002D74AC">
        <w:rPr>
          <w:rFonts w:asciiTheme="minorHAnsi" w:hAnsiTheme="minorHAnsi" w:cstheme="minorHAnsi"/>
          <w:color w:val="auto"/>
          <w:sz w:val="20"/>
          <w:szCs w:val="20"/>
          <w:lang w:val="cs-CZ"/>
        </w:rPr>
        <w:t xml:space="preserve"> (Subdodavatel) ze dne </w:t>
      </w:r>
      <w:r w:rsidR="00AB1802" w:rsidRPr="00AB1802">
        <w:rPr>
          <w:rFonts w:asciiTheme="minorHAnsi" w:hAnsiTheme="minorHAnsi" w:cstheme="minorHAnsi"/>
          <w:color w:val="auto"/>
          <w:sz w:val="20"/>
          <w:szCs w:val="20"/>
          <w:lang w:val="cs-CZ"/>
        </w:rPr>
        <w:t>11</w:t>
      </w:r>
      <w:r w:rsidR="00AB1802">
        <w:rPr>
          <w:rFonts w:asciiTheme="minorHAnsi" w:hAnsiTheme="minorHAnsi" w:cstheme="minorHAnsi"/>
          <w:color w:val="auto"/>
          <w:sz w:val="20"/>
          <w:szCs w:val="20"/>
          <w:lang w:val="cs-CZ"/>
        </w:rPr>
        <w:t>.11.2023</w:t>
      </w:r>
      <w:r w:rsidRPr="002D74AC">
        <w:rPr>
          <w:rFonts w:asciiTheme="minorHAnsi" w:hAnsiTheme="minorHAnsi" w:cstheme="minorHAnsi"/>
          <w:color w:val="auto"/>
          <w:sz w:val="20"/>
          <w:szCs w:val="20"/>
          <w:lang w:val="cs-CZ"/>
        </w:rPr>
        <w:t xml:space="preserve">, je k ní připojena a stanovuje typy Služeb, které má Subdodavatel vykonat, sazbu odměn Subdodavatele za Služby poskytnuté Deloitte a kategorie nákladů vynaložených v souvislosti s poskytováním Služeb, které budou Subdodavateli nahrazeny ze strany Deloitte. </w:t>
      </w:r>
    </w:p>
    <w:p w14:paraId="74426536" w14:textId="77777777" w:rsidR="00085872" w:rsidRPr="002D74AC" w:rsidRDefault="00085872" w:rsidP="0008587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 </w:t>
      </w:r>
    </w:p>
    <w:p w14:paraId="3231AF7F" w14:textId="77777777" w:rsidR="00085872" w:rsidRPr="002D74AC" w:rsidRDefault="00085872" w:rsidP="00085872">
      <w:pPr>
        <w:jc w:val="both"/>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t xml:space="preserve">Popis Služeb: </w:t>
      </w:r>
    </w:p>
    <w:p w14:paraId="37265DC0" w14:textId="77777777" w:rsidR="00085872" w:rsidRPr="002D74AC" w:rsidRDefault="00085872" w:rsidP="00085872">
      <w:pPr>
        <w:jc w:val="both"/>
        <w:rPr>
          <w:rFonts w:asciiTheme="minorHAnsi" w:hAnsiTheme="minorHAnsi" w:cstheme="minorHAnsi"/>
          <w:color w:val="auto"/>
          <w:sz w:val="20"/>
          <w:szCs w:val="20"/>
          <w:lang w:val="cs-CZ"/>
        </w:rPr>
      </w:pPr>
    </w:p>
    <w:p w14:paraId="55E75495" w14:textId="2A39255C" w:rsidR="00085872" w:rsidRPr="002D74AC" w:rsidRDefault="00085872"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Poskytnuté Služby budou zahrnovat mj. následující: </w:t>
      </w:r>
      <w:r w:rsidR="4B8DF50A" w:rsidRPr="002D74AC">
        <w:rPr>
          <w:rFonts w:asciiTheme="minorHAnsi" w:hAnsiTheme="minorHAnsi" w:cstheme="minorHAnsi"/>
          <w:color w:val="auto"/>
          <w:sz w:val="20"/>
          <w:szCs w:val="20"/>
          <w:lang w:val="cs-CZ"/>
        </w:rPr>
        <w:t xml:space="preserve">posouzení životního cyklu (LCA) 13 budov, které jsou součástí portfolia klienta. V rámci spolupráce bude zpracována analýza LCA jednotlivých projektů se zaměřením na uhlíkovou stopu – potenciál globálního oteplování (GWP, </w:t>
      </w:r>
      <w:proofErr w:type="spellStart"/>
      <w:r w:rsidR="4B8DF50A" w:rsidRPr="002D74AC">
        <w:rPr>
          <w:rFonts w:asciiTheme="minorHAnsi" w:hAnsiTheme="minorHAnsi" w:cstheme="minorHAnsi"/>
          <w:color w:val="auto"/>
          <w:sz w:val="20"/>
          <w:szCs w:val="20"/>
          <w:lang w:val="cs-CZ"/>
        </w:rPr>
        <w:t>Global</w:t>
      </w:r>
      <w:proofErr w:type="spellEnd"/>
      <w:r w:rsidR="4B8DF50A" w:rsidRPr="002D74AC">
        <w:rPr>
          <w:rFonts w:asciiTheme="minorHAnsi" w:hAnsiTheme="minorHAnsi" w:cstheme="minorHAnsi"/>
          <w:color w:val="auto"/>
          <w:sz w:val="20"/>
          <w:szCs w:val="20"/>
          <w:lang w:val="cs-CZ"/>
        </w:rPr>
        <w:t xml:space="preserve"> </w:t>
      </w:r>
      <w:proofErr w:type="spellStart"/>
      <w:r w:rsidR="4B8DF50A" w:rsidRPr="002D74AC">
        <w:rPr>
          <w:rFonts w:asciiTheme="minorHAnsi" w:hAnsiTheme="minorHAnsi" w:cstheme="minorHAnsi"/>
          <w:color w:val="auto"/>
          <w:sz w:val="20"/>
          <w:szCs w:val="20"/>
          <w:lang w:val="cs-CZ"/>
        </w:rPr>
        <w:t>Warming</w:t>
      </w:r>
      <w:proofErr w:type="spellEnd"/>
      <w:r w:rsidR="4B8DF50A" w:rsidRPr="002D74AC">
        <w:rPr>
          <w:rFonts w:asciiTheme="minorHAnsi" w:hAnsiTheme="minorHAnsi" w:cstheme="minorHAnsi"/>
          <w:color w:val="auto"/>
          <w:sz w:val="20"/>
          <w:szCs w:val="20"/>
          <w:lang w:val="cs-CZ"/>
        </w:rPr>
        <w:t xml:space="preserve"> </w:t>
      </w:r>
      <w:proofErr w:type="spellStart"/>
      <w:r w:rsidR="4B8DF50A" w:rsidRPr="002D74AC">
        <w:rPr>
          <w:rFonts w:asciiTheme="minorHAnsi" w:hAnsiTheme="minorHAnsi" w:cstheme="minorHAnsi"/>
          <w:color w:val="auto"/>
          <w:sz w:val="20"/>
          <w:szCs w:val="20"/>
          <w:lang w:val="cs-CZ"/>
        </w:rPr>
        <w:t>Potential</w:t>
      </w:r>
      <w:proofErr w:type="spellEnd"/>
      <w:r w:rsidR="4B8DF50A" w:rsidRPr="002D74AC">
        <w:rPr>
          <w:rFonts w:asciiTheme="minorHAnsi" w:hAnsiTheme="minorHAnsi" w:cstheme="minorHAnsi"/>
          <w:color w:val="auto"/>
          <w:sz w:val="20"/>
          <w:szCs w:val="20"/>
          <w:lang w:val="cs-CZ"/>
        </w:rPr>
        <w:t xml:space="preserve"> v CO2,ekv.).</w:t>
      </w:r>
    </w:p>
    <w:p w14:paraId="7F5573FD" w14:textId="13C2F4DB" w:rsidR="12DFB290" w:rsidRPr="002D74AC" w:rsidRDefault="12DFB290" w:rsidP="12DFB290">
      <w:pPr>
        <w:jc w:val="both"/>
        <w:rPr>
          <w:rFonts w:asciiTheme="minorHAnsi" w:hAnsiTheme="minorHAnsi" w:cstheme="minorHAnsi"/>
          <w:color w:val="auto"/>
          <w:sz w:val="20"/>
          <w:szCs w:val="20"/>
          <w:lang w:val="cs-CZ"/>
        </w:rPr>
      </w:pPr>
    </w:p>
    <w:p w14:paraId="7B21FAFB" w14:textId="2DC21A28" w:rsidR="4B8DF50A" w:rsidRPr="002D74AC" w:rsidRDefault="4B8DF50A"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LCA bude provedeno dle ČSN EN 15978 za použití software </w:t>
      </w:r>
      <w:proofErr w:type="spellStart"/>
      <w:r w:rsidRPr="002D74AC">
        <w:rPr>
          <w:rFonts w:asciiTheme="minorHAnsi" w:hAnsiTheme="minorHAnsi" w:cstheme="minorHAnsi"/>
          <w:color w:val="auto"/>
          <w:sz w:val="20"/>
          <w:szCs w:val="20"/>
          <w:lang w:val="cs-CZ"/>
        </w:rPr>
        <w:t>One</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Click</w:t>
      </w:r>
      <w:proofErr w:type="spellEnd"/>
      <w:r w:rsidRPr="002D74AC">
        <w:rPr>
          <w:rFonts w:asciiTheme="minorHAnsi" w:hAnsiTheme="minorHAnsi" w:cstheme="minorHAnsi"/>
          <w:color w:val="auto"/>
          <w:sz w:val="20"/>
          <w:szCs w:val="20"/>
          <w:lang w:val="cs-CZ"/>
        </w:rPr>
        <w:t xml:space="preserve"> LCA, a to pro 2 vybrané budovy ze dvou typologií – administrativní budova a obchodní dům. </w:t>
      </w:r>
      <w:proofErr w:type="spellStart"/>
      <w:r w:rsidRPr="002D74AC">
        <w:rPr>
          <w:rFonts w:asciiTheme="minorHAnsi" w:hAnsiTheme="minorHAnsi" w:cstheme="minorHAnsi"/>
          <w:color w:val="auto"/>
          <w:sz w:val="20"/>
          <w:szCs w:val="20"/>
          <w:lang w:val="cs-CZ"/>
        </w:rPr>
        <w:t>One</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Click</w:t>
      </w:r>
      <w:proofErr w:type="spellEnd"/>
      <w:r w:rsidRPr="002D74AC">
        <w:rPr>
          <w:rFonts w:asciiTheme="minorHAnsi" w:hAnsiTheme="minorHAnsi" w:cstheme="minorHAnsi"/>
          <w:color w:val="auto"/>
          <w:sz w:val="20"/>
          <w:szCs w:val="20"/>
          <w:lang w:val="cs-CZ"/>
        </w:rPr>
        <w:t xml:space="preserve"> LCA má přístup k datům z téměř všech světově dostupných EPD platforem a možnost využití metodiky pro lokalizaci zahraničních dat. Analýza bude provedena na základě dodaného modelu BIM a projektové dokumentace a její součástí bude také identifikace hotspotů, tj. procesů s největšími dopady na životní prostředí.</w:t>
      </w:r>
    </w:p>
    <w:p w14:paraId="6E3AB780" w14:textId="4F46938D" w:rsidR="12DFB290" w:rsidRPr="002D74AC" w:rsidRDefault="12DFB290" w:rsidP="12DFB290">
      <w:pPr>
        <w:jc w:val="both"/>
        <w:rPr>
          <w:rFonts w:asciiTheme="minorHAnsi" w:hAnsiTheme="minorHAnsi" w:cstheme="minorHAnsi"/>
          <w:color w:val="auto"/>
          <w:sz w:val="20"/>
          <w:szCs w:val="20"/>
          <w:lang w:val="cs-CZ"/>
        </w:rPr>
      </w:pPr>
    </w:p>
    <w:p w14:paraId="527295C1" w14:textId="2EAC871E" w:rsidR="4B8DF50A" w:rsidRPr="003F3BCC" w:rsidRDefault="4B8DF50A" w:rsidP="12DFB290">
      <w:pPr>
        <w:jc w:val="both"/>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Zbylé budovy z portfolia – 11 budov, bude posouzenou zjednodušenou metodou pomocí modelů v programu Rhinoceros v modulu Bombyx1 a bude zjištěna závislost zjednodušeného výpočtu vůči detailnímu výpočtu – dle typologie, plochy a TZB budovy.</w:t>
      </w:r>
    </w:p>
    <w:p w14:paraId="26A4BD0F" w14:textId="77777777" w:rsidR="00085872" w:rsidRPr="002D74AC" w:rsidRDefault="00085872" w:rsidP="00085872">
      <w:pPr>
        <w:jc w:val="both"/>
        <w:rPr>
          <w:rFonts w:asciiTheme="minorHAnsi" w:hAnsiTheme="minorHAnsi" w:cstheme="minorHAnsi"/>
          <w:b/>
          <w:color w:val="auto"/>
          <w:sz w:val="20"/>
          <w:szCs w:val="20"/>
          <w:lang w:val="cs-CZ"/>
        </w:rPr>
      </w:pPr>
    </w:p>
    <w:p w14:paraId="18F5B5A1" w14:textId="77777777" w:rsidR="00085872" w:rsidRPr="002D74AC" w:rsidRDefault="00085872" w:rsidP="00085872">
      <w:pPr>
        <w:jc w:val="both"/>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t>Povinnosti Subdodavatele</w:t>
      </w:r>
    </w:p>
    <w:p w14:paraId="77884FBD" w14:textId="29986902" w:rsidR="00085872" w:rsidRPr="002D74AC" w:rsidRDefault="631EB670" w:rsidP="12DFB290">
      <w:pPr>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 Detailní analýza LCA 2 vybraných budov z portfolia zpracovaná v software </w:t>
      </w:r>
      <w:proofErr w:type="spellStart"/>
      <w:r w:rsidRPr="002D74AC">
        <w:rPr>
          <w:rFonts w:asciiTheme="minorHAnsi" w:hAnsiTheme="minorHAnsi" w:cstheme="minorHAnsi"/>
          <w:color w:val="auto"/>
          <w:sz w:val="20"/>
          <w:szCs w:val="20"/>
          <w:lang w:val="cs-CZ"/>
        </w:rPr>
        <w:t>One</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Click</w:t>
      </w:r>
      <w:proofErr w:type="spellEnd"/>
      <w:r w:rsidRPr="002D74AC">
        <w:rPr>
          <w:rFonts w:asciiTheme="minorHAnsi" w:hAnsiTheme="minorHAnsi" w:cstheme="minorHAnsi"/>
          <w:color w:val="auto"/>
          <w:sz w:val="20"/>
          <w:szCs w:val="20"/>
          <w:lang w:val="cs-CZ"/>
        </w:rPr>
        <w:t xml:space="preserve"> LCA bude zahrnovat následující okrajové podmínky a parametry:</w:t>
      </w:r>
    </w:p>
    <w:p w14:paraId="50CB5C2D" w14:textId="0B721EC8" w:rsidR="631EB670" w:rsidRPr="002D74AC" w:rsidRDefault="631EB670" w:rsidP="004E5571">
      <w:pPr>
        <w:pStyle w:val="Odstavecseseznamem"/>
        <w:numPr>
          <w:ilvl w:val="0"/>
          <w:numId w:val="4"/>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Lokalita;</w:t>
      </w:r>
    </w:p>
    <w:p w14:paraId="49BE486D" w14:textId="7972D21B" w:rsidR="631EB670" w:rsidRPr="002D74AC" w:rsidRDefault="631EB670" w:rsidP="004E5571">
      <w:pPr>
        <w:pStyle w:val="Odstavecseseznamem"/>
        <w:numPr>
          <w:ilvl w:val="0"/>
          <w:numId w:val="4"/>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Celý životní cyklus budovy A-D s důrazem na zabudované emise CO2 ekvivalentního;</w:t>
      </w:r>
    </w:p>
    <w:p w14:paraId="147EBF39" w14:textId="44B079AD" w:rsidR="631EB670" w:rsidRPr="002D74AC" w:rsidRDefault="631EB670" w:rsidP="004E5571">
      <w:pPr>
        <w:pStyle w:val="Odstavecseseznamem"/>
        <w:numPr>
          <w:ilvl w:val="0"/>
          <w:numId w:val="4"/>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Životnost materiálů a zařízení bude uvažována dle ČSN nebo dle specifikace výrobce nebo dle nastavení software (je zdokumentováno v textu posudku);</w:t>
      </w:r>
    </w:p>
    <w:p w14:paraId="2A7B0D83" w14:textId="6E0C71C4" w:rsidR="631EB670" w:rsidRPr="002D74AC" w:rsidRDefault="631EB670" w:rsidP="004E5571">
      <w:pPr>
        <w:pStyle w:val="Odstavecseseznamem"/>
        <w:numPr>
          <w:ilvl w:val="0"/>
          <w:numId w:val="4"/>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 xml:space="preserve">Specifikace stavebních materiálů a použitých environmentálních </w:t>
      </w:r>
      <w:proofErr w:type="spellStart"/>
      <w:r w:rsidRPr="002D74AC">
        <w:rPr>
          <w:rFonts w:asciiTheme="minorHAnsi" w:hAnsiTheme="minorHAnsi" w:cstheme="minorHAnsi"/>
          <w:color w:val="auto"/>
          <w:sz w:val="20"/>
          <w:szCs w:val="20"/>
          <w:lang w:val="cs-CZ"/>
        </w:rPr>
        <w:t>datasetů</w:t>
      </w:r>
      <w:proofErr w:type="spellEnd"/>
      <w:r w:rsidRPr="002D74AC">
        <w:rPr>
          <w:rFonts w:asciiTheme="minorHAnsi" w:hAnsiTheme="minorHAnsi" w:cstheme="minorHAnsi"/>
          <w:color w:val="auto"/>
          <w:sz w:val="20"/>
          <w:szCs w:val="20"/>
          <w:lang w:val="cs-CZ"/>
        </w:rPr>
        <w:t>;</w:t>
      </w:r>
    </w:p>
    <w:p w14:paraId="308405FC" w14:textId="7902A6E2" w:rsidR="631EB670" w:rsidRPr="002D74AC" w:rsidRDefault="631EB670" w:rsidP="004E5571">
      <w:pPr>
        <w:pStyle w:val="Odstavecseseznamem"/>
        <w:numPr>
          <w:ilvl w:val="0"/>
          <w:numId w:val="4"/>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Neznámé parametry životního cyklu budovy budou stanoveny odborným odhadem nebo zjednodušeným výpočtem a budou specifikovány v textu posudku.</w:t>
      </w:r>
    </w:p>
    <w:p w14:paraId="7A8D326E" w14:textId="2F922BB2" w:rsidR="631EB670" w:rsidRPr="00B000F6" w:rsidRDefault="631EB670" w:rsidP="004E5571">
      <w:pPr>
        <w:pStyle w:val="Odstavecseseznamem"/>
        <w:numPr>
          <w:ilvl w:val="0"/>
          <w:numId w:val="4"/>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Údaje k technickým zařízením budov (TZB) mohou být vzhledem k potenciální nedostupnosti environmentálních dat pro účely výpočtu zjednodušeny.</w:t>
      </w:r>
    </w:p>
    <w:p w14:paraId="17631C0D" w14:textId="5E33A747" w:rsidR="00B000F6" w:rsidRPr="002D74AC" w:rsidRDefault="00B000F6" w:rsidP="004E5571">
      <w:pPr>
        <w:pStyle w:val="Odstavecseseznamem"/>
        <w:numPr>
          <w:ilvl w:val="0"/>
          <w:numId w:val="4"/>
        </w:numPr>
        <w:rPr>
          <w:rFonts w:asciiTheme="minorHAnsi" w:hAnsiTheme="minorHAnsi" w:cstheme="minorHAnsi"/>
          <w:sz w:val="20"/>
          <w:szCs w:val="20"/>
          <w:lang w:val="cs-CZ"/>
        </w:rPr>
      </w:pPr>
      <w:r>
        <w:rPr>
          <w:rFonts w:asciiTheme="minorHAnsi" w:hAnsiTheme="minorHAnsi" w:cstheme="minorHAnsi"/>
          <w:color w:val="auto"/>
          <w:sz w:val="20"/>
          <w:szCs w:val="20"/>
          <w:lang w:val="cs-CZ"/>
        </w:rPr>
        <w:t>Výstupy budou dodány v anglickém jazyce</w:t>
      </w:r>
    </w:p>
    <w:p w14:paraId="01EAE937" w14:textId="5C870D5F" w:rsidR="12DFB290" w:rsidRPr="002D74AC" w:rsidRDefault="12DFB290" w:rsidP="12DFB290">
      <w:pPr>
        <w:rPr>
          <w:rFonts w:asciiTheme="minorHAnsi" w:hAnsiTheme="minorHAnsi" w:cstheme="minorHAnsi"/>
          <w:color w:val="auto"/>
          <w:sz w:val="20"/>
          <w:szCs w:val="20"/>
          <w:lang w:val="cs-CZ"/>
        </w:rPr>
      </w:pPr>
    </w:p>
    <w:p w14:paraId="6840A2E7" w14:textId="0C346057" w:rsidR="631EB670" w:rsidRPr="002D74AC" w:rsidRDefault="631EB670">
      <w:pPr>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Zjednodušená analýza LCA 11 budov z portfolia zpracovaná s využitím v software Rhinoceros - </w:t>
      </w:r>
      <w:proofErr w:type="spellStart"/>
      <w:r w:rsidRPr="002D74AC">
        <w:rPr>
          <w:rFonts w:asciiTheme="minorHAnsi" w:hAnsiTheme="minorHAnsi" w:cstheme="minorHAnsi"/>
          <w:color w:val="auto"/>
          <w:sz w:val="20"/>
          <w:szCs w:val="20"/>
          <w:lang w:val="cs-CZ"/>
        </w:rPr>
        <w:t>Bombyx</w:t>
      </w:r>
      <w:proofErr w:type="spellEnd"/>
      <w:r w:rsidRPr="002D74AC">
        <w:rPr>
          <w:rFonts w:asciiTheme="minorHAnsi" w:hAnsiTheme="minorHAnsi" w:cstheme="minorHAnsi"/>
          <w:color w:val="auto"/>
          <w:sz w:val="20"/>
          <w:szCs w:val="20"/>
          <w:lang w:val="cs-CZ"/>
        </w:rPr>
        <w:t xml:space="preserve"> bude zahrnovat následující okrajové podmínky a parametry:</w:t>
      </w:r>
    </w:p>
    <w:p w14:paraId="37C61305" w14:textId="173AAAD2" w:rsidR="631EB670" w:rsidRPr="002D74AC" w:rsidRDefault="631EB670" w:rsidP="004E5571">
      <w:pPr>
        <w:pStyle w:val="Odstavecseseznamem"/>
        <w:numPr>
          <w:ilvl w:val="0"/>
          <w:numId w:val="3"/>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Celý životní cyklus budovy A-D s důrazem na zabudované emise CO2 ekvivalentního;</w:t>
      </w:r>
    </w:p>
    <w:p w14:paraId="08B57451" w14:textId="11D6DA2D" w:rsidR="631EB670" w:rsidRPr="002D74AC" w:rsidRDefault="631EB670" w:rsidP="004E5571">
      <w:pPr>
        <w:pStyle w:val="Odstavecseseznamem"/>
        <w:numPr>
          <w:ilvl w:val="0"/>
          <w:numId w:val="3"/>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Životnost materiálů a zařízení bude uvažována dle ČSN nebo dle specifikace výrobce nebo dle nastavení software (je zdokumentováno v textu posudku);</w:t>
      </w:r>
    </w:p>
    <w:p w14:paraId="00C25C9B" w14:textId="4EDE0256" w:rsidR="631EB670" w:rsidRPr="002D74AC" w:rsidRDefault="631EB670" w:rsidP="004E5571">
      <w:pPr>
        <w:pStyle w:val="Odstavecseseznamem"/>
        <w:numPr>
          <w:ilvl w:val="0"/>
          <w:numId w:val="3"/>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 xml:space="preserve">Specifikace stavebních materiálů a použitých environmentálních </w:t>
      </w:r>
      <w:proofErr w:type="spellStart"/>
      <w:r w:rsidRPr="002D74AC">
        <w:rPr>
          <w:rFonts w:asciiTheme="minorHAnsi" w:hAnsiTheme="minorHAnsi" w:cstheme="minorHAnsi"/>
          <w:color w:val="auto"/>
          <w:sz w:val="20"/>
          <w:szCs w:val="20"/>
          <w:lang w:val="cs-CZ"/>
        </w:rPr>
        <w:t>datasetů</w:t>
      </w:r>
      <w:proofErr w:type="spellEnd"/>
      <w:r w:rsidRPr="002D74AC">
        <w:rPr>
          <w:rFonts w:asciiTheme="minorHAnsi" w:hAnsiTheme="minorHAnsi" w:cstheme="minorHAnsi"/>
          <w:color w:val="auto"/>
          <w:sz w:val="20"/>
          <w:szCs w:val="20"/>
          <w:lang w:val="cs-CZ"/>
        </w:rPr>
        <w:t>;</w:t>
      </w:r>
    </w:p>
    <w:p w14:paraId="3B346DC9" w14:textId="73617E34" w:rsidR="631EB670" w:rsidRPr="002D74AC" w:rsidRDefault="631EB670" w:rsidP="004E5571">
      <w:pPr>
        <w:pStyle w:val="Odstavecseseznamem"/>
        <w:numPr>
          <w:ilvl w:val="0"/>
          <w:numId w:val="3"/>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Neznámé parametry životního cyklu budovy budou stanoveny odborným odhadem nebo zjednodušeným výpočtem a budou specifikovány v textu posudku.</w:t>
      </w:r>
    </w:p>
    <w:p w14:paraId="14C5E196" w14:textId="3DE432A0" w:rsidR="631EB670" w:rsidRPr="00B000F6" w:rsidRDefault="631EB670" w:rsidP="004E5571">
      <w:pPr>
        <w:pStyle w:val="Odstavecseseznamem"/>
        <w:numPr>
          <w:ilvl w:val="0"/>
          <w:numId w:val="3"/>
        </w:numPr>
        <w:rPr>
          <w:rFonts w:asciiTheme="minorHAnsi" w:hAnsiTheme="minorHAnsi" w:cstheme="minorHAnsi"/>
          <w:sz w:val="20"/>
          <w:szCs w:val="20"/>
          <w:lang w:val="cs-CZ"/>
        </w:rPr>
      </w:pPr>
      <w:r w:rsidRPr="002D74AC">
        <w:rPr>
          <w:rFonts w:asciiTheme="minorHAnsi" w:hAnsiTheme="minorHAnsi" w:cstheme="minorHAnsi"/>
          <w:color w:val="auto"/>
          <w:sz w:val="20"/>
          <w:szCs w:val="20"/>
          <w:lang w:val="cs-CZ"/>
        </w:rPr>
        <w:t>Údaje k technickým zařízením budov (TZB) budou pro účely výpočtu zjednodušeny.</w:t>
      </w:r>
    </w:p>
    <w:p w14:paraId="5AF1A9CB" w14:textId="05813528" w:rsidR="00B000F6" w:rsidRPr="002D74AC" w:rsidRDefault="00B000F6" w:rsidP="004E5571">
      <w:pPr>
        <w:pStyle w:val="Odstavecseseznamem"/>
        <w:numPr>
          <w:ilvl w:val="0"/>
          <w:numId w:val="3"/>
        </w:numPr>
        <w:rPr>
          <w:rFonts w:asciiTheme="minorHAnsi" w:hAnsiTheme="minorHAnsi" w:cstheme="minorHAnsi"/>
          <w:sz w:val="20"/>
          <w:szCs w:val="20"/>
          <w:lang w:val="cs-CZ"/>
        </w:rPr>
      </w:pPr>
      <w:r>
        <w:rPr>
          <w:rFonts w:asciiTheme="minorHAnsi" w:hAnsiTheme="minorHAnsi" w:cstheme="minorHAnsi"/>
          <w:color w:val="auto"/>
          <w:sz w:val="20"/>
          <w:szCs w:val="20"/>
          <w:lang w:val="cs-CZ"/>
        </w:rPr>
        <w:t>Výstupy budou dodány v anglickém jazyce</w:t>
      </w:r>
    </w:p>
    <w:p w14:paraId="79F4D373" w14:textId="77777777" w:rsidR="00085872" w:rsidRPr="002D74AC" w:rsidRDefault="00085872" w:rsidP="00085872">
      <w:pPr>
        <w:rPr>
          <w:rFonts w:asciiTheme="minorHAnsi" w:hAnsiTheme="minorHAnsi" w:cstheme="minorHAnsi"/>
          <w:color w:val="auto"/>
          <w:sz w:val="20"/>
          <w:szCs w:val="20"/>
          <w:lang w:val="cs-CZ"/>
        </w:rPr>
      </w:pPr>
    </w:p>
    <w:p w14:paraId="32011BAD" w14:textId="043742AE" w:rsidR="00085872" w:rsidRPr="002D74AC" w:rsidRDefault="00085872"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Využití subdodavatelů Subdodavatelem  Subdodavatel nesmí zadat plnění Služeb podle této Smlouvy žádné třetí straně.</w:t>
      </w:r>
    </w:p>
    <w:p w14:paraId="6F8F96E2" w14:textId="77777777" w:rsidR="00085872" w:rsidRPr="002D74AC" w:rsidRDefault="00085872" w:rsidP="00085872">
      <w:pPr>
        <w:jc w:val="both"/>
        <w:rPr>
          <w:rFonts w:asciiTheme="minorHAnsi" w:hAnsiTheme="minorHAnsi" w:cstheme="minorHAnsi"/>
          <w:b/>
          <w:color w:val="auto"/>
          <w:sz w:val="20"/>
          <w:szCs w:val="20"/>
          <w:lang w:val="cs-CZ"/>
        </w:rPr>
      </w:pPr>
    </w:p>
    <w:p w14:paraId="729C508A" w14:textId="77777777" w:rsidR="00085872" w:rsidRPr="002D74AC" w:rsidRDefault="00085872" w:rsidP="00085872">
      <w:pPr>
        <w:jc w:val="both"/>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t xml:space="preserve">Kritéria akceptace </w:t>
      </w:r>
    </w:p>
    <w:p w14:paraId="71CAA276" w14:textId="77777777" w:rsidR="00085872" w:rsidRPr="002D74AC" w:rsidRDefault="00085872" w:rsidP="00085872">
      <w:pPr>
        <w:pStyle w:val="Level1"/>
        <w:numPr>
          <w:ilvl w:val="0"/>
          <w:numId w:val="0"/>
        </w:numPr>
        <w:rPr>
          <w:rFonts w:asciiTheme="minorHAnsi" w:hAnsiTheme="minorHAnsi" w:cstheme="minorHAnsi"/>
          <w:color w:val="auto"/>
          <w:lang w:val="cs-CZ"/>
        </w:rPr>
      </w:pPr>
    </w:p>
    <w:p w14:paraId="612869A8" w14:textId="0C7B094A" w:rsidR="00737A32" w:rsidRDefault="00DF3BA3" w:rsidP="008C2911">
      <w:pPr>
        <w:pStyle w:val="Level1"/>
        <w:numPr>
          <w:ilvl w:val="0"/>
          <w:numId w:val="51"/>
        </w:numPr>
        <w:rPr>
          <w:rFonts w:asciiTheme="minorHAnsi" w:hAnsiTheme="minorHAnsi" w:cstheme="minorHAnsi"/>
          <w:b w:val="0"/>
          <w:color w:val="auto"/>
          <w:lang w:val="cs-CZ"/>
        </w:rPr>
      </w:pPr>
      <w:r>
        <w:rPr>
          <w:rFonts w:asciiTheme="minorHAnsi" w:hAnsiTheme="minorHAnsi" w:cstheme="minorHAnsi"/>
          <w:b w:val="0"/>
          <w:color w:val="auto"/>
          <w:lang w:val="cs-CZ"/>
        </w:rPr>
        <w:t>Včasné dodání výstup</w:t>
      </w:r>
      <w:r w:rsidR="00737A32">
        <w:rPr>
          <w:rFonts w:asciiTheme="minorHAnsi" w:hAnsiTheme="minorHAnsi" w:cstheme="minorHAnsi"/>
          <w:b w:val="0"/>
          <w:color w:val="auto"/>
          <w:lang w:val="cs-CZ"/>
        </w:rPr>
        <w:t>ů</w:t>
      </w:r>
    </w:p>
    <w:p w14:paraId="20A63AD0" w14:textId="319553EA" w:rsidR="00737A32" w:rsidRDefault="00A30783" w:rsidP="00737A32">
      <w:pPr>
        <w:pStyle w:val="Level1"/>
        <w:numPr>
          <w:ilvl w:val="0"/>
          <w:numId w:val="51"/>
        </w:numPr>
        <w:rPr>
          <w:rFonts w:asciiTheme="minorHAnsi" w:hAnsiTheme="minorHAnsi" w:cstheme="minorHAnsi"/>
          <w:b w:val="0"/>
          <w:color w:val="auto"/>
          <w:lang w:val="cs-CZ"/>
        </w:rPr>
      </w:pPr>
      <w:r>
        <w:rPr>
          <w:rFonts w:asciiTheme="minorHAnsi" w:hAnsiTheme="minorHAnsi" w:cstheme="minorHAnsi"/>
          <w:b w:val="0"/>
          <w:color w:val="auto"/>
          <w:lang w:val="cs-CZ"/>
        </w:rPr>
        <w:t>Přesnost a správnost v</w:t>
      </w:r>
      <w:r w:rsidR="008C2911">
        <w:rPr>
          <w:rFonts w:asciiTheme="minorHAnsi" w:hAnsiTheme="minorHAnsi" w:cstheme="minorHAnsi"/>
          <w:b w:val="0"/>
          <w:color w:val="auto"/>
          <w:lang w:val="cs-CZ"/>
        </w:rPr>
        <w:t>ýstupů LCA analýzy</w:t>
      </w:r>
    </w:p>
    <w:p w14:paraId="649768F6" w14:textId="77777777" w:rsidR="00737A32" w:rsidRPr="002D74AC" w:rsidRDefault="00737A32" w:rsidP="00085872">
      <w:pPr>
        <w:pStyle w:val="Level1"/>
        <w:numPr>
          <w:ilvl w:val="0"/>
          <w:numId w:val="0"/>
        </w:numPr>
        <w:rPr>
          <w:rFonts w:asciiTheme="minorHAnsi" w:hAnsiTheme="minorHAnsi" w:cstheme="minorHAnsi"/>
          <w:b w:val="0"/>
          <w:color w:val="auto"/>
          <w:lang w:val="cs-CZ"/>
        </w:rPr>
      </w:pPr>
    </w:p>
    <w:p w14:paraId="4E647D04" w14:textId="77777777" w:rsidR="00085872" w:rsidRPr="002D74AC" w:rsidRDefault="00085872" w:rsidP="00085872">
      <w:pPr>
        <w:pStyle w:val="Level1"/>
        <w:numPr>
          <w:ilvl w:val="0"/>
          <w:numId w:val="0"/>
        </w:numPr>
        <w:rPr>
          <w:rFonts w:asciiTheme="minorHAnsi" w:hAnsiTheme="minorHAnsi" w:cstheme="minorHAnsi"/>
          <w:color w:val="auto"/>
          <w:lang w:val="cs-CZ"/>
        </w:rPr>
      </w:pPr>
    </w:p>
    <w:p w14:paraId="001CE19E" w14:textId="77777777" w:rsidR="00085872" w:rsidRPr="002D74AC" w:rsidRDefault="00085872" w:rsidP="00085872">
      <w:pPr>
        <w:pStyle w:val="Level1"/>
        <w:numPr>
          <w:ilvl w:val="0"/>
          <w:numId w:val="0"/>
        </w:numPr>
        <w:rPr>
          <w:rFonts w:asciiTheme="minorHAnsi" w:hAnsiTheme="minorHAnsi" w:cstheme="minorHAnsi"/>
          <w:color w:val="auto"/>
          <w:lang w:val="cs-CZ"/>
        </w:rPr>
      </w:pPr>
      <w:r w:rsidRPr="002D74AC">
        <w:rPr>
          <w:rFonts w:asciiTheme="minorHAnsi" w:hAnsiTheme="minorHAnsi" w:cstheme="minorHAnsi"/>
          <w:color w:val="auto"/>
          <w:lang w:val="cs-CZ"/>
        </w:rPr>
        <w:t>Měřítka kvality</w:t>
      </w:r>
    </w:p>
    <w:p w14:paraId="6F0811BC" w14:textId="77777777" w:rsidR="00085872" w:rsidRPr="002D74AC" w:rsidRDefault="00085872" w:rsidP="00085872">
      <w:pPr>
        <w:rPr>
          <w:rFonts w:asciiTheme="minorHAnsi" w:hAnsiTheme="minorHAnsi" w:cstheme="minorHAnsi"/>
          <w:color w:val="auto"/>
          <w:sz w:val="20"/>
          <w:szCs w:val="20"/>
          <w:lang w:val="cs-CZ"/>
        </w:rPr>
      </w:pPr>
    </w:p>
    <w:p w14:paraId="239D4100" w14:textId="77777777" w:rsidR="00085872" w:rsidRPr="002D74AC" w:rsidRDefault="00085872" w:rsidP="12DFB290">
      <w:pPr>
        <w:pStyle w:val="Level1"/>
        <w:rPr>
          <w:rFonts w:asciiTheme="minorHAnsi" w:hAnsiTheme="minorHAnsi" w:cstheme="minorHAnsi"/>
          <w:color w:val="auto"/>
          <w:lang w:val="cs-CZ"/>
        </w:rPr>
      </w:pPr>
      <w:r w:rsidRPr="002D74AC">
        <w:rPr>
          <w:rFonts w:asciiTheme="minorHAnsi" w:hAnsiTheme="minorHAnsi" w:cstheme="minorHAnsi"/>
          <w:color w:val="auto"/>
          <w:lang w:val="cs-CZ"/>
        </w:rPr>
        <w:t xml:space="preserve">Odpovědnosti Deloitte </w:t>
      </w:r>
    </w:p>
    <w:p w14:paraId="2ED2F2B0" w14:textId="531084A1" w:rsidR="69E5864D" w:rsidRPr="00AB1802" w:rsidRDefault="69E5864D" w:rsidP="004E5571">
      <w:pPr>
        <w:pStyle w:val="Level1"/>
        <w:numPr>
          <w:ilvl w:val="0"/>
          <w:numId w:val="2"/>
        </w:numPr>
        <w:rPr>
          <w:rFonts w:asciiTheme="minorHAnsi" w:hAnsiTheme="minorHAnsi" w:cstheme="minorHAnsi"/>
          <w:b w:val="0"/>
          <w:color w:val="000000" w:themeColor="text1"/>
          <w:lang w:val="cs-CZ"/>
        </w:rPr>
      </w:pPr>
      <w:r w:rsidRPr="00AB1802">
        <w:rPr>
          <w:rFonts w:asciiTheme="minorHAnsi" w:hAnsiTheme="minorHAnsi" w:cstheme="minorHAnsi"/>
          <w:b w:val="0"/>
          <w:color w:val="000000" w:themeColor="text1"/>
          <w:lang w:val="cs-CZ"/>
        </w:rPr>
        <w:t>Zajistit komunikaci mezi Zhotovitelem a všemi relevantními zúčastněnými stranami.</w:t>
      </w:r>
    </w:p>
    <w:p w14:paraId="270164E9" w14:textId="397F2A0E" w:rsidR="69E5864D" w:rsidRPr="00AB1802" w:rsidRDefault="69E5864D" w:rsidP="004E5571">
      <w:pPr>
        <w:pStyle w:val="Level1"/>
        <w:numPr>
          <w:ilvl w:val="0"/>
          <w:numId w:val="2"/>
        </w:numPr>
        <w:rPr>
          <w:rFonts w:asciiTheme="minorHAnsi" w:hAnsiTheme="minorHAnsi" w:cstheme="minorHAnsi"/>
          <w:b w:val="0"/>
          <w:color w:val="000000" w:themeColor="text1"/>
          <w:lang w:val="cs-CZ"/>
        </w:rPr>
      </w:pPr>
      <w:r w:rsidRPr="00AB1802">
        <w:rPr>
          <w:rFonts w:asciiTheme="minorHAnsi" w:hAnsiTheme="minorHAnsi" w:cstheme="minorHAnsi"/>
          <w:b w:val="0"/>
          <w:color w:val="000000" w:themeColor="text1"/>
          <w:lang w:val="cs-CZ"/>
        </w:rPr>
        <w:t>o K poskytnutí výsledků zakázky v anonymizované formě pro účely dalšího výzkumu a vývoje ČVUT UCEEB.</w:t>
      </w:r>
    </w:p>
    <w:p w14:paraId="62D36DD9" w14:textId="77777777" w:rsidR="00085872" w:rsidRPr="002D74AC" w:rsidRDefault="00085872" w:rsidP="12DFB290">
      <w:pPr>
        <w:pStyle w:val="Level1"/>
        <w:rPr>
          <w:rFonts w:asciiTheme="minorHAnsi" w:hAnsiTheme="minorHAnsi" w:cstheme="minorHAnsi"/>
          <w:color w:val="auto"/>
          <w:lang w:val="cs-CZ"/>
        </w:rPr>
      </w:pPr>
      <w:r w:rsidRPr="002D74AC">
        <w:rPr>
          <w:rFonts w:asciiTheme="minorHAnsi" w:hAnsiTheme="minorHAnsi" w:cstheme="minorHAnsi"/>
          <w:color w:val="auto"/>
          <w:lang w:val="cs-CZ"/>
        </w:rPr>
        <w:t xml:space="preserve">Vzájemné odpovědnosti </w:t>
      </w:r>
    </w:p>
    <w:p w14:paraId="1E32B93D" w14:textId="0C993714" w:rsidR="342A678A" w:rsidRPr="00AB1802" w:rsidRDefault="342A678A" w:rsidP="00FB3408">
      <w:pPr>
        <w:pStyle w:val="Level1"/>
        <w:numPr>
          <w:ilvl w:val="0"/>
          <w:numId w:val="0"/>
        </w:numPr>
        <w:rPr>
          <w:rFonts w:asciiTheme="minorHAnsi" w:hAnsiTheme="minorHAnsi" w:cstheme="minorHAnsi"/>
          <w:b w:val="0"/>
          <w:color w:val="000000" w:themeColor="text1"/>
          <w:lang w:val="cs-CZ"/>
        </w:rPr>
      </w:pPr>
      <w:r w:rsidRPr="00AB1802">
        <w:rPr>
          <w:rFonts w:asciiTheme="minorHAnsi" w:hAnsiTheme="minorHAnsi" w:cstheme="minorHAnsi"/>
          <w:b w:val="0"/>
          <w:color w:val="000000" w:themeColor="text1"/>
          <w:lang w:val="cs-CZ"/>
        </w:rPr>
        <w:t>Subdodavatel se zavazuje:</w:t>
      </w:r>
    </w:p>
    <w:p w14:paraId="1F0EACDA" w14:textId="5A1D64BC" w:rsidR="342A678A" w:rsidRPr="00AB1802" w:rsidRDefault="342A678A" w:rsidP="004E5571">
      <w:pPr>
        <w:pStyle w:val="Level1"/>
        <w:numPr>
          <w:ilvl w:val="0"/>
          <w:numId w:val="1"/>
        </w:numPr>
        <w:rPr>
          <w:rFonts w:asciiTheme="minorHAnsi" w:hAnsiTheme="minorHAnsi" w:cstheme="minorHAnsi"/>
          <w:b w:val="0"/>
          <w:color w:val="000000" w:themeColor="text1"/>
          <w:lang w:val="cs-CZ"/>
        </w:rPr>
      </w:pPr>
      <w:r w:rsidRPr="00AB1802">
        <w:rPr>
          <w:rFonts w:asciiTheme="minorHAnsi" w:hAnsiTheme="minorHAnsi" w:cstheme="minorHAnsi"/>
          <w:b w:val="0"/>
          <w:color w:val="000000" w:themeColor="text1"/>
          <w:lang w:val="cs-CZ"/>
        </w:rPr>
        <w:t>Zapracovávat průběžně do dokumentace oprávněné připomínky Deloitte a klienta;</w:t>
      </w:r>
    </w:p>
    <w:p w14:paraId="6A4BF6F9" w14:textId="72549104" w:rsidR="342A678A" w:rsidRPr="00AB1802" w:rsidRDefault="342A678A" w:rsidP="004E5571">
      <w:pPr>
        <w:pStyle w:val="Level1"/>
        <w:numPr>
          <w:ilvl w:val="0"/>
          <w:numId w:val="1"/>
        </w:numPr>
        <w:rPr>
          <w:rFonts w:asciiTheme="minorHAnsi" w:hAnsiTheme="minorHAnsi" w:cstheme="minorHAnsi"/>
          <w:b w:val="0"/>
          <w:color w:val="000000" w:themeColor="text1"/>
          <w:lang w:val="cs-CZ"/>
        </w:rPr>
      </w:pPr>
      <w:r w:rsidRPr="00AB1802">
        <w:rPr>
          <w:rFonts w:asciiTheme="minorHAnsi" w:hAnsiTheme="minorHAnsi" w:cstheme="minorHAnsi"/>
          <w:b w:val="0"/>
          <w:color w:val="000000" w:themeColor="text1"/>
          <w:lang w:val="cs-CZ"/>
        </w:rPr>
        <w:t>Nekomunikovat s klientem bez vědomí Deloitte;</w:t>
      </w:r>
    </w:p>
    <w:p w14:paraId="32240F2A" w14:textId="61C891FC" w:rsidR="342A678A" w:rsidRPr="00AB1802" w:rsidRDefault="342A678A" w:rsidP="004E5571">
      <w:pPr>
        <w:pStyle w:val="Level1"/>
        <w:numPr>
          <w:ilvl w:val="0"/>
          <w:numId w:val="1"/>
        </w:numPr>
        <w:rPr>
          <w:rFonts w:asciiTheme="minorHAnsi" w:hAnsiTheme="minorHAnsi" w:cstheme="minorHAnsi"/>
          <w:b w:val="0"/>
          <w:color w:val="000000" w:themeColor="text1"/>
          <w:lang w:val="cs-CZ"/>
        </w:rPr>
      </w:pPr>
      <w:r w:rsidRPr="00AB1802">
        <w:rPr>
          <w:rFonts w:asciiTheme="minorHAnsi" w:hAnsiTheme="minorHAnsi" w:cstheme="minorHAnsi"/>
          <w:b w:val="0"/>
          <w:color w:val="000000" w:themeColor="text1"/>
          <w:lang w:val="cs-CZ"/>
        </w:rPr>
        <w:t>Zachovávat mlčenlivost o všech informacích a údajích získaných při plnění zakázky podle této Objednávky, a to do 3 let po ukončení plnění této Objednávky, přičemž výjimku tvoří informace použité pro vlastní prezentaci Zhotovitele nebo jiné údaje zveřejněné s předchozím písemným souhlasem Deloitte.</w:t>
      </w:r>
    </w:p>
    <w:p w14:paraId="64627EB7" w14:textId="65A8DDD1" w:rsidR="12DFB290" w:rsidRPr="002D74AC" w:rsidRDefault="12DFB290" w:rsidP="00FB3408">
      <w:pPr>
        <w:pStyle w:val="Level1"/>
        <w:numPr>
          <w:ilvl w:val="0"/>
          <w:numId w:val="0"/>
        </w:numPr>
        <w:rPr>
          <w:rFonts w:asciiTheme="minorHAnsi" w:hAnsiTheme="minorHAnsi" w:cstheme="minorHAnsi"/>
          <w:bCs/>
          <w:color w:val="000000" w:themeColor="text1"/>
          <w:lang w:val="cs-CZ"/>
        </w:rPr>
      </w:pPr>
    </w:p>
    <w:p w14:paraId="6429F74B" w14:textId="77777777" w:rsidR="00085872" w:rsidRPr="002D74AC" w:rsidRDefault="00085872" w:rsidP="00085872">
      <w:pPr>
        <w:pStyle w:val="Level1"/>
        <w:rPr>
          <w:rFonts w:asciiTheme="minorHAnsi" w:hAnsiTheme="minorHAnsi" w:cstheme="minorHAnsi"/>
          <w:color w:val="auto"/>
          <w:lang w:val="cs-CZ"/>
        </w:rPr>
      </w:pPr>
      <w:r w:rsidRPr="002D74AC">
        <w:rPr>
          <w:rFonts w:asciiTheme="minorHAnsi" w:hAnsiTheme="minorHAnsi" w:cstheme="minorHAnsi"/>
          <w:color w:val="auto"/>
          <w:lang w:val="cs-CZ"/>
        </w:rPr>
        <w:t>Harmonogram</w:t>
      </w:r>
    </w:p>
    <w:p w14:paraId="3900F3CE" w14:textId="7EE8BFCC" w:rsidR="00085872" w:rsidRPr="00AB1802" w:rsidRDefault="58042396" w:rsidP="00FB3408">
      <w:pPr>
        <w:pStyle w:val="Level1"/>
        <w:numPr>
          <w:ilvl w:val="0"/>
          <w:numId w:val="0"/>
        </w:numPr>
        <w:rPr>
          <w:rFonts w:asciiTheme="minorHAnsi" w:hAnsiTheme="minorHAnsi" w:cstheme="minorHAnsi"/>
          <w:b w:val="0"/>
          <w:bCs/>
          <w:color w:val="auto"/>
          <w:lang w:val="cs-CZ"/>
        </w:rPr>
      </w:pPr>
      <w:r w:rsidRPr="00AB1802">
        <w:rPr>
          <w:rFonts w:asciiTheme="minorHAnsi" w:hAnsiTheme="minorHAnsi" w:cstheme="minorHAnsi"/>
          <w:b w:val="0"/>
          <w:bCs/>
          <w:color w:val="auto"/>
          <w:lang w:val="cs-CZ"/>
        </w:rPr>
        <w:t>Termín vyhotovení všech analýz LCA je 6 měsíců od dodání kompletních podkladů od Klienta. Výsledky pro jednotlivé budovy budou zasílány a konzultovány průběžně, dle dohody s Deloitte.</w:t>
      </w:r>
    </w:p>
    <w:p w14:paraId="7495ED77" w14:textId="77777777" w:rsidR="00085872" w:rsidRPr="002D74AC" w:rsidRDefault="00085872" w:rsidP="00085872">
      <w:pPr>
        <w:pStyle w:val="Level1"/>
        <w:numPr>
          <w:ilvl w:val="0"/>
          <w:numId w:val="0"/>
        </w:numPr>
        <w:ind w:left="432"/>
        <w:rPr>
          <w:rFonts w:asciiTheme="minorHAnsi" w:hAnsiTheme="minorHAnsi" w:cstheme="minorHAnsi"/>
          <w:color w:val="auto"/>
          <w:lang w:val="cs-CZ"/>
        </w:rPr>
      </w:pPr>
    </w:p>
    <w:p w14:paraId="36C3E0F2" w14:textId="77777777" w:rsidR="00085872" w:rsidRPr="002D74AC" w:rsidRDefault="00085872" w:rsidP="00085872">
      <w:pPr>
        <w:jc w:val="both"/>
        <w:rPr>
          <w:rFonts w:asciiTheme="minorHAnsi" w:hAnsiTheme="minorHAnsi" w:cstheme="minorHAnsi"/>
          <w:color w:val="auto"/>
          <w:sz w:val="20"/>
          <w:szCs w:val="20"/>
          <w:lang w:val="cs-CZ"/>
        </w:rPr>
      </w:pPr>
      <w:r w:rsidRPr="002D74AC">
        <w:rPr>
          <w:rFonts w:asciiTheme="minorHAnsi" w:hAnsiTheme="minorHAnsi" w:cstheme="minorHAnsi"/>
          <w:b/>
          <w:color w:val="auto"/>
          <w:sz w:val="20"/>
          <w:szCs w:val="20"/>
          <w:lang w:val="cs-CZ"/>
        </w:rPr>
        <w:t>Odměna za Služby:</w:t>
      </w:r>
      <w:r w:rsidRPr="002D74AC">
        <w:rPr>
          <w:rFonts w:asciiTheme="minorHAnsi" w:hAnsiTheme="minorHAnsi" w:cstheme="minorHAnsi"/>
          <w:color w:val="auto"/>
          <w:sz w:val="20"/>
          <w:szCs w:val="20"/>
          <w:lang w:val="cs-CZ"/>
        </w:rPr>
        <w:t xml:space="preserve"> </w:t>
      </w:r>
    </w:p>
    <w:p w14:paraId="28416CCF" w14:textId="169A52FD" w:rsidR="00E825B1" w:rsidRDefault="00222C00" w:rsidP="00085872">
      <w:pPr>
        <w:jc w:val="both"/>
        <w:rPr>
          <w:rFonts w:asciiTheme="minorHAnsi" w:hAnsiTheme="minorHAnsi" w:cstheme="minorHAnsi"/>
          <w:color w:val="auto"/>
          <w:sz w:val="20"/>
          <w:szCs w:val="20"/>
          <w:lang w:val="cs-CZ"/>
        </w:rPr>
      </w:pPr>
      <w:r>
        <w:rPr>
          <w:rFonts w:asciiTheme="minorHAnsi" w:hAnsiTheme="minorHAnsi" w:cstheme="minorHAnsi"/>
          <w:color w:val="auto"/>
          <w:sz w:val="20"/>
          <w:szCs w:val="20"/>
          <w:lang w:val="cs-CZ"/>
        </w:rPr>
        <w:t>Subdodavateli</w:t>
      </w:r>
      <w:r w:rsidR="00966F50">
        <w:rPr>
          <w:rFonts w:asciiTheme="minorHAnsi" w:hAnsiTheme="minorHAnsi" w:cstheme="minorHAnsi"/>
          <w:color w:val="auto"/>
          <w:sz w:val="20"/>
          <w:szCs w:val="20"/>
          <w:lang w:val="cs-CZ"/>
        </w:rPr>
        <w:t xml:space="preserve"> </w:t>
      </w:r>
      <w:r w:rsidR="00E825B1">
        <w:rPr>
          <w:rFonts w:asciiTheme="minorHAnsi" w:hAnsiTheme="minorHAnsi" w:cstheme="minorHAnsi"/>
          <w:color w:val="auto"/>
          <w:sz w:val="20"/>
          <w:szCs w:val="20"/>
          <w:lang w:val="cs-CZ"/>
        </w:rPr>
        <w:t xml:space="preserve">náleží </w:t>
      </w:r>
      <w:r w:rsidR="00966F50">
        <w:rPr>
          <w:rFonts w:asciiTheme="minorHAnsi" w:hAnsiTheme="minorHAnsi" w:cstheme="minorHAnsi"/>
          <w:color w:val="auto"/>
          <w:sz w:val="20"/>
          <w:szCs w:val="20"/>
          <w:lang w:val="cs-CZ"/>
        </w:rPr>
        <w:t xml:space="preserve">za řádně a včas </w:t>
      </w:r>
      <w:r w:rsidR="00743CB6">
        <w:rPr>
          <w:rFonts w:asciiTheme="minorHAnsi" w:hAnsiTheme="minorHAnsi" w:cstheme="minorHAnsi"/>
          <w:color w:val="auto"/>
          <w:sz w:val="20"/>
          <w:szCs w:val="20"/>
          <w:lang w:val="cs-CZ"/>
        </w:rPr>
        <w:t>poskytnuté Služby</w:t>
      </w:r>
      <w:r>
        <w:rPr>
          <w:rFonts w:asciiTheme="minorHAnsi" w:hAnsiTheme="minorHAnsi" w:cstheme="minorHAnsi"/>
          <w:color w:val="auto"/>
          <w:sz w:val="20"/>
          <w:szCs w:val="20"/>
          <w:lang w:val="cs-CZ"/>
        </w:rPr>
        <w:t xml:space="preserve"> </w:t>
      </w:r>
      <w:r w:rsidR="008A34B7">
        <w:rPr>
          <w:rFonts w:asciiTheme="minorHAnsi" w:hAnsiTheme="minorHAnsi" w:cstheme="minorHAnsi"/>
          <w:color w:val="auto"/>
          <w:sz w:val="20"/>
          <w:szCs w:val="20"/>
          <w:lang w:val="cs-CZ"/>
        </w:rPr>
        <w:t xml:space="preserve">celková </w:t>
      </w:r>
      <w:r>
        <w:rPr>
          <w:rFonts w:asciiTheme="minorHAnsi" w:hAnsiTheme="minorHAnsi" w:cstheme="minorHAnsi"/>
          <w:color w:val="auto"/>
          <w:sz w:val="20"/>
          <w:szCs w:val="20"/>
          <w:lang w:val="cs-CZ"/>
        </w:rPr>
        <w:t>odměn</w:t>
      </w:r>
      <w:r w:rsidR="00E825B1">
        <w:rPr>
          <w:rFonts w:asciiTheme="minorHAnsi" w:hAnsiTheme="minorHAnsi" w:cstheme="minorHAnsi"/>
          <w:color w:val="auto"/>
          <w:sz w:val="20"/>
          <w:szCs w:val="20"/>
          <w:lang w:val="cs-CZ"/>
        </w:rPr>
        <w:t>a</w:t>
      </w:r>
      <w:r>
        <w:rPr>
          <w:rFonts w:asciiTheme="minorHAnsi" w:hAnsiTheme="minorHAnsi" w:cstheme="minorHAnsi"/>
          <w:color w:val="auto"/>
          <w:sz w:val="20"/>
          <w:szCs w:val="20"/>
          <w:lang w:val="cs-CZ"/>
        </w:rPr>
        <w:t xml:space="preserve"> </w:t>
      </w:r>
      <w:r w:rsidR="00E825B1">
        <w:rPr>
          <w:rFonts w:asciiTheme="minorHAnsi" w:hAnsiTheme="minorHAnsi" w:cstheme="minorHAnsi"/>
          <w:color w:val="auto"/>
          <w:sz w:val="20"/>
          <w:szCs w:val="20"/>
          <w:lang w:val="cs-CZ"/>
        </w:rPr>
        <w:t xml:space="preserve">515 000 CZK (pět set patnáct tisíc korun českých) bez DPH. </w:t>
      </w:r>
    </w:p>
    <w:p w14:paraId="03042095" w14:textId="5626C12E" w:rsidR="00085872" w:rsidRPr="002D74AC" w:rsidRDefault="00E825B1" w:rsidP="00085872">
      <w:pPr>
        <w:jc w:val="both"/>
        <w:rPr>
          <w:rFonts w:asciiTheme="minorHAnsi" w:hAnsiTheme="minorHAnsi" w:cstheme="minorHAnsi"/>
          <w:color w:val="auto"/>
          <w:sz w:val="20"/>
          <w:szCs w:val="20"/>
          <w:u w:val="single"/>
          <w:lang w:val="cs-CZ"/>
        </w:rPr>
      </w:pPr>
      <w:r>
        <w:rPr>
          <w:rFonts w:asciiTheme="minorHAnsi" w:hAnsiTheme="minorHAnsi" w:cstheme="minorHAnsi"/>
          <w:color w:val="auto"/>
          <w:sz w:val="20"/>
          <w:szCs w:val="20"/>
          <w:lang w:val="cs-CZ"/>
        </w:rPr>
        <w:t xml:space="preserve">Pokud subdodavatel </w:t>
      </w:r>
      <w:r w:rsidR="008B47FC">
        <w:rPr>
          <w:rFonts w:asciiTheme="minorHAnsi" w:hAnsiTheme="minorHAnsi" w:cstheme="minorHAnsi"/>
          <w:color w:val="auto"/>
          <w:sz w:val="20"/>
          <w:szCs w:val="20"/>
          <w:lang w:val="cs-CZ"/>
        </w:rPr>
        <w:t xml:space="preserve">využije možnost vystavení zálohové faktury ve výši 20 </w:t>
      </w:r>
      <w:r w:rsidR="008B47FC" w:rsidRPr="008B47FC">
        <w:rPr>
          <w:rFonts w:asciiTheme="minorHAnsi" w:hAnsiTheme="minorHAnsi" w:cstheme="minorHAnsi"/>
          <w:color w:val="auto"/>
          <w:sz w:val="20"/>
          <w:szCs w:val="20"/>
          <w:lang w:val="cs-CZ"/>
        </w:rPr>
        <w:t>%</w:t>
      </w:r>
      <w:r w:rsidR="002E555A">
        <w:rPr>
          <w:rFonts w:asciiTheme="minorHAnsi" w:hAnsiTheme="minorHAnsi" w:cstheme="minorHAnsi"/>
          <w:color w:val="auto"/>
          <w:sz w:val="20"/>
          <w:szCs w:val="20"/>
          <w:lang w:val="cs-CZ"/>
        </w:rPr>
        <w:t xml:space="preserve">, a to </w:t>
      </w:r>
      <w:r w:rsidR="000C58B3">
        <w:rPr>
          <w:rFonts w:asciiTheme="minorHAnsi" w:hAnsiTheme="minorHAnsi" w:cstheme="minorHAnsi"/>
          <w:color w:val="auto"/>
          <w:sz w:val="20"/>
          <w:szCs w:val="20"/>
          <w:lang w:val="cs-CZ"/>
        </w:rPr>
        <w:t>103 000 CZK (sto tři tisíc korun českých) bez DPH</w:t>
      </w:r>
      <w:r w:rsidR="000C3B33">
        <w:rPr>
          <w:rFonts w:asciiTheme="minorHAnsi" w:hAnsiTheme="minorHAnsi" w:cstheme="minorHAnsi"/>
          <w:color w:val="auto"/>
          <w:sz w:val="20"/>
          <w:szCs w:val="20"/>
          <w:lang w:val="cs-CZ"/>
        </w:rPr>
        <w:t>,</w:t>
      </w:r>
      <w:r w:rsidR="000C58B3">
        <w:rPr>
          <w:rFonts w:asciiTheme="minorHAnsi" w:hAnsiTheme="minorHAnsi" w:cstheme="minorHAnsi"/>
          <w:color w:val="auto"/>
          <w:sz w:val="20"/>
          <w:szCs w:val="20"/>
          <w:lang w:val="cs-CZ"/>
        </w:rPr>
        <w:t xml:space="preserve"> </w:t>
      </w:r>
      <w:r w:rsidR="008B47FC">
        <w:rPr>
          <w:rFonts w:asciiTheme="minorHAnsi" w:hAnsiTheme="minorHAnsi" w:cstheme="minorHAnsi"/>
          <w:color w:val="auto"/>
          <w:sz w:val="20"/>
          <w:szCs w:val="20"/>
          <w:lang w:val="cs-CZ"/>
        </w:rPr>
        <w:t xml:space="preserve">celkové ceny po uzavření Smlouvy, bude </w:t>
      </w:r>
      <w:r w:rsidR="00F70B04">
        <w:rPr>
          <w:rFonts w:asciiTheme="minorHAnsi" w:hAnsiTheme="minorHAnsi" w:cstheme="minorHAnsi"/>
          <w:color w:val="auto"/>
          <w:sz w:val="20"/>
          <w:szCs w:val="20"/>
          <w:lang w:val="cs-CZ"/>
        </w:rPr>
        <w:t>subdodavateli vyplacen</w:t>
      </w:r>
      <w:r w:rsidR="008A34B7">
        <w:rPr>
          <w:rFonts w:asciiTheme="minorHAnsi" w:hAnsiTheme="minorHAnsi" w:cstheme="minorHAnsi"/>
          <w:color w:val="auto"/>
          <w:sz w:val="20"/>
          <w:szCs w:val="20"/>
          <w:lang w:val="cs-CZ"/>
        </w:rPr>
        <w:t xml:space="preserve">a zbývající odměna </w:t>
      </w:r>
      <w:r w:rsidR="00222C00">
        <w:rPr>
          <w:rFonts w:asciiTheme="minorHAnsi" w:hAnsiTheme="minorHAnsi" w:cstheme="minorHAnsi"/>
          <w:color w:val="auto"/>
          <w:sz w:val="20"/>
          <w:szCs w:val="20"/>
          <w:lang w:val="cs-CZ"/>
        </w:rPr>
        <w:t xml:space="preserve">ve výši </w:t>
      </w:r>
      <w:r w:rsidR="00B01F4D">
        <w:rPr>
          <w:rFonts w:asciiTheme="minorHAnsi" w:hAnsiTheme="minorHAnsi" w:cstheme="minorHAnsi"/>
          <w:color w:val="auto"/>
          <w:sz w:val="20"/>
          <w:szCs w:val="20"/>
          <w:lang w:val="cs-CZ"/>
        </w:rPr>
        <w:t>80</w:t>
      </w:r>
      <w:r w:rsidR="008B47FC">
        <w:rPr>
          <w:rFonts w:asciiTheme="minorHAnsi" w:hAnsiTheme="minorHAnsi" w:cstheme="minorHAnsi"/>
          <w:color w:val="auto"/>
          <w:sz w:val="20"/>
          <w:szCs w:val="20"/>
          <w:lang w:val="cs-CZ"/>
        </w:rPr>
        <w:t xml:space="preserve"> </w:t>
      </w:r>
      <w:r w:rsidR="00B01F4D" w:rsidRPr="00B01F4D">
        <w:rPr>
          <w:rFonts w:asciiTheme="minorHAnsi" w:hAnsiTheme="minorHAnsi" w:cstheme="minorHAnsi"/>
          <w:color w:val="auto"/>
          <w:sz w:val="20"/>
          <w:szCs w:val="20"/>
          <w:lang w:val="cs-CZ"/>
        </w:rPr>
        <w:t>%</w:t>
      </w:r>
      <w:r w:rsidR="00B01F4D">
        <w:rPr>
          <w:rFonts w:asciiTheme="minorHAnsi" w:hAnsiTheme="minorHAnsi" w:cstheme="minorHAnsi"/>
          <w:color w:val="auto"/>
          <w:sz w:val="20"/>
          <w:szCs w:val="20"/>
          <w:lang w:val="cs-CZ"/>
        </w:rPr>
        <w:t xml:space="preserve"> celkové ceny za služby, a to </w:t>
      </w:r>
      <w:r w:rsidR="00AB1802">
        <w:rPr>
          <w:rFonts w:asciiTheme="minorHAnsi" w:hAnsiTheme="minorHAnsi" w:cstheme="minorHAnsi"/>
          <w:color w:val="auto"/>
          <w:sz w:val="20"/>
          <w:szCs w:val="20"/>
          <w:lang w:val="cs-CZ"/>
        </w:rPr>
        <w:t>412 000 CZK</w:t>
      </w:r>
      <w:r w:rsidR="00966F50" w:rsidRPr="002D74AC">
        <w:rPr>
          <w:rFonts w:asciiTheme="minorHAnsi" w:hAnsiTheme="minorHAnsi" w:cstheme="minorHAnsi"/>
          <w:color w:val="auto"/>
          <w:sz w:val="20"/>
          <w:szCs w:val="20"/>
          <w:lang w:val="cs-CZ"/>
        </w:rPr>
        <w:t xml:space="preserve"> (</w:t>
      </w:r>
      <w:proofErr w:type="spellStart"/>
      <w:r w:rsidR="00AB1802">
        <w:rPr>
          <w:rFonts w:asciiTheme="minorHAnsi" w:hAnsiTheme="minorHAnsi" w:cstheme="minorHAnsi"/>
          <w:color w:val="auto"/>
          <w:sz w:val="20"/>
          <w:szCs w:val="20"/>
          <w:lang w:val="cs-CZ"/>
        </w:rPr>
        <w:t>čtyřista</w:t>
      </w:r>
      <w:proofErr w:type="spellEnd"/>
      <w:r w:rsidR="00AB1802">
        <w:rPr>
          <w:rFonts w:asciiTheme="minorHAnsi" w:hAnsiTheme="minorHAnsi" w:cstheme="minorHAnsi"/>
          <w:color w:val="auto"/>
          <w:sz w:val="20"/>
          <w:szCs w:val="20"/>
          <w:lang w:val="cs-CZ"/>
        </w:rPr>
        <w:t xml:space="preserve"> dvanáct tisíc korun českých</w:t>
      </w:r>
      <w:r w:rsidR="00966F50" w:rsidRPr="002D74AC">
        <w:rPr>
          <w:rFonts w:asciiTheme="minorHAnsi" w:hAnsiTheme="minorHAnsi" w:cstheme="minorHAnsi"/>
          <w:color w:val="auto"/>
          <w:sz w:val="20"/>
          <w:szCs w:val="20"/>
          <w:lang w:val="cs-CZ"/>
        </w:rPr>
        <w:t>)</w:t>
      </w:r>
      <w:r w:rsidR="008A34B7">
        <w:rPr>
          <w:rFonts w:asciiTheme="minorHAnsi" w:hAnsiTheme="minorHAnsi" w:cstheme="minorHAnsi"/>
          <w:color w:val="auto"/>
          <w:sz w:val="20"/>
          <w:szCs w:val="20"/>
          <w:lang w:val="cs-CZ"/>
        </w:rPr>
        <w:t xml:space="preserve"> bez DPH</w:t>
      </w:r>
      <w:r w:rsidR="00743CB6">
        <w:rPr>
          <w:rFonts w:asciiTheme="minorHAnsi" w:hAnsiTheme="minorHAnsi" w:cstheme="minorHAnsi"/>
          <w:color w:val="auto"/>
          <w:sz w:val="20"/>
          <w:szCs w:val="20"/>
          <w:lang w:val="cs-CZ"/>
        </w:rPr>
        <w:t>.</w:t>
      </w:r>
      <w:r w:rsidR="00966F50">
        <w:rPr>
          <w:rFonts w:asciiTheme="minorHAnsi" w:hAnsiTheme="minorHAnsi" w:cstheme="minorHAnsi"/>
          <w:color w:val="auto"/>
          <w:sz w:val="20"/>
          <w:szCs w:val="20"/>
          <w:lang w:val="cs-CZ"/>
        </w:rPr>
        <w:t xml:space="preserve"> </w:t>
      </w:r>
      <w:r w:rsidR="00CF5F0D">
        <w:rPr>
          <w:rFonts w:asciiTheme="minorHAnsi" w:hAnsiTheme="minorHAnsi" w:cstheme="minorHAnsi"/>
          <w:color w:val="auto"/>
          <w:sz w:val="20"/>
          <w:szCs w:val="20"/>
          <w:lang w:val="cs-CZ"/>
        </w:rPr>
        <w:t>Odměna za Služby je konečná a Subdodavatel nemá právo na náhradu jakýchkoliv vedlejších výdajů</w:t>
      </w:r>
      <w:r w:rsidR="001E12F6">
        <w:rPr>
          <w:rFonts w:asciiTheme="minorHAnsi" w:hAnsiTheme="minorHAnsi" w:cstheme="minorHAnsi"/>
          <w:color w:val="auto"/>
          <w:sz w:val="20"/>
          <w:szCs w:val="20"/>
          <w:lang w:val="cs-CZ"/>
        </w:rPr>
        <w:t xml:space="preserve"> či nákladů</w:t>
      </w:r>
      <w:r w:rsidR="00CF5F0D">
        <w:rPr>
          <w:rFonts w:asciiTheme="minorHAnsi" w:hAnsiTheme="minorHAnsi" w:cstheme="minorHAnsi"/>
          <w:color w:val="auto"/>
          <w:sz w:val="20"/>
          <w:szCs w:val="20"/>
          <w:lang w:val="cs-CZ"/>
        </w:rPr>
        <w:t>.</w:t>
      </w:r>
    </w:p>
    <w:p w14:paraId="72CD821A" w14:textId="77777777" w:rsidR="00085872" w:rsidRPr="002D74AC" w:rsidRDefault="00085872" w:rsidP="00085872">
      <w:pPr>
        <w:jc w:val="both"/>
        <w:rPr>
          <w:rFonts w:asciiTheme="minorHAnsi" w:hAnsiTheme="minorHAnsi" w:cstheme="minorHAnsi"/>
          <w:color w:val="auto"/>
          <w:sz w:val="20"/>
          <w:szCs w:val="20"/>
          <w:lang w:val="cs-CZ"/>
        </w:rPr>
      </w:pPr>
    </w:p>
    <w:p w14:paraId="4E43030C" w14:textId="70E02986" w:rsidR="00085872" w:rsidRPr="002D74AC" w:rsidRDefault="00085872" w:rsidP="00085872">
      <w:pPr>
        <w:jc w:val="both"/>
        <w:rPr>
          <w:rFonts w:asciiTheme="minorHAnsi" w:hAnsiTheme="minorHAnsi" w:cstheme="minorHAnsi"/>
          <w:color w:val="auto"/>
          <w:sz w:val="20"/>
          <w:szCs w:val="20"/>
          <w:lang w:val="cs-CZ"/>
        </w:rPr>
      </w:pPr>
    </w:p>
    <w:p w14:paraId="75AABF54" w14:textId="77777777" w:rsidR="00085872" w:rsidRPr="002D74AC" w:rsidRDefault="00085872" w:rsidP="00085872">
      <w:pPr>
        <w:pStyle w:val="Level1"/>
        <w:numPr>
          <w:ilvl w:val="0"/>
          <w:numId w:val="0"/>
        </w:numPr>
        <w:ind w:left="432"/>
        <w:rPr>
          <w:rFonts w:asciiTheme="minorHAnsi" w:hAnsiTheme="minorHAnsi" w:cstheme="minorHAnsi"/>
          <w:color w:val="auto"/>
          <w:lang w:val="cs-CZ"/>
        </w:rPr>
      </w:pPr>
    </w:p>
    <w:p w14:paraId="327B0003" w14:textId="77777777" w:rsidR="00085872" w:rsidRPr="002D74AC" w:rsidRDefault="00085872" w:rsidP="00085872">
      <w:pPr>
        <w:pStyle w:val="Level1"/>
        <w:numPr>
          <w:ilvl w:val="0"/>
          <w:numId w:val="0"/>
        </w:numPr>
        <w:ind w:left="432"/>
        <w:rPr>
          <w:rFonts w:asciiTheme="minorHAnsi" w:hAnsiTheme="minorHAnsi" w:cstheme="minorHAnsi"/>
          <w:color w:val="auto"/>
          <w:lang w:val="cs-CZ"/>
        </w:rPr>
      </w:pPr>
    </w:p>
    <w:tbl>
      <w:tblPr>
        <w:tblW w:w="8142" w:type="dxa"/>
        <w:tblInd w:w="648" w:type="dxa"/>
        <w:tblLayout w:type="fixed"/>
        <w:tblLook w:val="0000" w:firstRow="0" w:lastRow="0" w:firstColumn="0" w:lastColumn="0" w:noHBand="0" w:noVBand="0"/>
      </w:tblPr>
      <w:tblGrid>
        <w:gridCol w:w="3960"/>
        <w:gridCol w:w="4182"/>
      </w:tblGrid>
      <w:tr w:rsidR="00085872" w:rsidRPr="002D74AC" w14:paraId="5446311D" w14:textId="77777777" w:rsidTr="12DFB290">
        <w:tc>
          <w:tcPr>
            <w:tcW w:w="3960" w:type="dxa"/>
          </w:tcPr>
          <w:p w14:paraId="33BC4EBA" w14:textId="1856AC7D" w:rsidR="00085872" w:rsidRPr="0050613B" w:rsidRDefault="66A7FD6F" w:rsidP="00FB3408">
            <w:pPr>
              <w:spacing w:line="259" w:lineRule="auto"/>
              <w:jc w:val="both"/>
              <w:rPr>
                <w:rFonts w:asciiTheme="minorHAnsi" w:hAnsiTheme="minorHAnsi" w:cstheme="minorHAnsi"/>
                <w:b/>
                <w:bCs/>
                <w:color w:val="auto"/>
                <w:sz w:val="20"/>
                <w:szCs w:val="20"/>
                <w:lang w:val="cs-CZ"/>
              </w:rPr>
            </w:pPr>
            <w:r w:rsidRPr="0050613B">
              <w:rPr>
                <w:rFonts w:asciiTheme="minorHAnsi" w:hAnsiTheme="minorHAnsi" w:cstheme="minorHAnsi"/>
                <w:b/>
                <w:bCs/>
                <w:color w:val="auto"/>
                <w:sz w:val="20"/>
                <w:szCs w:val="20"/>
                <w:lang w:val="cs-CZ"/>
              </w:rPr>
              <w:t>Deloitte Advisory, s.r.o.</w:t>
            </w:r>
          </w:p>
          <w:p w14:paraId="5A251507" w14:textId="77777777" w:rsidR="00085872" w:rsidRPr="0050613B" w:rsidRDefault="00085872" w:rsidP="00C8749C">
            <w:pPr>
              <w:jc w:val="both"/>
              <w:rPr>
                <w:rFonts w:asciiTheme="minorHAnsi" w:hAnsiTheme="minorHAnsi" w:cstheme="minorHAnsi"/>
                <w:b/>
                <w:bCs/>
                <w:color w:val="auto"/>
                <w:sz w:val="20"/>
                <w:szCs w:val="20"/>
                <w:lang w:val="cs-CZ"/>
              </w:rPr>
            </w:pPr>
          </w:p>
        </w:tc>
        <w:tc>
          <w:tcPr>
            <w:tcW w:w="4182" w:type="dxa"/>
          </w:tcPr>
          <w:p w14:paraId="5BA4971E" w14:textId="56939BA6" w:rsidR="00085872" w:rsidRPr="0050613B" w:rsidRDefault="6B8D6B7F" w:rsidP="00FB3408">
            <w:pPr>
              <w:spacing w:line="259" w:lineRule="auto"/>
              <w:jc w:val="both"/>
              <w:rPr>
                <w:rFonts w:asciiTheme="minorHAnsi" w:hAnsiTheme="minorHAnsi" w:cstheme="minorHAnsi"/>
                <w:b/>
                <w:bCs/>
                <w:color w:val="auto"/>
                <w:sz w:val="20"/>
                <w:szCs w:val="20"/>
                <w:lang w:val="cs-CZ"/>
              </w:rPr>
            </w:pPr>
            <w:r w:rsidRPr="0050613B">
              <w:rPr>
                <w:rFonts w:asciiTheme="minorHAnsi" w:hAnsiTheme="minorHAnsi" w:cstheme="minorHAnsi"/>
                <w:b/>
                <w:bCs/>
                <w:color w:val="auto"/>
                <w:sz w:val="20"/>
                <w:szCs w:val="20"/>
                <w:lang w:val="cs-CZ"/>
              </w:rPr>
              <w:t>ČVUT UCEEB</w:t>
            </w:r>
          </w:p>
        </w:tc>
      </w:tr>
      <w:tr w:rsidR="00085872" w:rsidRPr="002D74AC" w14:paraId="52982515" w14:textId="77777777" w:rsidTr="00AB1802">
        <w:trPr>
          <w:trHeight w:val="60"/>
        </w:trPr>
        <w:tc>
          <w:tcPr>
            <w:tcW w:w="3960" w:type="dxa"/>
          </w:tcPr>
          <w:p w14:paraId="23D70FDC" w14:textId="5C31D09D" w:rsidR="00085872" w:rsidRPr="002D74AC" w:rsidRDefault="00085872"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Osoba: </w:t>
            </w:r>
            <w:r w:rsidR="78D5EBFB" w:rsidRPr="002D74AC">
              <w:rPr>
                <w:rFonts w:asciiTheme="minorHAnsi" w:hAnsiTheme="minorHAnsi" w:cstheme="minorHAnsi"/>
                <w:color w:val="auto"/>
                <w:sz w:val="20"/>
                <w:szCs w:val="20"/>
                <w:lang w:val="cs-CZ"/>
              </w:rPr>
              <w:t xml:space="preserve">Martin </w:t>
            </w:r>
            <w:proofErr w:type="spellStart"/>
            <w:r w:rsidR="78D5EBFB" w:rsidRPr="002D74AC">
              <w:rPr>
                <w:rFonts w:asciiTheme="minorHAnsi" w:hAnsiTheme="minorHAnsi" w:cstheme="minorHAnsi"/>
                <w:color w:val="auto"/>
                <w:sz w:val="20"/>
                <w:szCs w:val="20"/>
                <w:lang w:val="cs-CZ"/>
              </w:rPr>
              <w:t>Kubačka</w:t>
            </w:r>
            <w:proofErr w:type="spellEnd"/>
          </w:p>
        </w:tc>
        <w:tc>
          <w:tcPr>
            <w:tcW w:w="4182" w:type="dxa"/>
          </w:tcPr>
          <w:p w14:paraId="0C883B19" w14:textId="024C76AA" w:rsidR="00085872" w:rsidRPr="002D74AC" w:rsidRDefault="00085872"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Osoba: </w:t>
            </w:r>
            <w:r w:rsidR="3014B4F3" w:rsidRPr="002D74AC">
              <w:rPr>
                <w:rFonts w:asciiTheme="minorHAnsi" w:hAnsiTheme="minorHAnsi" w:cstheme="minorHAnsi"/>
                <w:color w:val="auto"/>
                <w:sz w:val="20"/>
                <w:szCs w:val="20"/>
                <w:lang w:val="cs-CZ"/>
              </w:rPr>
              <w:t xml:space="preserve"> Ing. Robert Jára, Ph.D.</w:t>
            </w:r>
          </w:p>
          <w:p w14:paraId="614FEF31" w14:textId="77777777" w:rsidR="00085872" w:rsidRPr="002D74AC" w:rsidRDefault="00085872" w:rsidP="00C8749C">
            <w:pPr>
              <w:jc w:val="both"/>
              <w:rPr>
                <w:rFonts w:asciiTheme="minorHAnsi" w:hAnsiTheme="minorHAnsi" w:cstheme="minorHAnsi"/>
                <w:color w:val="auto"/>
                <w:sz w:val="20"/>
                <w:szCs w:val="20"/>
                <w:lang w:val="cs-CZ"/>
              </w:rPr>
            </w:pPr>
          </w:p>
        </w:tc>
      </w:tr>
      <w:tr w:rsidR="00085872" w:rsidRPr="002D74AC" w14:paraId="34DA5B5D" w14:textId="77777777" w:rsidTr="12DFB290">
        <w:tc>
          <w:tcPr>
            <w:tcW w:w="3960" w:type="dxa"/>
          </w:tcPr>
          <w:p w14:paraId="31D38141" w14:textId="7ADF9DE8" w:rsidR="00085872" w:rsidRPr="002D74AC" w:rsidRDefault="00085872"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Funkce: </w:t>
            </w:r>
            <w:r w:rsidR="29062F61" w:rsidRPr="002D74AC">
              <w:rPr>
                <w:rFonts w:asciiTheme="minorHAnsi" w:hAnsiTheme="minorHAnsi" w:cstheme="minorHAnsi"/>
                <w:color w:val="auto"/>
                <w:sz w:val="20"/>
                <w:szCs w:val="20"/>
                <w:lang w:val="cs-CZ"/>
              </w:rPr>
              <w:t>partner</w:t>
            </w:r>
          </w:p>
        </w:tc>
        <w:tc>
          <w:tcPr>
            <w:tcW w:w="4182" w:type="dxa"/>
          </w:tcPr>
          <w:p w14:paraId="1A12604D" w14:textId="6D6FDADB" w:rsidR="00085872" w:rsidRPr="002D74AC" w:rsidRDefault="00085872" w:rsidP="12DFB290">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Funkce: </w:t>
            </w:r>
            <w:r w:rsidR="76C64F3F" w:rsidRPr="002D74AC">
              <w:rPr>
                <w:rFonts w:asciiTheme="minorHAnsi" w:hAnsiTheme="minorHAnsi" w:cstheme="minorHAnsi"/>
                <w:color w:val="auto"/>
                <w:sz w:val="20"/>
                <w:szCs w:val="20"/>
                <w:lang w:val="cs-CZ"/>
              </w:rPr>
              <w:t>ředitel</w:t>
            </w:r>
          </w:p>
          <w:p w14:paraId="4E051A9A" w14:textId="77777777" w:rsidR="00085872" w:rsidRPr="002D74AC" w:rsidRDefault="00085872" w:rsidP="00C8749C">
            <w:pPr>
              <w:jc w:val="both"/>
              <w:rPr>
                <w:rFonts w:asciiTheme="minorHAnsi" w:hAnsiTheme="minorHAnsi" w:cstheme="minorHAnsi"/>
                <w:color w:val="auto"/>
                <w:sz w:val="20"/>
                <w:szCs w:val="20"/>
                <w:lang w:val="cs-CZ"/>
              </w:rPr>
            </w:pPr>
          </w:p>
        </w:tc>
      </w:tr>
      <w:tr w:rsidR="00085872" w:rsidRPr="002D74AC" w14:paraId="155AA691" w14:textId="77777777" w:rsidTr="12DFB290">
        <w:tc>
          <w:tcPr>
            <w:tcW w:w="3960" w:type="dxa"/>
          </w:tcPr>
          <w:p w14:paraId="37EFDB53" w14:textId="29C23564" w:rsidR="00085872" w:rsidRPr="002D74AC" w:rsidRDefault="00085872" w:rsidP="00C8749C">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Datum: </w:t>
            </w:r>
          </w:p>
        </w:tc>
        <w:tc>
          <w:tcPr>
            <w:tcW w:w="4182" w:type="dxa"/>
          </w:tcPr>
          <w:p w14:paraId="07BDBF25" w14:textId="55904E2F" w:rsidR="00085872" w:rsidRPr="002D74AC" w:rsidRDefault="00085872" w:rsidP="00C8749C">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Datum: </w:t>
            </w:r>
          </w:p>
        </w:tc>
      </w:tr>
    </w:tbl>
    <w:p w14:paraId="5B2719E5" w14:textId="77777777" w:rsidR="00085872" w:rsidRPr="002D74AC" w:rsidRDefault="00085872" w:rsidP="00085872">
      <w:pPr>
        <w:jc w:val="both"/>
        <w:rPr>
          <w:rFonts w:asciiTheme="minorHAnsi" w:hAnsiTheme="minorHAnsi" w:cstheme="minorHAnsi"/>
          <w:color w:val="auto"/>
          <w:sz w:val="20"/>
          <w:szCs w:val="20"/>
          <w:lang w:val="cs-CZ"/>
        </w:rPr>
      </w:pPr>
    </w:p>
    <w:p w14:paraId="1B72EC1E" w14:textId="683C0B16" w:rsidR="00281644" w:rsidRPr="002D74AC" w:rsidRDefault="006A702C" w:rsidP="00281644">
      <w:pPr>
        <w:jc w:val="both"/>
        <w:rPr>
          <w:rFonts w:asciiTheme="minorHAnsi" w:hAnsiTheme="minorHAnsi" w:cstheme="minorHAnsi"/>
          <w:b/>
          <w:color w:val="auto"/>
          <w:sz w:val="20"/>
          <w:szCs w:val="20"/>
          <w:lang w:val="cs-CZ"/>
        </w:rPr>
      </w:pPr>
      <w:r w:rsidRPr="002D74AC">
        <w:rPr>
          <w:rFonts w:asciiTheme="minorHAnsi" w:hAnsiTheme="minorHAnsi" w:cstheme="minorHAnsi"/>
          <w:color w:val="auto"/>
          <w:sz w:val="20"/>
          <w:szCs w:val="20"/>
          <w:lang w:val="cs-CZ"/>
        </w:rPr>
        <w:br w:type="page"/>
      </w:r>
      <w:r w:rsidR="00F060C2" w:rsidRPr="002D74AC">
        <w:rPr>
          <w:rFonts w:asciiTheme="minorHAnsi" w:hAnsiTheme="minorHAnsi" w:cstheme="minorHAnsi"/>
          <w:b/>
          <w:color w:val="auto"/>
          <w:sz w:val="20"/>
          <w:szCs w:val="20"/>
          <w:lang w:val="cs-CZ"/>
        </w:rPr>
        <w:lastRenderedPageBreak/>
        <w:t xml:space="preserve">Příloha </w:t>
      </w:r>
      <w:r w:rsidR="00085872" w:rsidRPr="002D74AC">
        <w:rPr>
          <w:rFonts w:asciiTheme="minorHAnsi" w:hAnsiTheme="minorHAnsi" w:cstheme="minorHAnsi"/>
          <w:b/>
          <w:color w:val="auto"/>
          <w:sz w:val="20"/>
          <w:szCs w:val="20"/>
          <w:lang w:val="cs-CZ"/>
        </w:rPr>
        <w:t>B</w:t>
      </w:r>
    </w:p>
    <w:p w14:paraId="22D8F618" w14:textId="06C00F5B" w:rsidR="00281644" w:rsidRDefault="00F060C2" w:rsidP="00281644">
      <w:pPr>
        <w:jc w:val="center"/>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t>Akcepta</w:t>
      </w:r>
      <w:r w:rsidR="00963050" w:rsidRPr="002D74AC">
        <w:rPr>
          <w:rFonts w:asciiTheme="minorHAnsi" w:hAnsiTheme="minorHAnsi" w:cstheme="minorHAnsi"/>
          <w:b/>
          <w:color w:val="auto"/>
          <w:sz w:val="20"/>
          <w:szCs w:val="20"/>
          <w:lang w:val="cs-CZ"/>
        </w:rPr>
        <w:t>ční protokol</w:t>
      </w:r>
      <w:r w:rsidR="003D4238" w:rsidRPr="002D74AC">
        <w:rPr>
          <w:rFonts w:asciiTheme="minorHAnsi" w:hAnsiTheme="minorHAnsi" w:cstheme="minorHAnsi"/>
          <w:b/>
          <w:color w:val="auto"/>
          <w:sz w:val="20"/>
          <w:szCs w:val="20"/>
          <w:lang w:val="cs-CZ"/>
        </w:rPr>
        <w:t xml:space="preserve"> - VZOR</w:t>
      </w:r>
      <w:r w:rsidR="00963050" w:rsidRPr="002D74AC">
        <w:rPr>
          <w:rFonts w:asciiTheme="minorHAnsi" w:hAnsiTheme="minorHAnsi" w:cstheme="minorHAnsi"/>
          <w:b/>
          <w:color w:val="auto"/>
          <w:sz w:val="20"/>
          <w:szCs w:val="20"/>
          <w:lang w:val="cs-CZ"/>
        </w:rPr>
        <w:t xml:space="preserve"> </w:t>
      </w:r>
    </w:p>
    <w:p w14:paraId="155331F5" w14:textId="77777777" w:rsidR="00AB1802" w:rsidRPr="002D74AC" w:rsidRDefault="00AB1802" w:rsidP="00281644">
      <w:pPr>
        <w:jc w:val="center"/>
        <w:rPr>
          <w:rFonts w:asciiTheme="minorHAnsi" w:hAnsiTheme="minorHAnsi" w:cstheme="minorHAnsi"/>
          <w:b/>
          <w:color w:val="auto"/>
          <w:sz w:val="20"/>
          <w:szCs w:val="20"/>
          <w:lang w:val="cs-CZ"/>
        </w:rPr>
      </w:pPr>
    </w:p>
    <w:p w14:paraId="3944B7FD" w14:textId="77777777" w:rsidR="00AB1802" w:rsidRPr="002D74AC" w:rsidRDefault="00AB1802" w:rsidP="00AB1802">
      <w:pPr>
        <w:pStyle w:val="smlouvabodytext"/>
        <w:spacing w:after="120"/>
        <w:jc w:val="left"/>
        <w:rPr>
          <w:rFonts w:asciiTheme="minorHAnsi" w:hAnsiTheme="minorHAnsi" w:cstheme="minorHAnsi"/>
          <w:sz w:val="20"/>
          <w:szCs w:val="20"/>
        </w:rPr>
      </w:pPr>
      <w:r w:rsidRPr="002D74AC">
        <w:rPr>
          <w:rFonts w:asciiTheme="minorHAnsi" w:hAnsiTheme="minorHAnsi" w:cstheme="minorHAnsi"/>
          <w:b/>
          <w:bCs/>
          <w:sz w:val="20"/>
          <w:szCs w:val="20"/>
        </w:rPr>
        <w:t xml:space="preserve">Deloitte Advisory s.r.o., </w:t>
      </w:r>
      <w:r w:rsidRPr="002D74AC">
        <w:rPr>
          <w:rFonts w:asciiTheme="minorHAnsi" w:hAnsiTheme="minorHAnsi" w:cstheme="minorHAnsi"/>
          <w:sz w:val="20"/>
          <w:szCs w:val="20"/>
        </w:rPr>
        <w:t>společností založenou podle práva České repuliky, IČO 27582167, zapsanou v obchodním rejstříku vedeném Městským soudem v Praze, oddíle C, vložce 113225, se sídlem Italská 2581/67, Praha 2, 120 00, Česká republika,</w:t>
      </w:r>
      <w:r w:rsidRPr="002D74AC">
        <w:rPr>
          <w:rFonts w:asciiTheme="minorHAnsi" w:hAnsiTheme="minorHAnsi" w:cstheme="minorHAnsi"/>
          <w:sz w:val="20"/>
          <w:szCs w:val="20"/>
        </w:rPr>
        <w:br/>
        <w:t>zastoupenou Martinem Kubačkou, partnerem,</w:t>
      </w:r>
    </w:p>
    <w:p w14:paraId="1C53395B" w14:textId="77777777" w:rsidR="00AB1802" w:rsidRPr="002D74AC" w:rsidRDefault="00AB1802" w:rsidP="00AB180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dále jen „</w:t>
      </w:r>
      <w:r w:rsidRPr="002D74AC">
        <w:rPr>
          <w:rFonts w:asciiTheme="minorHAnsi" w:hAnsiTheme="minorHAnsi" w:cstheme="minorHAnsi"/>
          <w:b/>
          <w:bCs/>
          <w:color w:val="auto"/>
          <w:sz w:val="20"/>
          <w:szCs w:val="20"/>
          <w:lang w:val="cs-CZ"/>
        </w:rPr>
        <w:t>Deloitte</w:t>
      </w:r>
      <w:r w:rsidRPr="002D74AC">
        <w:rPr>
          <w:rFonts w:asciiTheme="minorHAnsi" w:hAnsiTheme="minorHAnsi" w:cstheme="minorHAnsi"/>
          <w:bCs/>
          <w:color w:val="auto"/>
          <w:sz w:val="20"/>
          <w:szCs w:val="20"/>
          <w:lang w:val="cs-CZ"/>
        </w:rPr>
        <w:t>“</w:t>
      </w:r>
      <w:r w:rsidRPr="002D74AC">
        <w:rPr>
          <w:rFonts w:asciiTheme="minorHAnsi" w:hAnsiTheme="minorHAnsi" w:cstheme="minorHAnsi"/>
          <w:color w:val="auto"/>
          <w:sz w:val="20"/>
          <w:szCs w:val="20"/>
          <w:lang w:val="cs-CZ"/>
        </w:rPr>
        <w:t xml:space="preserve"> </w:t>
      </w:r>
    </w:p>
    <w:p w14:paraId="3FCC26BC" w14:textId="77777777" w:rsidR="00AB1802" w:rsidRPr="002D74AC" w:rsidRDefault="00AB1802" w:rsidP="00AB1802">
      <w:pPr>
        <w:jc w:val="both"/>
        <w:rPr>
          <w:rFonts w:asciiTheme="minorHAnsi" w:hAnsiTheme="minorHAnsi" w:cstheme="minorHAnsi"/>
          <w:color w:val="auto"/>
          <w:sz w:val="20"/>
          <w:szCs w:val="20"/>
          <w:lang w:val="cs-CZ"/>
        </w:rPr>
      </w:pPr>
    </w:p>
    <w:p w14:paraId="15F6C980" w14:textId="77777777" w:rsidR="00AB1802" w:rsidRPr="002D74AC" w:rsidRDefault="00AB1802" w:rsidP="00AB180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a </w:t>
      </w:r>
    </w:p>
    <w:p w14:paraId="379CE6C0" w14:textId="77777777" w:rsidR="00AB1802" w:rsidRPr="002D74AC" w:rsidRDefault="00AB1802" w:rsidP="00AB1802">
      <w:pPr>
        <w:jc w:val="both"/>
        <w:rPr>
          <w:rFonts w:asciiTheme="minorHAnsi" w:hAnsiTheme="minorHAnsi" w:cstheme="minorHAnsi"/>
          <w:color w:val="auto"/>
          <w:sz w:val="20"/>
          <w:szCs w:val="20"/>
          <w:lang w:val="cs-CZ"/>
        </w:rPr>
      </w:pPr>
    </w:p>
    <w:p w14:paraId="194D36E2" w14:textId="77777777" w:rsidR="00AB1802" w:rsidRPr="002D74AC" w:rsidRDefault="00AB1802" w:rsidP="00AB1802">
      <w:pPr>
        <w:jc w:val="both"/>
        <w:rPr>
          <w:rFonts w:asciiTheme="minorHAnsi" w:hAnsiTheme="minorHAnsi" w:cstheme="minorHAnsi"/>
          <w:color w:val="auto"/>
          <w:sz w:val="20"/>
          <w:szCs w:val="20"/>
          <w:lang w:val="cs-CZ"/>
        </w:rPr>
      </w:pPr>
      <w:r w:rsidRPr="002D74AC">
        <w:rPr>
          <w:rFonts w:asciiTheme="minorHAnsi" w:hAnsiTheme="minorHAnsi" w:cstheme="minorHAnsi"/>
          <w:b/>
          <w:bCs/>
          <w:color w:val="auto"/>
          <w:sz w:val="20"/>
          <w:szCs w:val="20"/>
          <w:lang w:val="cs-CZ"/>
        </w:rPr>
        <w:t>České vysoké učení technické v Praze, Univerzitní centrum energeticky efektivních budov</w:t>
      </w:r>
      <w:r w:rsidRPr="002D74AC">
        <w:rPr>
          <w:rFonts w:asciiTheme="minorHAnsi" w:hAnsiTheme="minorHAnsi" w:cstheme="minorHAnsi"/>
          <w:color w:val="auto"/>
          <w:sz w:val="20"/>
          <w:szCs w:val="20"/>
          <w:lang w:val="cs-CZ"/>
        </w:rPr>
        <w:t>, IČO 68407700, se sídlem Jugoslávských partyzánů 1580/3, Praha 6 – Dejvice, 160 00 Praha 6</w:t>
      </w:r>
    </w:p>
    <w:p w14:paraId="423F3B7E" w14:textId="77777777" w:rsidR="00AB1802" w:rsidRPr="002D74AC" w:rsidRDefault="00AB1802" w:rsidP="00AB180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zastoupenou Ing. Robertem Járou, Ph.D., ředitelem,</w:t>
      </w:r>
    </w:p>
    <w:p w14:paraId="0EDA1DE1" w14:textId="77777777" w:rsidR="00AB1802" w:rsidRPr="002D74AC" w:rsidRDefault="00AB1802" w:rsidP="00AB180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dále jen „</w:t>
      </w:r>
      <w:r w:rsidRPr="002D74AC">
        <w:rPr>
          <w:rFonts w:asciiTheme="minorHAnsi" w:hAnsiTheme="minorHAnsi" w:cstheme="minorHAnsi"/>
          <w:b/>
          <w:color w:val="auto"/>
          <w:sz w:val="20"/>
          <w:szCs w:val="20"/>
          <w:lang w:val="cs-CZ"/>
        </w:rPr>
        <w:t>Subdodavatel</w:t>
      </w:r>
      <w:r w:rsidRPr="002D74AC">
        <w:rPr>
          <w:rFonts w:asciiTheme="minorHAnsi" w:hAnsiTheme="minorHAnsi" w:cstheme="minorHAnsi"/>
          <w:color w:val="auto"/>
          <w:sz w:val="20"/>
          <w:szCs w:val="20"/>
          <w:lang w:val="cs-CZ"/>
        </w:rPr>
        <w:t>“</w:t>
      </w:r>
      <w:r>
        <w:rPr>
          <w:rFonts w:asciiTheme="minorHAnsi" w:hAnsiTheme="minorHAnsi" w:cstheme="minorHAnsi"/>
          <w:color w:val="auto"/>
          <w:sz w:val="20"/>
          <w:szCs w:val="20"/>
          <w:lang w:val="cs-CZ"/>
        </w:rPr>
        <w:t xml:space="preserve"> a/nebo „</w:t>
      </w:r>
      <w:r w:rsidRPr="006D3CAF">
        <w:rPr>
          <w:rFonts w:asciiTheme="minorHAnsi" w:hAnsiTheme="minorHAnsi" w:cstheme="minorHAnsi"/>
          <w:b/>
          <w:bCs/>
          <w:color w:val="auto"/>
          <w:sz w:val="20"/>
          <w:szCs w:val="20"/>
          <w:lang w:val="cs-CZ"/>
        </w:rPr>
        <w:t>UCEEB</w:t>
      </w:r>
      <w:r>
        <w:rPr>
          <w:rFonts w:asciiTheme="minorHAnsi" w:hAnsiTheme="minorHAnsi" w:cstheme="minorHAnsi"/>
          <w:color w:val="auto"/>
          <w:sz w:val="20"/>
          <w:szCs w:val="20"/>
          <w:lang w:val="cs-CZ"/>
        </w:rPr>
        <w:t>“</w:t>
      </w:r>
      <w:r w:rsidRPr="002D74AC">
        <w:rPr>
          <w:rFonts w:asciiTheme="minorHAnsi" w:hAnsiTheme="minorHAnsi" w:cstheme="minorHAnsi"/>
          <w:color w:val="auto"/>
          <w:sz w:val="20"/>
          <w:szCs w:val="20"/>
          <w:lang w:val="cs-CZ"/>
        </w:rPr>
        <w:t>.</w:t>
      </w:r>
    </w:p>
    <w:p w14:paraId="4548896F" w14:textId="77777777" w:rsidR="00281644" w:rsidRPr="002D74AC" w:rsidRDefault="00281644" w:rsidP="00281644">
      <w:pPr>
        <w:jc w:val="both"/>
        <w:rPr>
          <w:rFonts w:asciiTheme="minorHAnsi" w:hAnsiTheme="minorHAnsi" w:cstheme="minorHAnsi"/>
          <w:color w:val="auto"/>
          <w:sz w:val="20"/>
          <w:szCs w:val="20"/>
          <w:lang w:val="cs-CZ"/>
        </w:rPr>
      </w:pPr>
    </w:p>
    <w:p w14:paraId="0ACD3661" w14:textId="396E5E8C" w:rsidR="00281644" w:rsidRPr="002D74AC" w:rsidRDefault="00F060C2" w:rsidP="00F060C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T</w:t>
      </w:r>
      <w:r w:rsidR="00963050" w:rsidRPr="002D74AC">
        <w:rPr>
          <w:rFonts w:asciiTheme="minorHAnsi" w:hAnsiTheme="minorHAnsi" w:cstheme="minorHAnsi"/>
          <w:color w:val="auto"/>
          <w:sz w:val="20"/>
          <w:szCs w:val="20"/>
          <w:lang w:val="cs-CZ"/>
        </w:rPr>
        <w:t>ento a</w:t>
      </w:r>
      <w:r w:rsidRPr="002D74AC">
        <w:rPr>
          <w:rFonts w:asciiTheme="minorHAnsi" w:hAnsiTheme="minorHAnsi" w:cstheme="minorHAnsi"/>
          <w:color w:val="auto"/>
          <w:sz w:val="20"/>
          <w:szCs w:val="20"/>
          <w:lang w:val="cs-CZ"/>
        </w:rPr>
        <w:t>kcepta</w:t>
      </w:r>
      <w:r w:rsidR="00963050" w:rsidRPr="002D74AC">
        <w:rPr>
          <w:rFonts w:asciiTheme="minorHAnsi" w:hAnsiTheme="minorHAnsi" w:cstheme="minorHAnsi"/>
          <w:color w:val="auto"/>
          <w:sz w:val="20"/>
          <w:szCs w:val="20"/>
          <w:lang w:val="cs-CZ"/>
        </w:rPr>
        <w:t xml:space="preserve">ční protokol </w:t>
      </w:r>
      <w:r w:rsidRPr="002D74AC">
        <w:rPr>
          <w:rFonts w:asciiTheme="minorHAnsi" w:hAnsiTheme="minorHAnsi" w:cstheme="minorHAnsi"/>
          <w:color w:val="auto"/>
          <w:sz w:val="20"/>
          <w:szCs w:val="20"/>
          <w:lang w:val="cs-CZ"/>
        </w:rPr>
        <w:t xml:space="preserve">je součástí </w:t>
      </w:r>
      <w:r w:rsidR="00D57AB3" w:rsidRPr="002D74AC">
        <w:rPr>
          <w:rFonts w:asciiTheme="minorHAnsi" w:hAnsiTheme="minorHAnsi" w:cstheme="minorHAnsi"/>
          <w:color w:val="auto"/>
          <w:sz w:val="20"/>
          <w:szCs w:val="20"/>
          <w:lang w:val="cs-CZ"/>
        </w:rPr>
        <w:t>S</w:t>
      </w:r>
      <w:r w:rsidRPr="002D74AC">
        <w:rPr>
          <w:rFonts w:asciiTheme="minorHAnsi" w:hAnsiTheme="minorHAnsi" w:cstheme="minorHAnsi"/>
          <w:color w:val="auto"/>
          <w:sz w:val="20"/>
          <w:szCs w:val="20"/>
          <w:lang w:val="cs-CZ"/>
        </w:rPr>
        <w:t>ubdodavatelské smlouvy mezi D</w:t>
      </w:r>
      <w:r w:rsidR="00963050" w:rsidRPr="002D74AC">
        <w:rPr>
          <w:rFonts w:asciiTheme="minorHAnsi" w:hAnsiTheme="minorHAnsi" w:cstheme="minorHAnsi"/>
          <w:color w:val="auto"/>
          <w:sz w:val="20"/>
          <w:szCs w:val="20"/>
          <w:lang w:val="cs-CZ"/>
        </w:rPr>
        <w:t>e</w:t>
      </w:r>
      <w:r w:rsidRPr="002D74AC">
        <w:rPr>
          <w:rFonts w:asciiTheme="minorHAnsi" w:hAnsiTheme="minorHAnsi" w:cstheme="minorHAnsi"/>
          <w:color w:val="auto"/>
          <w:sz w:val="20"/>
          <w:szCs w:val="20"/>
          <w:lang w:val="cs-CZ"/>
        </w:rPr>
        <w:t xml:space="preserve">loitte a </w:t>
      </w:r>
      <w:r w:rsidR="004315B7" w:rsidRPr="002D74AC">
        <w:rPr>
          <w:rFonts w:asciiTheme="minorHAnsi" w:hAnsiTheme="minorHAnsi" w:cstheme="minorHAnsi"/>
          <w:color w:val="auto"/>
          <w:sz w:val="20"/>
          <w:szCs w:val="20"/>
          <w:lang w:val="cs-CZ"/>
        </w:rPr>
        <w:t>S</w:t>
      </w:r>
      <w:r w:rsidRPr="002D74AC">
        <w:rPr>
          <w:rFonts w:asciiTheme="minorHAnsi" w:hAnsiTheme="minorHAnsi" w:cstheme="minorHAnsi"/>
          <w:color w:val="auto"/>
          <w:sz w:val="20"/>
          <w:szCs w:val="20"/>
          <w:lang w:val="cs-CZ"/>
        </w:rPr>
        <w:t xml:space="preserve">ubdodavatelem </w:t>
      </w:r>
      <w:r w:rsidR="004070CC">
        <w:rPr>
          <w:rFonts w:asciiTheme="minorHAnsi" w:hAnsiTheme="minorHAnsi" w:cstheme="minorHAnsi"/>
          <w:color w:val="auto"/>
          <w:sz w:val="20"/>
          <w:szCs w:val="20"/>
          <w:lang w:val="cs-CZ"/>
        </w:rPr>
        <w:t xml:space="preserve">účinné </w:t>
      </w:r>
      <w:r w:rsidR="00201BED">
        <w:rPr>
          <w:rFonts w:asciiTheme="minorHAnsi" w:hAnsiTheme="minorHAnsi" w:cstheme="minorHAnsi"/>
          <w:color w:val="auto"/>
          <w:sz w:val="20"/>
          <w:szCs w:val="20"/>
          <w:lang w:val="cs-CZ"/>
        </w:rPr>
        <w:t>ode</w:t>
      </w:r>
      <w:r w:rsidR="00201BED" w:rsidRPr="002D74AC">
        <w:rPr>
          <w:rFonts w:asciiTheme="minorHAnsi" w:hAnsiTheme="minorHAnsi" w:cstheme="minorHAnsi"/>
          <w:color w:val="auto"/>
          <w:sz w:val="20"/>
          <w:szCs w:val="20"/>
          <w:lang w:val="cs-CZ"/>
        </w:rPr>
        <w:t xml:space="preserve"> </w:t>
      </w:r>
      <w:r w:rsidRPr="002D74AC">
        <w:rPr>
          <w:rFonts w:asciiTheme="minorHAnsi" w:hAnsiTheme="minorHAnsi" w:cstheme="minorHAnsi"/>
          <w:color w:val="auto"/>
          <w:sz w:val="20"/>
          <w:szCs w:val="20"/>
          <w:lang w:val="cs-CZ"/>
        </w:rPr>
        <w:t xml:space="preserve">dne </w:t>
      </w:r>
      <w:r w:rsidR="003608E2">
        <w:rPr>
          <w:rFonts w:asciiTheme="minorHAnsi" w:hAnsiTheme="minorHAnsi" w:cstheme="minorHAnsi"/>
          <w:color w:val="auto"/>
          <w:sz w:val="20"/>
          <w:szCs w:val="20"/>
          <w:lang w:val="cs-CZ"/>
        </w:rPr>
        <w:t>6.12.</w:t>
      </w:r>
      <w:r w:rsidR="00BA6BEB">
        <w:rPr>
          <w:rFonts w:asciiTheme="minorHAnsi" w:hAnsiTheme="minorHAnsi" w:cstheme="minorHAnsi"/>
          <w:color w:val="auto"/>
          <w:sz w:val="20"/>
          <w:szCs w:val="20"/>
          <w:lang w:val="cs-CZ"/>
        </w:rPr>
        <w:t>2023</w:t>
      </w:r>
      <w:r w:rsidR="003608E2">
        <w:rPr>
          <w:rFonts w:asciiTheme="minorHAnsi" w:hAnsiTheme="minorHAnsi" w:cstheme="minorHAnsi"/>
          <w:color w:val="auto"/>
          <w:sz w:val="20"/>
          <w:szCs w:val="20"/>
          <w:lang w:val="cs-CZ"/>
        </w:rPr>
        <w:t xml:space="preserve"> („</w:t>
      </w:r>
      <w:proofErr w:type="spellStart"/>
      <w:r w:rsidR="00AF7E7A" w:rsidRPr="002D74AC">
        <w:rPr>
          <w:rFonts w:asciiTheme="minorHAnsi" w:hAnsiTheme="minorHAnsi" w:cstheme="minorHAnsi"/>
          <w:color w:val="auto"/>
          <w:sz w:val="20"/>
          <w:szCs w:val="20"/>
          <w:lang w:val="sk-SK"/>
        </w:rPr>
        <w:t>Smlouva</w:t>
      </w:r>
      <w:proofErr w:type="spellEnd"/>
      <w:r w:rsidR="00AF7E7A" w:rsidRPr="002D74AC">
        <w:rPr>
          <w:rFonts w:asciiTheme="minorHAnsi" w:hAnsiTheme="minorHAnsi" w:cstheme="minorHAnsi"/>
          <w:color w:val="auto"/>
          <w:sz w:val="20"/>
          <w:szCs w:val="20"/>
          <w:lang w:val="sk-SK"/>
        </w:rPr>
        <w:t>“)</w:t>
      </w:r>
      <w:r w:rsidR="00281644" w:rsidRPr="002D74AC">
        <w:rPr>
          <w:rFonts w:asciiTheme="minorHAnsi" w:hAnsiTheme="minorHAnsi" w:cstheme="minorHAnsi"/>
          <w:color w:val="auto"/>
          <w:sz w:val="20"/>
          <w:szCs w:val="20"/>
          <w:lang w:val="cs-CZ"/>
        </w:rPr>
        <w:t xml:space="preserve"> a</w:t>
      </w:r>
      <w:r w:rsidR="00315D96" w:rsidRPr="002D74AC">
        <w:rPr>
          <w:rFonts w:asciiTheme="minorHAnsi" w:hAnsiTheme="minorHAnsi" w:cstheme="minorHAnsi"/>
          <w:color w:val="auto"/>
          <w:sz w:val="20"/>
          <w:szCs w:val="20"/>
          <w:lang w:val="cs-CZ"/>
        </w:rPr>
        <w:t xml:space="preserve"> stanovuje podmínky převodu a přijetí Služeb a Výstupů provedených Subdodavatelem</w:t>
      </w:r>
      <w:r w:rsidR="00281644" w:rsidRPr="002D74AC">
        <w:rPr>
          <w:rFonts w:asciiTheme="minorHAnsi" w:hAnsiTheme="minorHAnsi" w:cstheme="minorHAnsi"/>
          <w:color w:val="auto"/>
          <w:sz w:val="20"/>
          <w:szCs w:val="20"/>
          <w:lang w:val="cs-CZ"/>
        </w:rPr>
        <w:t>.</w:t>
      </w:r>
    </w:p>
    <w:p w14:paraId="7DABCC8D" w14:textId="77777777" w:rsidR="00281644" w:rsidRPr="002D74AC" w:rsidRDefault="00281644" w:rsidP="00281644">
      <w:pPr>
        <w:jc w:val="both"/>
        <w:rPr>
          <w:rFonts w:asciiTheme="minorHAnsi" w:hAnsiTheme="minorHAnsi" w:cstheme="minorHAnsi"/>
          <w:color w:val="auto"/>
          <w:sz w:val="20"/>
          <w:szCs w:val="20"/>
          <w:lang w:val="cs-CZ"/>
        </w:rPr>
      </w:pPr>
    </w:p>
    <w:p w14:paraId="51A140B4" w14:textId="4D1517C6" w:rsidR="00633C94" w:rsidRPr="002D74AC" w:rsidRDefault="00315D96" w:rsidP="00281644">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Subdodavatel vykonal následující činnosti</w:t>
      </w:r>
      <w:r w:rsidR="00281644" w:rsidRPr="002D74AC">
        <w:rPr>
          <w:rFonts w:asciiTheme="minorHAnsi" w:hAnsiTheme="minorHAnsi" w:cstheme="minorHAnsi"/>
          <w:color w:val="auto"/>
          <w:sz w:val="20"/>
          <w:szCs w:val="20"/>
          <w:lang w:val="cs-CZ"/>
        </w:rPr>
        <w:t>:</w:t>
      </w:r>
    </w:p>
    <w:p w14:paraId="4288E840" w14:textId="5464D9AC" w:rsidR="00281644" w:rsidRDefault="005F0828" w:rsidP="004E5571">
      <w:pPr>
        <w:pStyle w:val="Odstavecseseznamem"/>
        <w:numPr>
          <w:ilvl w:val="0"/>
          <w:numId w:val="50"/>
        </w:numPr>
        <w:jc w:val="both"/>
        <w:rPr>
          <w:rFonts w:asciiTheme="minorHAnsi" w:hAnsiTheme="minorHAnsi" w:cstheme="minorHAnsi"/>
          <w:color w:val="auto"/>
          <w:sz w:val="20"/>
          <w:szCs w:val="20"/>
          <w:lang w:val="cs-CZ"/>
        </w:rPr>
      </w:pPr>
      <w:proofErr w:type="spellStart"/>
      <w:r>
        <w:rPr>
          <w:rFonts w:asciiTheme="minorHAnsi" w:hAnsiTheme="minorHAnsi" w:cstheme="minorHAnsi"/>
          <w:color w:val="auto"/>
          <w:sz w:val="20"/>
          <w:szCs w:val="20"/>
          <w:lang w:val="cs-CZ"/>
        </w:rPr>
        <w:t>xxxxxxxxxxxxxxxxxxxxxxxxxxxx</w:t>
      </w:r>
      <w:proofErr w:type="spellEnd"/>
    </w:p>
    <w:p w14:paraId="61D6B914" w14:textId="64C6700D" w:rsidR="005F0828" w:rsidRPr="00F06CE7" w:rsidRDefault="005F0828" w:rsidP="004E5571">
      <w:pPr>
        <w:pStyle w:val="Odstavecseseznamem"/>
        <w:numPr>
          <w:ilvl w:val="0"/>
          <w:numId w:val="50"/>
        </w:numPr>
        <w:jc w:val="both"/>
        <w:rPr>
          <w:rFonts w:asciiTheme="minorHAnsi" w:hAnsiTheme="minorHAnsi" w:cstheme="minorHAnsi"/>
          <w:color w:val="auto"/>
          <w:sz w:val="20"/>
          <w:szCs w:val="20"/>
          <w:lang w:val="cs-CZ"/>
        </w:rPr>
      </w:pPr>
      <w:proofErr w:type="spellStart"/>
      <w:r>
        <w:rPr>
          <w:rFonts w:asciiTheme="minorHAnsi" w:hAnsiTheme="minorHAnsi" w:cstheme="minorHAnsi"/>
          <w:color w:val="auto"/>
          <w:sz w:val="20"/>
          <w:szCs w:val="20"/>
          <w:lang w:val="cs-CZ"/>
        </w:rPr>
        <w:t>xxxxxxxxxxxxxxxxxxxxxxxxxxxx</w:t>
      </w:r>
      <w:proofErr w:type="spellEnd"/>
    </w:p>
    <w:p w14:paraId="720753D2" w14:textId="77777777" w:rsidR="00F06CE7" w:rsidRPr="002D74AC" w:rsidRDefault="00F06CE7" w:rsidP="00281644">
      <w:pPr>
        <w:jc w:val="both"/>
        <w:rPr>
          <w:rFonts w:asciiTheme="minorHAnsi" w:hAnsiTheme="minorHAnsi" w:cstheme="minorHAnsi"/>
          <w:color w:val="auto"/>
          <w:sz w:val="20"/>
          <w:szCs w:val="20"/>
          <w:lang w:val="cs-CZ"/>
        </w:rPr>
      </w:pPr>
    </w:p>
    <w:p w14:paraId="1942BF63" w14:textId="74802DF0" w:rsidR="00315D96" w:rsidRPr="002D74AC" w:rsidRDefault="00315D96" w:rsidP="00281644">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Subdodavatel tímto prohlašuje, že splnil a převedl práce </w:t>
      </w:r>
      <w:r w:rsidR="008F6BC3" w:rsidRPr="002D74AC">
        <w:rPr>
          <w:rFonts w:asciiTheme="minorHAnsi" w:hAnsiTheme="minorHAnsi" w:cstheme="minorHAnsi"/>
          <w:color w:val="auto"/>
          <w:sz w:val="20"/>
          <w:szCs w:val="20"/>
          <w:lang w:val="cs-CZ"/>
        </w:rPr>
        <w:t>na</w:t>
      </w:r>
      <w:r w:rsidRPr="002D74AC">
        <w:rPr>
          <w:rFonts w:asciiTheme="minorHAnsi" w:hAnsiTheme="minorHAnsi" w:cstheme="minorHAnsi"/>
          <w:color w:val="auto"/>
          <w:sz w:val="20"/>
          <w:szCs w:val="20"/>
          <w:lang w:val="cs-CZ"/>
        </w:rPr>
        <w:t xml:space="preserve"> Deloitte včas nebo Deloitte tímto prohlašuje, že práce akceptuje. </w:t>
      </w:r>
    </w:p>
    <w:p w14:paraId="30B4EE2A" w14:textId="77777777" w:rsidR="00281644" w:rsidRPr="002D74AC" w:rsidRDefault="00281644" w:rsidP="00281644">
      <w:pPr>
        <w:jc w:val="both"/>
        <w:rPr>
          <w:rFonts w:asciiTheme="minorHAnsi" w:hAnsiTheme="minorHAnsi" w:cstheme="minorHAnsi"/>
          <w:color w:val="auto"/>
          <w:sz w:val="20"/>
          <w:szCs w:val="20"/>
          <w:lang w:val="cs-CZ"/>
        </w:rPr>
      </w:pPr>
    </w:p>
    <w:p w14:paraId="282199C0" w14:textId="1156AF2F" w:rsidR="00315D96" w:rsidRPr="002D74AC" w:rsidRDefault="00315D96" w:rsidP="00281644">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T</w:t>
      </w:r>
      <w:r w:rsidR="00963050" w:rsidRPr="002D74AC">
        <w:rPr>
          <w:rFonts w:asciiTheme="minorHAnsi" w:hAnsiTheme="minorHAnsi" w:cstheme="minorHAnsi"/>
          <w:color w:val="auto"/>
          <w:sz w:val="20"/>
          <w:szCs w:val="20"/>
          <w:lang w:val="cs-CZ"/>
        </w:rPr>
        <w:t>ento akceptační protokol</w:t>
      </w:r>
      <w:r w:rsidRPr="002D74AC">
        <w:rPr>
          <w:rFonts w:asciiTheme="minorHAnsi" w:hAnsiTheme="minorHAnsi" w:cstheme="minorHAnsi"/>
          <w:color w:val="auto"/>
          <w:sz w:val="20"/>
          <w:szCs w:val="20"/>
          <w:lang w:val="cs-CZ"/>
        </w:rPr>
        <w:t xml:space="preserve"> je vyhotoven ve dvou kopiích, jednu obdrží Subdodavatel a jednu</w:t>
      </w:r>
      <w:r w:rsidR="00D57AB3" w:rsidRPr="002D74AC">
        <w:rPr>
          <w:rFonts w:asciiTheme="minorHAnsi" w:hAnsiTheme="minorHAnsi" w:cstheme="minorHAnsi"/>
          <w:color w:val="auto"/>
          <w:sz w:val="20"/>
          <w:szCs w:val="20"/>
          <w:lang w:val="cs-CZ"/>
        </w:rPr>
        <w:t xml:space="preserve"> obdrží</w:t>
      </w:r>
      <w:r w:rsidRPr="002D74AC">
        <w:rPr>
          <w:rFonts w:asciiTheme="minorHAnsi" w:hAnsiTheme="minorHAnsi" w:cstheme="minorHAnsi"/>
          <w:color w:val="auto"/>
          <w:sz w:val="20"/>
          <w:szCs w:val="20"/>
          <w:lang w:val="cs-CZ"/>
        </w:rPr>
        <w:t xml:space="preserve"> Deloitte. </w:t>
      </w:r>
    </w:p>
    <w:p w14:paraId="1B6C5679" w14:textId="77777777" w:rsidR="00B23B67" w:rsidRPr="002D74AC" w:rsidRDefault="00B23B67" w:rsidP="00281644">
      <w:pPr>
        <w:rPr>
          <w:rFonts w:asciiTheme="minorHAnsi" w:hAnsiTheme="minorHAnsi" w:cstheme="minorHAnsi"/>
          <w:color w:val="auto"/>
          <w:sz w:val="20"/>
          <w:szCs w:val="20"/>
          <w:lang w:val="cs-CZ"/>
        </w:rPr>
      </w:pPr>
    </w:p>
    <w:tbl>
      <w:tblPr>
        <w:tblW w:w="8142" w:type="dxa"/>
        <w:tblInd w:w="648" w:type="dxa"/>
        <w:tblLayout w:type="fixed"/>
        <w:tblLook w:val="0000" w:firstRow="0" w:lastRow="0" w:firstColumn="0" w:lastColumn="0" w:noHBand="0" w:noVBand="0"/>
      </w:tblPr>
      <w:tblGrid>
        <w:gridCol w:w="3960"/>
        <w:gridCol w:w="4182"/>
      </w:tblGrid>
      <w:tr w:rsidR="00AB1802" w:rsidRPr="002D74AC" w14:paraId="163D13C3" w14:textId="77777777" w:rsidTr="00AB1802">
        <w:tc>
          <w:tcPr>
            <w:tcW w:w="3960" w:type="dxa"/>
          </w:tcPr>
          <w:p w14:paraId="18EA0F6D" w14:textId="77777777" w:rsidR="00AB1802" w:rsidRPr="00AB1802" w:rsidRDefault="00AB1802" w:rsidP="00AB1802">
            <w:pPr>
              <w:jc w:val="both"/>
              <w:rPr>
                <w:rFonts w:asciiTheme="minorHAnsi" w:hAnsiTheme="minorHAnsi" w:cstheme="minorHAnsi"/>
                <w:color w:val="auto"/>
                <w:sz w:val="20"/>
                <w:szCs w:val="20"/>
                <w:lang w:val="cs-CZ"/>
              </w:rPr>
            </w:pPr>
            <w:r w:rsidRPr="00AB1802">
              <w:rPr>
                <w:rFonts w:asciiTheme="minorHAnsi" w:hAnsiTheme="minorHAnsi" w:cstheme="minorHAnsi"/>
                <w:color w:val="auto"/>
                <w:sz w:val="20"/>
                <w:szCs w:val="20"/>
                <w:lang w:val="cs-CZ"/>
              </w:rPr>
              <w:t>Deloitte Advisory, s.r.o.</w:t>
            </w:r>
          </w:p>
          <w:p w14:paraId="665E75ED" w14:textId="77777777" w:rsidR="00AB1802" w:rsidRPr="002D74AC" w:rsidRDefault="00AB1802" w:rsidP="00767A73">
            <w:pPr>
              <w:jc w:val="both"/>
              <w:rPr>
                <w:rFonts w:asciiTheme="minorHAnsi" w:hAnsiTheme="minorHAnsi" w:cstheme="minorHAnsi"/>
                <w:color w:val="auto"/>
                <w:sz w:val="20"/>
                <w:szCs w:val="20"/>
                <w:lang w:val="cs-CZ"/>
              </w:rPr>
            </w:pPr>
          </w:p>
        </w:tc>
        <w:tc>
          <w:tcPr>
            <w:tcW w:w="4182" w:type="dxa"/>
          </w:tcPr>
          <w:p w14:paraId="50DF012E" w14:textId="77777777" w:rsidR="00AB1802" w:rsidRPr="00AB1802" w:rsidRDefault="00AB1802" w:rsidP="00AB1802">
            <w:pPr>
              <w:jc w:val="both"/>
              <w:rPr>
                <w:rFonts w:asciiTheme="minorHAnsi" w:hAnsiTheme="minorHAnsi" w:cstheme="minorHAnsi"/>
                <w:color w:val="auto"/>
                <w:sz w:val="20"/>
                <w:szCs w:val="20"/>
                <w:lang w:val="cs-CZ"/>
              </w:rPr>
            </w:pPr>
            <w:r w:rsidRPr="00AB1802">
              <w:rPr>
                <w:rFonts w:asciiTheme="minorHAnsi" w:hAnsiTheme="minorHAnsi" w:cstheme="minorHAnsi"/>
                <w:color w:val="auto"/>
                <w:sz w:val="20"/>
                <w:szCs w:val="20"/>
                <w:lang w:val="cs-CZ"/>
              </w:rPr>
              <w:t>ČVUT UCEEB</w:t>
            </w:r>
          </w:p>
        </w:tc>
      </w:tr>
      <w:tr w:rsidR="00AB1802" w:rsidRPr="002D74AC" w14:paraId="1D160970" w14:textId="77777777" w:rsidTr="00AB1802">
        <w:tc>
          <w:tcPr>
            <w:tcW w:w="3960" w:type="dxa"/>
          </w:tcPr>
          <w:p w14:paraId="402BCF58" w14:textId="77777777" w:rsidR="00AB1802" w:rsidRPr="002D74AC" w:rsidRDefault="00AB1802" w:rsidP="00767A73">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Osoba: Martin </w:t>
            </w:r>
            <w:proofErr w:type="spellStart"/>
            <w:r w:rsidRPr="002D74AC">
              <w:rPr>
                <w:rFonts w:asciiTheme="minorHAnsi" w:hAnsiTheme="minorHAnsi" w:cstheme="minorHAnsi"/>
                <w:color w:val="auto"/>
                <w:sz w:val="20"/>
                <w:szCs w:val="20"/>
                <w:lang w:val="cs-CZ"/>
              </w:rPr>
              <w:t>Kubačka</w:t>
            </w:r>
            <w:proofErr w:type="spellEnd"/>
          </w:p>
        </w:tc>
        <w:tc>
          <w:tcPr>
            <w:tcW w:w="4182" w:type="dxa"/>
          </w:tcPr>
          <w:p w14:paraId="6BBE42F3" w14:textId="77777777" w:rsidR="00AB1802" w:rsidRPr="002D74AC" w:rsidRDefault="00AB1802" w:rsidP="00AB1802">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Osoba: Ing. Robert Jára, Ph.D.</w:t>
            </w:r>
          </w:p>
          <w:p w14:paraId="7D1B5843" w14:textId="77777777" w:rsidR="00AB1802" w:rsidRPr="002D74AC" w:rsidRDefault="00AB1802" w:rsidP="00767A73">
            <w:pPr>
              <w:jc w:val="both"/>
              <w:rPr>
                <w:rFonts w:asciiTheme="minorHAnsi" w:hAnsiTheme="minorHAnsi" w:cstheme="minorHAnsi"/>
                <w:color w:val="auto"/>
                <w:sz w:val="20"/>
                <w:szCs w:val="20"/>
                <w:lang w:val="cs-CZ"/>
              </w:rPr>
            </w:pPr>
          </w:p>
        </w:tc>
      </w:tr>
      <w:tr w:rsidR="00AB1802" w:rsidRPr="002D74AC" w14:paraId="3E51C512" w14:textId="77777777" w:rsidTr="00AB1802">
        <w:tc>
          <w:tcPr>
            <w:tcW w:w="3960" w:type="dxa"/>
          </w:tcPr>
          <w:p w14:paraId="7174D458" w14:textId="77777777" w:rsidR="00AB1802" w:rsidRPr="002D74AC" w:rsidRDefault="00AB1802" w:rsidP="00767A73">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Funkce: partner</w:t>
            </w:r>
          </w:p>
        </w:tc>
        <w:tc>
          <w:tcPr>
            <w:tcW w:w="4182" w:type="dxa"/>
          </w:tcPr>
          <w:p w14:paraId="2A0318D3" w14:textId="77777777" w:rsidR="00AB1802" w:rsidRPr="002D74AC" w:rsidRDefault="00AB1802" w:rsidP="00767A73">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Funkce: ředitel</w:t>
            </w:r>
          </w:p>
          <w:p w14:paraId="53DC1D02" w14:textId="77777777" w:rsidR="00AB1802" w:rsidRPr="002D74AC" w:rsidRDefault="00AB1802" w:rsidP="00767A73">
            <w:pPr>
              <w:jc w:val="both"/>
              <w:rPr>
                <w:rFonts w:asciiTheme="minorHAnsi" w:hAnsiTheme="minorHAnsi" w:cstheme="minorHAnsi"/>
                <w:color w:val="auto"/>
                <w:sz w:val="20"/>
                <w:szCs w:val="20"/>
                <w:lang w:val="cs-CZ"/>
              </w:rPr>
            </w:pPr>
          </w:p>
        </w:tc>
      </w:tr>
      <w:tr w:rsidR="00AB1802" w:rsidRPr="002D74AC" w14:paraId="11FFDBA1" w14:textId="77777777" w:rsidTr="00AB1802">
        <w:tc>
          <w:tcPr>
            <w:tcW w:w="3960" w:type="dxa"/>
          </w:tcPr>
          <w:p w14:paraId="62021A3B" w14:textId="77777777" w:rsidR="00AB1802" w:rsidRPr="002D74AC" w:rsidRDefault="00AB1802" w:rsidP="00767A73">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Datum: [</w:t>
            </w:r>
            <w:r w:rsidRPr="00AB1802">
              <w:rPr>
                <w:rFonts w:asciiTheme="minorHAnsi" w:hAnsiTheme="minorHAnsi" w:cstheme="minorHAnsi"/>
                <w:color w:val="auto"/>
                <w:sz w:val="20"/>
                <w:szCs w:val="20"/>
                <w:lang w:val="cs-CZ"/>
              </w:rPr>
              <w:t>Vyplnit datum</w:t>
            </w:r>
            <w:r w:rsidRPr="002D74AC">
              <w:rPr>
                <w:rFonts w:asciiTheme="minorHAnsi" w:hAnsiTheme="minorHAnsi" w:cstheme="minorHAnsi"/>
                <w:color w:val="auto"/>
                <w:sz w:val="20"/>
                <w:szCs w:val="20"/>
                <w:lang w:val="cs-CZ"/>
              </w:rPr>
              <w:t>]</w:t>
            </w:r>
          </w:p>
        </w:tc>
        <w:tc>
          <w:tcPr>
            <w:tcW w:w="4182" w:type="dxa"/>
          </w:tcPr>
          <w:p w14:paraId="05B52958" w14:textId="77777777" w:rsidR="00AB1802" w:rsidRPr="002D74AC" w:rsidRDefault="00AB1802" w:rsidP="00767A73">
            <w:pPr>
              <w:jc w:val="both"/>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Datum: [</w:t>
            </w:r>
            <w:r w:rsidRPr="00AB1802">
              <w:rPr>
                <w:rFonts w:asciiTheme="minorHAnsi" w:hAnsiTheme="minorHAnsi" w:cstheme="minorHAnsi"/>
                <w:color w:val="auto"/>
                <w:sz w:val="20"/>
                <w:szCs w:val="20"/>
                <w:lang w:val="cs-CZ"/>
              </w:rPr>
              <w:t>Vyplnit datum</w:t>
            </w:r>
            <w:r w:rsidRPr="002D74AC">
              <w:rPr>
                <w:rFonts w:asciiTheme="minorHAnsi" w:hAnsiTheme="minorHAnsi" w:cstheme="minorHAnsi"/>
                <w:color w:val="auto"/>
                <w:sz w:val="20"/>
                <w:szCs w:val="20"/>
                <w:lang w:val="cs-CZ"/>
              </w:rPr>
              <w:t>]</w:t>
            </w:r>
          </w:p>
        </w:tc>
      </w:tr>
    </w:tbl>
    <w:p w14:paraId="584E95FC" w14:textId="5475ADB6" w:rsidR="00B23B67" w:rsidRPr="002D74AC" w:rsidRDefault="00B23B67" w:rsidP="00B23B67">
      <w:pPr>
        <w:pStyle w:val="Level1"/>
        <w:numPr>
          <w:ilvl w:val="0"/>
          <w:numId w:val="0"/>
        </w:numPr>
        <w:ind w:left="432"/>
        <w:rPr>
          <w:rFonts w:asciiTheme="minorHAnsi" w:hAnsiTheme="minorHAnsi" w:cstheme="minorHAnsi"/>
          <w:color w:val="auto"/>
          <w:lang w:val="cs-CZ"/>
        </w:rPr>
      </w:pPr>
    </w:p>
    <w:p w14:paraId="59DCB82A" w14:textId="4196077E" w:rsidR="00B23B67" w:rsidRPr="002D74AC" w:rsidRDefault="00B23B67" w:rsidP="00B23B67">
      <w:pPr>
        <w:pStyle w:val="Level1"/>
        <w:numPr>
          <w:ilvl w:val="0"/>
          <w:numId w:val="0"/>
        </w:numPr>
        <w:ind w:left="432"/>
        <w:rPr>
          <w:rFonts w:asciiTheme="minorHAnsi" w:hAnsiTheme="minorHAnsi" w:cstheme="minorHAnsi"/>
          <w:color w:val="auto"/>
          <w:lang w:val="cs-CZ"/>
        </w:rPr>
      </w:pPr>
    </w:p>
    <w:p w14:paraId="11E23540" w14:textId="77777777" w:rsidR="00AB1802" w:rsidRDefault="00AB1802">
      <w:pPr>
        <w:rPr>
          <w:rFonts w:asciiTheme="minorHAnsi" w:hAnsiTheme="minorHAnsi" w:cstheme="minorHAnsi"/>
          <w:b/>
          <w:color w:val="auto"/>
          <w:sz w:val="20"/>
          <w:szCs w:val="20"/>
          <w:lang w:val="cs-CZ"/>
        </w:rPr>
      </w:pPr>
      <w:r>
        <w:rPr>
          <w:rFonts w:asciiTheme="minorHAnsi" w:hAnsiTheme="minorHAnsi" w:cstheme="minorHAnsi"/>
          <w:b/>
          <w:color w:val="auto"/>
          <w:sz w:val="20"/>
          <w:szCs w:val="20"/>
          <w:lang w:val="cs-CZ"/>
        </w:rPr>
        <w:br w:type="page"/>
      </w:r>
    </w:p>
    <w:p w14:paraId="7AAA223F" w14:textId="256E41E2" w:rsidR="00402CED" w:rsidRPr="002D74AC" w:rsidRDefault="00402CED" w:rsidP="00402CED">
      <w:pPr>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lastRenderedPageBreak/>
        <w:t>Příloha C</w:t>
      </w:r>
    </w:p>
    <w:p w14:paraId="6BF0CDA2" w14:textId="77777777" w:rsidR="00402CED" w:rsidRPr="002D74AC" w:rsidRDefault="00402CED" w:rsidP="00402CED">
      <w:pPr>
        <w:jc w:val="center"/>
        <w:rPr>
          <w:rFonts w:asciiTheme="minorHAnsi" w:hAnsiTheme="minorHAnsi" w:cstheme="minorHAnsi"/>
          <w:color w:val="auto"/>
          <w:sz w:val="20"/>
          <w:szCs w:val="20"/>
          <w:lang w:val="cs-CZ"/>
        </w:rPr>
      </w:pPr>
    </w:p>
    <w:p w14:paraId="4BFBA138" w14:textId="77777777" w:rsidR="000A3BF4" w:rsidRPr="002D74AC" w:rsidRDefault="000A3BF4" w:rsidP="000A3BF4">
      <w:pPr>
        <w:jc w:val="center"/>
        <w:rPr>
          <w:rFonts w:asciiTheme="minorHAnsi" w:hAnsiTheme="minorHAnsi" w:cstheme="minorHAnsi"/>
          <w:b/>
          <w:color w:val="000000"/>
          <w:sz w:val="20"/>
          <w:szCs w:val="20"/>
          <w:lang w:val="cs-CZ"/>
        </w:rPr>
      </w:pPr>
    </w:p>
    <w:p w14:paraId="0F64C59A" w14:textId="77777777" w:rsidR="000A3BF4" w:rsidRPr="002D74AC" w:rsidRDefault="000A3BF4" w:rsidP="000A3BF4">
      <w:pPr>
        <w:jc w:val="center"/>
        <w:rPr>
          <w:rFonts w:asciiTheme="minorHAnsi" w:hAnsiTheme="minorHAnsi" w:cstheme="minorHAnsi"/>
          <w:b/>
          <w:color w:val="auto"/>
          <w:sz w:val="20"/>
          <w:szCs w:val="20"/>
          <w:lang w:val="cs-CZ"/>
        </w:rPr>
      </w:pPr>
      <w:r w:rsidRPr="002D74AC">
        <w:rPr>
          <w:rFonts w:asciiTheme="minorHAnsi" w:hAnsiTheme="minorHAnsi" w:cstheme="minorHAnsi"/>
          <w:b/>
          <w:color w:val="000000"/>
          <w:sz w:val="20"/>
          <w:szCs w:val="20"/>
        </w:rPr>
        <w:t>SUMMARY OF DTTL POLICIES FOR PROFESSIONAL STAFF</w:t>
      </w:r>
      <w:r w:rsidRPr="002D74AC">
        <w:rPr>
          <w:rFonts w:asciiTheme="minorHAnsi" w:hAnsiTheme="minorHAnsi" w:cstheme="minorHAnsi"/>
          <w:b/>
          <w:color w:val="auto"/>
          <w:sz w:val="20"/>
          <w:szCs w:val="20"/>
          <w:lang w:val="cs-CZ"/>
        </w:rPr>
        <w:t xml:space="preserve"> </w:t>
      </w:r>
    </w:p>
    <w:p w14:paraId="27FD59C6" w14:textId="77777777" w:rsidR="000A3BF4" w:rsidRPr="002D74AC" w:rsidRDefault="000A3BF4" w:rsidP="000A3BF4">
      <w:pPr>
        <w:jc w:val="center"/>
        <w:rPr>
          <w:rFonts w:asciiTheme="minorHAnsi" w:hAnsiTheme="minorHAnsi" w:cstheme="minorHAnsi"/>
          <w:color w:val="000000"/>
          <w:sz w:val="20"/>
          <w:szCs w:val="20"/>
          <w:u w:val="single"/>
          <w:lang w:val="cs-CZ"/>
        </w:rPr>
      </w:pPr>
      <w:r w:rsidRPr="002D74AC">
        <w:rPr>
          <w:rFonts w:asciiTheme="minorHAnsi" w:hAnsiTheme="minorHAnsi" w:cstheme="minorHAnsi"/>
          <w:color w:val="auto"/>
          <w:sz w:val="20"/>
          <w:szCs w:val="20"/>
          <w:u w:val="single"/>
          <w:lang w:val="cs-CZ"/>
        </w:rPr>
        <w:t>SHRNUTÍ PRAVIDEL A POSTUPŮ DTTL PRO ODBORNÝ PERSONÁL</w:t>
      </w:r>
    </w:p>
    <w:p w14:paraId="3D69B694" w14:textId="77777777" w:rsidR="000A3BF4" w:rsidRPr="002D74AC" w:rsidRDefault="000A3BF4" w:rsidP="000A3BF4">
      <w:pPr>
        <w:jc w:val="center"/>
        <w:rPr>
          <w:rFonts w:asciiTheme="minorHAnsi" w:hAnsiTheme="minorHAnsi" w:cstheme="minorHAnsi"/>
          <w:color w:val="000000"/>
          <w:sz w:val="20"/>
          <w:szCs w:val="20"/>
          <w:u w:val="single"/>
          <w:lang w:val="cs-CZ"/>
        </w:rPr>
      </w:pPr>
      <w:r w:rsidRPr="002D74AC">
        <w:rPr>
          <w:rFonts w:asciiTheme="minorHAnsi" w:hAnsiTheme="minorHAnsi" w:cstheme="minorHAnsi"/>
          <w:color w:val="000000"/>
          <w:sz w:val="20"/>
          <w:szCs w:val="20"/>
          <w:u w:val="single"/>
          <w:lang w:val="cs-CZ"/>
        </w:rPr>
        <w:t>Informativní český překlad je uveden níže</w:t>
      </w:r>
    </w:p>
    <w:p w14:paraId="4DE2BFA4" w14:textId="77777777" w:rsidR="00402CED" w:rsidRPr="002D74AC" w:rsidRDefault="00402CED" w:rsidP="00402CED">
      <w:pPr>
        <w:rPr>
          <w:rFonts w:asciiTheme="minorHAnsi" w:hAnsiTheme="minorHAnsi" w:cstheme="minorHAnsi"/>
          <w:b/>
          <w:sz w:val="20"/>
          <w:szCs w:val="20"/>
          <w:lang w:val="de-AT"/>
        </w:rPr>
      </w:pPr>
    </w:p>
    <w:p w14:paraId="0EDECE3F" w14:textId="77777777" w:rsidR="00402CED" w:rsidRPr="002D74AC" w:rsidRDefault="00402CED" w:rsidP="00402CED">
      <w:pPr>
        <w:rPr>
          <w:rFonts w:asciiTheme="minorHAnsi" w:hAnsiTheme="minorHAnsi" w:cstheme="minorHAnsi"/>
          <w:b/>
          <w:sz w:val="20"/>
          <w:szCs w:val="20"/>
          <w:lang w:val="de-AT"/>
        </w:rPr>
      </w:pPr>
    </w:p>
    <w:p w14:paraId="149B0E4C" w14:textId="77777777" w:rsidR="00402CED" w:rsidRPr="002D74AC" w:rsidRDefault="00402CED" w:rsidP="00402CED">
      <w:pPr>
        <w:spacing w:before="120"/>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FINANCIAL INTERESTS</w:t>
      </w:r>
    </w:p>
    <w:p w14:paraId="1B80310F" w14:textId="77777777" w:rsidR="00402CED" w:rsidRPr="002D74AC" w:rsidRDefault="00402CED" w:rsidP="004E5571">
      <w:pPr>
        <w:pStyle w:val="Topic1"/>
        <w:numPr>
          <w:ilvl w:val="0"/>
          <w:numId w:val="29"/>
        </w:numPr>
        <w:rPr>
          <w:rFonts w:asciiTheme="minorHAnsi" w:hAnsiTheme="minorHAnsi" w:cstheme="minorHAnsi"/>
          <w:b w:val="0"/>
          <w:sz w:val="20"/>
        </w:rPr>
      </w:pPr>
      <w:r w:rsidRPr="002D74AC">
        <w:rPr>
          <w:rFonts w:asciiTheme="minorHAnsi" w:hAnsiTheme="minorHAnsi" w:cstheme="minorHAnsi"/>
          <w:b w:val="0"/>
          <w:sz w:val="20"/>
        </w:rPr>
        <w:t xml:space="preserve">Professional Staff who participate on </w:t>
      </w:r>
      <w:r w:rsidRPr="002D74AC">
        <w:rPr>
          <w:rFonts w:asciiTheme="minorHAnsi" w:hAnsiTheme="minorHAnsi" w:cstheme="minorHAnsi"/>
          <w:b w:val="0"/>
          <w:sz w:val="20"/>
          <w:u w:val="single"/>
        </w:rPr>
        <w:t>any</w:t>
      </w:r>
      <w:r w:rsidRPr="002D74AC">
        <w:rPr>
          <w:rFonts w:asciiTheme="minorHAnsi" w:hAnsiTheme="minorHAnsi" w:cstheme="minorHAnsi"/>
          <w:b w:val="0"/>
          <w:sz w:val="20"/>
        </w:rPr>
        <w:t xml:space="preserve"> Engagement for a Restricted Entity and/or their Immediate Family Members should not hold any Direct Financial Interest or material Indirect Financial Interest in that Restricted Entity.</w:t>
      </w:r>
    </w:p>
    <w:p w14:paraId="1FE6CFD0" w14:textId="77777777" w:rsidR="00402CED" w:rsidRPr="002D74AC" w:rsidRDefault="00402CED" w:rsidP="004E5571">
      <w:pPr>
        <w:pStyle w:val="Topic1"/>
        <w:numPr>
          <w:ilvl w:val="0"/>
          <w:numId w:val="29"/>
        </w:numPr>
        <w:spacing w:before="120"/>
        <w:rPr>
          <w:rFonts w:asciiTheme="minorHAnsi" w:hAnsiTheme="minorHAnsi" w:cstheme="minorHAnsi"/>
          <w:b w:val="0"/>
          <w:sz w:val="20"/>
        </w:rPr>
      </w:pPr>
      <w:r w:rsidRPr="002D74AC">
        <w:rPr>
          <w:rFonts w:asciiTheme="minorHAnsi" w:hAnsiTheme="minorHAnsi" w:cstheme="minorHAnsi"/>
          <w:b w:val="0"/>
          <w:sz w:val="20"/>
        </w:rPr>
        <w:t>If Professional Staff (and their Immediate Family Members) are prohibited from holding a Direct Financial Interest or material Indirect Financial Interest in a Restricted Entity because they participate on an Engagement for that Restricted Entity, even if the Engagement has ended, the Professional Staff should not acquire a Direct Financial Interest or material Indirect Financial Interest in such Restricted Entity until the Member Firm has signed the audit report for that fiscal year.</w:t>
      </w:r>
    </w:p>
    <w:p w14:paraId="74BF1D59" w14:textId="77777777" w:rsidR="00402CED" w:rsidRPr="002D74AC" w:rsidRDefault="00402CED" w:rsidP="004E5571">
      <w:pPr>
        <w:numPr>
          <w:ilvl w:val="0"/>
          <w:numId w:val="2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If an Immediate Family Member receives a Financial Interest as a result of his or her employment rights that would be prohibited, the Director of Independence should be consulted.</w:t>
      </w:r>
    </w:p>
    <w:p w14:paraId="62D5E7C6" w14:textId="77777777" w:rsidR="00402CED" w:rsidRPr="002D74AC" w:rsidRDefault="00402CED" w:rsidP="004E5571">
      <w:pPr>
        <w:numPr>
          <w:ilvl w:val="0"/>
          <w:numId w:val="2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and/or their Immediate Family Members should not act as trustee of a trust or executor of an estate that holds a Direct Financial Interest or a material Indirect Financial Interest in a Restricted Entity and also work on any engagement for that Restricted Entity, unless:</w:t>
      </w:r>
    </w:p>
    <w:p w14:paraId="43298E4A" w14:textId="77777777" w:rsidR="00402CED" w:rsidRPr="002D74AC" w:rsidRDefault="00402CED" w:rsidP="004E5571">
      <w:pPr>
        <w:numPr>
          <w:ilvl w:val="1"/>
          <w:numId w:val="42"/>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Member Firm, the individual acting as trustee or executor, or an Immediate Family Member of such individual, is not a beneficiary of the trust or </w:t>
      </w:r>
      <w:proofErr w:type="gramStart"/>
      <w:r w:rsidRPr="002D74AC">
        <w:rPr>
          <w:rFonts w:asciiTheme="minorHAnsi" w:hAnsiTheme="minorHAnsi" w:cstheme="minorHAnsi"/>
          <w:color w:val="auto"/>
          <w:sz w:val="20"/>
          <w:szCs w:val="20"/>
        </w:rPr>
        <w:t>estate;</w:t>
      </w:r>
      <w:proofErr w:type="gramEnd"/>
    </w:p>
    <w:p w14:paraId="2C449449" w14:textId="77777777" w:rsidR="00402CED" w:rsidRPr="002D74AC" w:rsidRDefault="00402CED" w:rsidP="004E5571">
      <w:pPr>
        <w:numPr>
          <w:ilvl w:val="1"/>
          <w:numId w:val="42"/>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interest held by the trust or estate in the Restricted Entity is not material to the trust or </w:t>
      </w:r>
      <w:proofErr w:type="gramStart"/>
      <w:r w:rsidRPr="002D74AC">
        <w:rPr>
          <w:rFonts w:asciiTheme="minorHAnsi" w:hAnsiTheme="minorHAnsi" w:cstheme="minorHAnsi"/>
          <w:color w:val="auto"/>
          <w:sz w:val="20"/>
          <w:szCs w:val="20"/>
        </w:rPr>
        <w:t>estate;</w:t>
      </w:r>
      <w:proofErr w:type="gramEnd"/>
    </w:p>
    <w:p w14:paraId="5DF98178" w14:textId="77777777" w:rsidR="00402CED" w:rsidRPr="002D74AC" w:rsidRDefault="00402CED" w:rsidP="004E5571">
      <w:pPr>
        <w:numPr>
          <w:ilvl w:val="1"/>
          <w:numId w:val="42"/>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The trust or estate is not able to exercise significant influence over the Restricted Entity; and</w:t>
      </w:r>
    </w:p>
    <w:p w14:paraId="47E8C756" w14:textId="77777777" w:rsidR="00402CED" w:rsidRPr="002D74AC" w:rsidRDefault="00402CED" w:rsidP="004E5571">
      <w:pPr>
        <w:numPr>
          <w:ilvl w:val="1"/>
          <w:numId w:val="42"/>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The Member Firm or the individual acting as trustee or executor, or Immediate Family Member of such individual, cannot significantly influence any investment decision involving a Financial Interest in the Restricted Entity.</w:t>
      </w:r>
    </w:p>
    <w:p w14:paraId="483419EA" w14:textId="77777777" w:rsidR="00402CED" w:rsidRPr="002D74AC" w:rsidRDefault="00402CED" w:rsidP="004E5571">
      <w:pPr>
        <w:numPr>
          <w:ilvl w:val="0"/>
          <w:numId w:val="29"/>
        </w:numPr>
        <w:spacing w:before="120"/>
        <w:rPr>
          <w:rFonts w:asciiTheme="minorHAnsi" w:hAnsiTheme="minorHAnsi" w:cstheme="minorHAnsi"/>
          <w:b/>
          <w:i/>
          <w:color w:val="auto"/>
          <w:sz w:val="20"/>
          <w:szCs w:val="20"/>
        </w:rPr>
      </w:pPr>
      <w:r w:rsidRPr="002D74AC">
        <w:rPr>
          <w:rFonts w:asciiTheme="minorHAnsi" w:hAnsiTheme="minorHAnsi" w:cstheme="minorHAnsi"/>
          <w:color w:val="auto"/>
          <w:sz w:val="20"/>
          <w:szCs w:val="20"/>
        </w:rPr>
        <w:t xml:space="preserve">Professional Staff who know that a Close Family Member has a material Direct or material Indirect Financial Interest in a Restricted Entity should not provide Professional Services to that Restricted Entity unless adequate safeguards are put in place and approved by the Director of Independence.  </w:t>
      </w:r>
    </w:p>
    <w:p w14:paraId="11D30086" w14:textId="77777777" w:rsidR="00402CED" w:rsidRPr="002D74AC" w:rsidRDefault="00402CED" w:rsidP="004E5571">
      <w:pPr>
        <w:pStyle w:val="Topic1"/>
        <w:numPr>
          <w:ilvl w:val="0"/>
          <w:numId w:val="29"/>
        </w:numPr>
        <w:rPr>
          <w:rFonts w:asciiTheme="minorHAnsi" w:hAnsiTheme="minorHAnsi" w:cstheme="minorHAnsi"/>
          <w:b w:val="0"/>
          <w:sz w:val="20"/>
        </w:rPr>
      </w:pPr>
      <w:r w:rsidRPr="002D74AC">
        <w:rPr>
          <w:rFonts w:asciiTheme="minorHAnsi" w:hAnsiTheme="minorHAnsi" w:cstheme="minorHAnsi"/>
          <w:b w:val="0"/>
          <w:sz w:val="20"/>
        </w:rPr>
        <w:t>Professional Staff and/or their Immediate Family Members, individually or collectively, should not have beneficial ownership of more than five percent of an SEC Restricted Entity’s equity securities or control that SEC Restricted Entity.</w:t>
      </w:r>
    </w:p>
    <w:p w14:paraId="66C7D857" w14:textId="77777777" w:rsidR="00402CED" w:rsidRPr="002D74AC" w:rsidRDefault="00402CED" w:rsidP="00402CED">
      <w:pPr>
        <w:pStyle w:val="Topic1"/>
        <w:ind w:left="360"/>
        <w:rPr>
          <w:rFonts w:asciiTheme="minorHAnsi" w:hAnsiTheme="minorHAnsi" w:cstheme="minorHAnsi"/>
          <w:b w:val="0"/>
          <w:sz w:val="20"/>
        </w:rPr>
      </w:pPr>
    </w:p>
    <w:p w14:paraId="1BC35C45"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Members of the Audit Team</w:t>
      </w:r>
    </w:p>
    <w:p w14:paraId="30B794AA" w14:textId="77777777" w:rsidR="00402CED" w:rsidRPr="002D74AC" w:rsidRDefault="00402CED" w:rsidP="004E5571">
      <w:pPr>
        <w:numPr>
          <w:ilvl w:val="0"/>
          <w:numId w:val="31"/>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who are members of the Audit Team of a Restricted Entity should not have a Financial Interest in an entity if: </w:t>
      </w:r>
    </w:p>
    <w:p w14:paraId="0DCF102F" w14:textId="77777777" w:rsidR="00402CED" w:rsidRPr="002D74AC" w:rsidRDefault="00402CED" w:rsidP="004E5571">
      <w:pPr>
        <w:numPr>
          <w:ilvl w:val="0"/>
          <w:numId w:val="43"/>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Restricted Entity, or a Director, Officer or controlling owner of the Restricted Entity also has a Financial Interest in the </w:t>
      </w:r>
      <w:proofErr w:type="gramStart"/>
      <w:r w:rsidRPr="002D74AC">
        <w:rPr>
          <w:rFonts w:asciiTheme="minorHAnsi" w:hAnsiTheme="minorHAnsi" w:cstheme="minorHAnsi"/>
          <w:color w:val="auto"/>
          <w:sz w:val="20"/>
          <w:szCs w:val="20"/>
        </w:rPr>
        <w:t>entity;</w:t>
      </w:r>
      <w:proofErr w:type="gramEnd"/>
      <w:r w:rsidRPr="002D74AC">
        <w:rPr>
          <w:rFonts w:asciiTheme="minorHAnsi" w:hAnsiTheme="minorHAnsi" w:cstheme="minorHAnsi"/>
          <w:color w:val="auto"/>
          <w:sz w:val="20"/>
          <w:szCs w:val="20"/>
        </w:rPr>
        <w:t xml:space="preserve"> </w:t>
      </w:r>
    </w:p>
    <w:p w14:paraId="5BAC870E" w14:textId="77777777" w:rsidR="00402CED" w:rsidRPr="002D74AC" w:rsidRDefault="00402CED" w:rsidP="004E5571">
      <w:pPr>
        <w:numPr>
          <w:ilvl w:val="0"/>
          <w:numId w:val="43"/>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interest is material to any of such co-investors; and </w:t>
      </w:r>
    </w:p>
    <w:p w14:paraId="04C615D5" w14:textId="77777777" w:rsidR="00402CED" w:rsidRPr="002D74AC" w:rsidRDefault="00402CED" w:rsidP="004E5571">
      <w:pPr>
        <w:numPr>
          <w:ilvl w:val="0"/>
          <w:numId w:val="43"/>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Restricted Entity can exercise Significant Influence over the entity.  </w:t>
      </w:r>
    </w:p>
    <w:p w14:paraId="3E403584" w14:textId="77777777" w:rsidR="00402CED" w:rsidRPr="002D74AC" w:rsidRDefault="00402CED" w:rsidP="004E5571">
      <w:pPr>
        <w:numPr>
          <w:ilvl w:val="0"/>
          <w:numId w:val="32"/>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lastRenderedPageBreak/>
        <w:t>Professional Staff who are members of the Audit Team should consider whether a self-interest threat is created if the Professional Staff member knows that an individual with whom he or she has a close personal relationship has a material Direct or material Indirect Financial Interest in that Restricted Entity. The significance of the threat should be evaluated and safeguards, approved by the Director of Independence, applied when necessary to eliminate the threat or reduce it to an acceptable level.</w:t>
      </w:r>
    </w:p>
    <w:p w14:paraId="4051D814" w14:textId="77777777" w:rsidR="00402CED" w:rsidRPr="002D74AC" w:rsidRDefault="00402CED" w:rsidP="00402CED">
      <w:pPr>
        <w:spacing w:before="120"/>
        <w:ind w:left="360"/>
        <w:rPr>
          <w:rFonts w:asciiTheme="minorHAnsi" w:hAnsiTheme="minorHAnsi" w:cstheme="minorHAnsi"/>
          <w:color w:val="auto"/>
          <w:sz w:val="20"/>
          <w:szCs w:val="20"/>
        </w:rPr>
      </w:pPr>
    </w:p>
    <w:p w14:paraId="1EDB49EA"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Covered Persons with respect to an SEC Restricted Entity</w:t>
      </w:r>
    </w:p>
    <w:p w14:paraId="5DAF56E5" w14:textId="77777777" w:rsidR="00402CED" w:rsidRPr="002D74AC" w:rsidRDefault="00402CED" w:rsidP="004E5571">
      <w:pPr>
        <w:numPr>
          <w:ilvl w:val="0"/>
          <w:numId w:val="3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and Immediate Family Members of such Covered Persons should not serve as a voting trustee of a trust, or executor of an estate, that holds the securities of such SEC Restricted Entity unless the firm or individual has no authority to make investment decisions for the trust or estate.</w:t>
      </w:r>
    </w:p>
    <w:p w14:paraId="2AA57492" w14:textId="77777777" w:rsidR="00402CED" w:rsidRPr="002D74AC" w:rsidRDefault="00402CED" w:rsidP="004E5571">
      <w:pPr>
        <w:numPr>
          <w:ilvl w:val="0"/>
          <w:numId w:val="3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who are Covered Persons with respect to an SEC Restricted Entity and the Immediate Family Members of such Covered Persons should not have any material Direct or Indirect Financial Interest in an entity over which that SEC Restricted Entity has the ability to exercise Significant Influence. </w:t>
      </w:r>
    </w:p>
    <w:p w14:paraId="2875D5AA" w14:textId="77777777" w:rsidR="00402CED" w:rsidRPr="002D74AC" w:rsidRDefault="00402CED" w:rsidP="004E5571">
      <w:pPr>
        <w:numPr>
          <w:ilvl w:val="0"/>
          <w:numId w:val="3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and the Immediate Family Members of such Covered Persons should not have the ability to exercise Significant Influence over an entity that has the ability to exercise Significant Influence over that SEC Restricted Entity.</w:t>
      </w:r>
    </w:p>
    <w:p w14:paraId="4B929F51" w14:textId="77777777" w:rsidR="00402CED" w:rsidRPr="002D74AC" w:rsidRDefault="00402CED" w:rsidP="004E5571">
      <w:pPr>
        <w:numPr>
          <w:ilvl w:val="0"/>
          <w:numId w:val="3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Close Family Members of Professional Staff who are Covered Persons with respect to the SEC Restricted Entity should not individually or collectively have beneficial ownership of more than five percent of an SEC Restricted Entity’s equity securities or control that SEC Restricted Entity.</w:t>
      </w:r>
    </w:p>
    <w:p w14:paraId="52F6C7FB" w14:textId="77777777" w:rsidR="00402CED" w:rsidRPr="002D74AC" w:rsidRDefault="00402CED" w:rsidP="00402CED">
      <w:pPr>
        <w:rPr>
          <w:rFonts w:asciiTheme="minorHAnsi" w:hAnsiTheme="minorHAnsi" w:cstheme="minorHAnsi"/>
          <w:b/>
          <w:color w:val="002060"/>
          <w:sz w:val="20"/>
          <w:szCs w:val="20"/>
        </w:rPr>
      </w:pPr>
    </w:p>
    <w:p w14:paraId="6062D50E" w14:textId="77777777" w:rsidR="00402CED" w:rsidRPr="002D74AC" w:rsidRDefault="00402CED" w:rsidP="00402CED">
      <w:pPr>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 xml:space="preserve">LOANS </w:t>
      </w:r>
    </w:p>
    <w:p w14:paraId="4A945101"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Members of the Audit Team</w:t>
      </w:r>
    </w:p>
    <w:p w14:paraId="36F461D0" w14:textId="77777777" w:rsidR="00402CED" w:rsidRPr="002D74AC" w:rsidRDefault="00402CED" w:rsidP="004E5571">
      <w:pPr>
        <w:numPr>
          <w:ilvl w:val="0"/>
          <w:numId w:val="33"/>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members of the Audit Team, and their Immediate Family Members, should not obtain a loan, or a guarantee of a loan, from a Restricted Entity unless (1) the loan is obtained from a financial institution, and (2) the loan is made under normal lending procedures, terms and requirements.</w:t>
      </w:r>
    </w:p>
    <w:p w14:paraId="58594938" w14:textId="77777777" w:rsidR="00402CED" w:rsidRPr="002D74AC" w:rsidRDefault="00402CED" w:rsidP="004E5571">
      <w:pPr>
        <w:numPr>
          <w:ilvl w:val="0"/>
          <w:numId w:val="33"/>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members of the Audit Team, and their Immediate Family Members, should not obtain from, or make a loan or guarantee to, a Restricted Entity that is not a financial institution, or the Officers, Directors or principal shareholders of such entity, unless the loan or guarantee is immaterial to the borrower and the lender.  If the loan is material to either the borrower or the lender, the Director of Independence should be consulted.</w:t>
      </w:r>
    </w:p>
    <w:p w14:paraId="745ACF51" w14:textId="77777777" w:rsidR="00402CED" w:rsidRPr="002D74AC" w:rsidRDefault="00402CED" w:rsidP="00402CED">
      <w:pPr>
        <w:spacing w:before="120"/>
        <w:ind w:left="360"/>
        <w:rPr>
          <w:rFonts w:asciiTheme="minorHAnsi" w:hAnsiTheme="minorHAnsi" w:cstheme="minorHAnsi"/>
          <w:color w:val="auto"/>
          <w:sz w:val="20"/>
          <w:szCs w:val="20"/>
        </w:rPr>
      </w:pPr>
    </w:p>
    <w:p w14:paraId="5AD05ECB" w14:textId="77777777" w:rsidR="00402CED" w:rsidRPr="002D74AC" w:rsidRDefault="00402CED" w:rsidP="00402CED">
      <w:pPr>
        <w:spacing w:before="120"/>
        <w:ind w:left="360"/>
        <w:rPr>
          <w:rFonts w:asciiTheme="minorHAnsi" w:hAnsiTheme="minorHAnsi" w:cstheme="minorHAnsi"/>
          <w:color w:val="auto"/>
          <w:sz w:val="20"/>
          <w:szCs w:val="20"/>
        </w:rPr>
      </w:pPr>
    </w:p>
    <w:p w14:paraId="06D18211" w14:textId="77777777" w:rsidR="00402CED" w:rsidRPr="002D74AC" w:rsidRDefault="00402CED" w:rsidP="00402CED">
      <w:pPr>
        <w:spacing w:before="120"/>
        <w:ind w:left="360"/>
        <w:rPr>
          <w:rFonts w:asciiTheme="minorHAnsi" w:hAnsiTheme="minorHAnsi" w:cstheme="minorHAnsi"/>
          <w:color w:val="auto"/>
          <w:sz w:val="20"/>
          <w:szCs w:val="20"/>
        </w:rPr>
      </w:pPr>
    </w:p>
    <w:p w14:paraId="2E77845E"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Covered Persons with respect to an SEC Restricted Entity</w:t>
      </w:r>
    </w:p>
    <w:p w14:paraId="3A1DDAD9" w14:textId="77777777" w:rsidR="00402CED" w:rsidRPr="002D74AC" w:rsidRDefault="00402CED" w:rsidP="004E5571">
      <w:pPr>
        <w:numPr>
          <w:ilvl w:val="0"/>
          <w:numId w:val="3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and Immediate Family Members of such Covered Persons should not have a loan from that SEC Restricted Entity, or its officers, directors, or record or beneficial owners of more than 10 percent of the relevant entity’s equity securities, unless the loan is obtained from a financial institution under its normal lending procedures, terms and requirements and is one of the following:</w:t>
      </w:r>
    </w:p>
    <w:p w14:paraId="2661825D" w14:textId="77777777" w:rsidR="00402CED" w:rsidRPr="002D74AC" w:rsidRDefault="00402CED" w:rsidP="004E5571">
      <w:pPr>
        <w:numPr>
          <w:ilvl w:val="0"/>
          <w:numId w:val="4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A car loan or lease secured by the </w:t>
      </w:r>
      <w:proofErr w:type="gramStart"/>
      <w:r w:rsidRPr="002D74AC">
        <w:rPr>
          <w:rFonts w:asciiTheme="minorHAnsi" w:hAnsiTheme="minorHAnsi" w:cstheme="minorHAnsi"/>
          <w:color w:val="auto"/>
          <w:sz w:val="20"/>
          <w:szCs w:val="20"/>
        </w:rPr>
        <w:t>car;</w:t>
      </w:r>
      <w:proofErr w:type="gramEnd"/>
    </w:p>
    <w:p w14:paraId="05D2E0DD" w14:textId="77777777" w:rsidR="00402CED" w:rsidRPr="002D74AC" w:rsidRDefault="00402CED" w:rsidP="004E5571">
      <w:pPr>
        <w:numPr>
          <w:ilvl w:val="0"/>
          <w:numId w:val="4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A loan fully secured by the cash surrender value of an insurance </w:t>
      </w:r>
      <w:proofErr w:type="gramStart"/>
      <w:r w:rsidRPr="002D74AC">
        <w:rPr>
          <w:rFonts w:asciiTheme="minorHAnsi" w:hAnsiTheme="minorHAnsi" w:cstheme="minorHAnsi"/>
          <w:color w:val="auto"/>
          <w:sz w:val="20"/>
          <w:szCs w:val="20"/>
        </w:rPr>
        <w:t>policy;</w:t>
      </w:r>
      <w:proofErr w:type="gramEnd"/>
    </w:p>
    <w:p w14:paraId="06091ECF" w14:textId="77777777" w:rsidR="00402CED" w:rsidRPr="002D74AC" w:rsidRDefault="00402CED" w:rsidP="004E5571">
      <w:pPr>
        <w:numPr>
          <w:ilvl w:val="0"/>
          <w:numId w:val="4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A loan fully secured by cash deposits at the same financial </w:t>
      </w:r>
      <w:proofErr w:type="gramStart"/>
      <w:r w:rsidRPr="002D74AC">
        <w:rPr>
          <w:rFonts w:asciiTheme="minorHAnsi" w:hAnsiTheme="minorHAnsi" w:cstheme="minorHAnsi"/>
          <w:color w:val="auto"/>
          <w:sz w:val="20"/>
          <w:szCs w:val="20"/>
        </w:rPr>
        <w:t>institution;</w:t>
      </w:r>
      <w:proofErr w:type="gramEnd"/>
    </w:p>
    <w:p w14:paraId="26EF983C" w14:textId="77777777" w:rsidR="00402CED" w:rsidRPr="002D74AC" w:rsidRDefault="00402CED" w:rsidP="004E5571">
      <w:pPr>
        <w:numPr>
          <w:ilvl w:val="0"/>
          <w:numId w:val="4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lastRenderedPageBreak/>
        <w:t xml:space="preserve">A mortgage loan secured by the borrower’s primary residence provided the loan was obtained before the individual became a Covered Person with respect to that SEC Restricted Entity or before the entity became an SEC Restricted </w:t>
      </w:r>
      <w:proofErr w:type="gramStart"/>
      <w:r w:rsidRPr="002D74AC">
        <w:rPr>
          <w:rFonts w:asciiTheme="minorHAnsi" w:hAnsiTheme="minorHAnsi" w:cstheme="minorHAnsi"/>
          <w:color w:val="auto"/>
          <w:sz w:val="20"/>
          <w:szCs w:val="20"/>
        </w:rPr>
        <w:t>Entity;</w:t>
      </w:r>
      <w:proofErr w:type="gramEnd"/>
    </w:p>
    <w:p w14:paraId="50AFEFA4" w14:textId="77777777" w:rsidR="00402CED" w:rsidRPr="002D74AC" w:rsidRDefault="00402CED" w:rsidP="004E5571">
      <w:pPr>
        <w:numPr>
          <w:ilvl w:val="0"/>
          <w:numId w:val="4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A credit card balance where the aggregate outstanding balance is reduced to US$10,000, or equivalent, or less on a current basis taking into consideration the payment due date and any available grace </w:t>
      </w:r>
      <w:proofErr w:type="gramStart"/>
      <w:r w:rsidRPr="002D74AC">
        <w:rPr>
          <w:rFonts w:asciiTheme="minorHAnsi" w:hAnsiTheme="minorHAnsi" w:cstheme="minorHAnsi"/>
          <w:color w:val="auto"/>
          <w:sz w:val="20"/>
          <w:szCs w:val="20"/>
        </w:rPr>
        <w:t>period;</w:t>
      </w:r>
      <w:proofErr w:type="gramEnd"/>
    </w:p>
    <w:p w14:paraId="0889491D" w14:textId="77777777" w:rsidR="00402CED" w:rsidRPr="002D74AC" w:rsidRDefault="00402CED" w:rsidP="004E5571">
      <w:pPr>
        <w:numPr>
          <w:ilvl w:val="0"/>
          <w:numId w:val="4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A loan that is grandfathered under paragraph 2.40 of DPM 1420.</w:t>
      </w:r>
    </w:p>
    <w:p w14:paraId="15C68B8B" w14:textId="77777777" w:rsidR="00402CED" w:rsidRPr="002D74AC" w:rsidRDefault="00402CED" w:rsidP="004E5571">
      <w:pPr>
        <w:numPr>
          <w:ilvl w:val="0"/>
          <w:numId w:val="34"/>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and Immediate Family Members of such Covered Persons should not make a loan to an SEC Restricted Entity or that entity’s officers, directors, or record or beneficial owners of more than 10 percent of the entity’s equity securities.</w:t>
      </w:r>
    </w:p>
    <w:p w14:paraId="7CE41B33" w14:textId="77777777" w:rsidR="00402CED" w:rsidRPr="002D74AC" w:rsidRDefault="00402CED" w:rsidP="00402CED">
      <w:pPr>
        <w:spacing w:before="120"/>
        <w:ind w:left="360"/>
        <w:rPr>
          <w:rFonts w:asciiTheme="minorHAnsi" w:hAnsiTheme="minorHAnsi" w:cstheme="minorHAnsi"/>
          <w:color w:val="auto"/>
          <w:sz w:val="20"/>
          <w:szCs w:val="20"/>
        </w:rPr>
      </w:pPr>
    </w:p>
    <w:p w14:paraId="55F46D36" w14:textId="77777777" w:rsidR="00402CED" w:rsidRPr="002D74AC" w:rsidRDefault="00402CED" w:rsidP="00402CED">
      <w:pPr>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ACCOUNTS WITH FINANCIAL INSTITUTIONS (Bank Accounts, Securities Accounts and Other Accounts)</w:t>
      </w:r>
    </w:p>
    <w:p w14:paraId="1D0E89DC" w14:textId="77777777" w:rsidR="00402CED" w:rsidRPr="002D74AC" w:rsidRDefault="00402CED" w:rsidP="00402CED">
      <w:pPr>
        <w:rPr>
          <w:rFonts w:asciiTheme="minorHAnsi" w:hAnsiTheme="minorHAnsi" w:cstheme="minorHAnsi"/>
          <w:b/>
          <w:i/>
          <w:color w:val="002060"/>
          <w:sz w:val="20"/>
          <w:szCs w:val="20"/>
        </w:rPr>
      </w:pPr>
      <w:r w:rsidRPr="002D74AC">
        <w:rPr>
          <w:rFonts w:asciiTheme="minorHAnsi" w:hAnsiTheme="minorHAnsi" w:cstheme="minorHAnsi"/>
          <w:b/>
          <w:i/>
          <w:color w:val="00B0F0"/>
          <w:sz w:val="20"/>
          <w:szCs w:val="20"/>
        </w:rPr>
        <w:t>Policies Applicable to Professional Staff who are Members of the Audit Team</w:t>
      </w:r>
    </w:p>
    <w:p w14:paraId="51CB7D36" w14:textId="77777777" w:rsidR="00402CED" w:rsidRPr="002D74AC" w:rsidRDefault="00402CED" w:rsidP="004E5571">
      <w:pPr>
        <w:numPr>
          <w:ilvl w:val="0"/>
          <w:numId w:val="35"/>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members of an Audit Team and Immediate Family Members of such individuals should not make deposits or have Securities Accounts with a Restricted Entity that is a financial institution unless the deposit or account is held under normal commercial terms.</w:t>
      </w:r>
    </w:p>
    <w:p w14:paraId="068F549E" w14:textId="77777777" w:rsidR="00402CED" w:rsidRPr="002D74AC" w:rsidRDefault="00402CED" w:rsidP="00402CED">
      <w:pPr>
        <w:spacing w:before="120"/>
        <w:ind w:left="360"/>
        <w:rPr>
          <w:rFonts w:asciiTheme="minorHAnsi" w:hAnsiTheme="minorHAnsi" w:cstheme="minorHAnsi"/>
          <w:color w:val="auto"/>
          <w:sz w:val="20"/>
          <w:szCs w:val="20"/>
        </w:rPr>
      </w:pPr>
    </w:p>
    <w:p w14:paraId="43ADD643"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Covered Persons with respect to an SEC Restricted Entity</w:t>
      </w:r>
    </w:p>
    <w:p w14:paraId="7F01B043" w14:textId="77777777" w:rsidR="00402CED" w:rsidRPr="002D74AC" w:rsidRDefault="00402CED" w:rsidP="004E5571">
      <w:pPr>
        <w:numPr>
          <w:ilvl w:val="0"/>
          <w:numId w:val="35"/>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and Immediate Family Members of such Covered Persons should not have any savings, checking, or similar accounts, or deposit (e.g., certificates of deposit, fixed deposit, time deposit etc.) at a bank, savings and loan, or similar institution that is an SEC Restricted Entity, unless the balance in the account is at all times fully insured by the U.S. Federal Deposit Insurance Corporation or a non-U.S. equivalent.</w:t>
      </w:r>
      <w:r w:rsidRPr="002D74AC">
        <w:rPr>
          <w:rFonts w:asciiTheme="minorHAnsi" w:hAnsiTheme="minorHAnsi" w:cstheme="minorHAnsi"/>
          <w:color w:val="auto"/>
          <w:sz w:val="20"/>
          <w:szCs w:val="20"/>
        </w:rPr>
        <w:br/>
        <w:t>Accordingly, such Covered Persons are required to understand whether there is deposit insurance in their jurisdiction, and if so, how deposit insurance is applied.</w:t>
      </w:r>
    </w:p>
    <w:p w14:paraId="7ED3F811" w14:textId="77777777" w:rsidR="00402CED" w:rsidRPr="002D74AC" w:rsidRDefault="00402CED" w:rsidP="004E5571">
      <w:pPr>
        <w:numPr>
          <w:ilvl w:val="0"/>
          <w:numId w:val="35"/>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and Immediate Family Members of such Covered Persons should not have a Securities Account or similar account maintained with a broker-dealer that is an SEC Restricted Entity if:</w:t>
      </w:r>
    </w:p>
    <w:p w14:paraId="24E09C96" w14:textId="77777777" w:rsidR="00402CED" w:rsidRPr="002D74AC" w:rsidRDefault="00402CED" w:rsidP="004E5571">
      <w:pPr>
        <w:numPr>
          <w:ilvl w:val="0"/>
          <w:numId w:val="45"/>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The account includes any asset other than cash or securities within the meaning of “security” provided in the U.S. Securities Investor Protection Act of 1970 (SIPA</w:t>
      </w:r>
      <w:proofErr w:type="gramStart"/>
      <w:r w:rsidRPr="002D74AC">
        <w:rPr>
          <w:rFonts w:asciiTheme="minorHAnsi" w:hAnsiTheme="minorHAnsi" w:cstheme="minorHAnsi"/>
          <w:color w:val="auto"/>
          <w:sz w:val="20"/>
          <w:szCs w:val="20"/>
        </w:rPr>
        <w:t>);</w:t>
      </w:r>
      <w:proofErr w:type="gramEnd"/>
      <w:r w:rsidRPr="002D74AC">
        <w:rPr>
          <w:rFonts w:asciiTheme="minorHAnsi" w:hAnsiTheme="minorHAnsi" w:cstheme="minorHAnsi"/>
          <w:color w:val="auto"/>
          <w:sz w:val="20"/>
          <w:szCs w:val="20"/>
        </w:rPr>
        <w:t xml:space="preserve"> </w:t>
      </w:r>
    </w:p>
    <w:p w14:paraId="57E3FC6F" w14:textId="77777777" w:rsidR="00402CED" w:rsidRPr="002D74AC" w:rsidRDefault="00402CED" w:rsidP="004E5571">
      <w:pPr>
        <w:numPr>
          <w:ilvl w:val="0"/>
          <w:numId w:val="45"/>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value of assets in the account exceeds the amount that is subject to a Securities Investor Protection Corporation advance, for those accounts, under Section 9 of SIPA; or </w:t>
      </w:r>
    </w:p>
    <w:p w14:paraId="60581546" w14:textId="77777777" w:rsidR="00402CED" w:rsidRPr="002D74AC" w:rsidRDefault="00402CED" w:rsidP="004E5571">
      <w:pPr>
        <w:numPr>
          <w:ilvl w:val="0"/>
          <w:numId w:val="45"/>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The account is a non-U.S. account not subject to SIPA protection and the value of assets in the account exceeds the amount insured or protected by a program similar to SIPA. Accordingly, such Covered Persons are required to understand whether there is such insurance or protection in their jurisdiction, and if so, how such insurance or protection is applied.</w:t>
      </w:r>
    </w:p>
    <w:p w14:paraId="2E350E4D" w14:textId="77777777" w:rsidR="00402CED" w:rsidRPr="002D74AC" w:rsidRDefault="00402CED" w:rsidP="00402CED">
      <w:pPr>
        <w:tabs>
          <w:tab w:val="left" w:pos="360"/>
        </w:tabs>
        <w:spacing w:before="120"/>
        <w:ind w:left="360"/>
        <w:rPr>
          <w:rFonts w:asciiTheme="minorHAnsi" w:hAnsiTheme="minorHAnsi" w:cstheme="minorHAnsi"/>
          <w:color w:val="auto"/>
          <w:sz w:val="20"/>
          <w:szCs w:val="20"/>
        </w:rPr>
      </w:pPr>
      <w:r w:rsidRPr="002D74AC">
        <w:rPr>
          <w:rFonts w:asciiTheme="minorHAnsi" w:hAnsiTheme="minorHAnsi" w:cstheme="minorHAnsi"/>
          <w:color w:val="auto"/>
          <w:sz w:val="20"/>
          <w:szCs w:val="20"/>
        </w:rPr>
        <w:t>In some countries, the account is protected by law.  Consult with the Director of Independence if there is any doubt whether a Securities Account may be maintained.</w:t>
      </w:r>
    </w:p>
    <w:p w14:paraId="44725AB7" w14:textId="77777777" w:rsidR="00402CED" w:rsidRPr="002D74AC" w:rsidRDefault="00402CED" w:rsidP="004E5571">
      <w:pPr>
        <w:numPr>
          <w:ilvl w:val="0"/>
          <w:numId w:val="36"/>
        </w:numPr>
        <w:spacing w:before="120" w:after="24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or Immediate Family Members of such Covered Persons should not have any futures accounts, commodity accounts, or similar accounts maintained with a futures commission merchant that is an SEC Restricted Entity.</w:t>
      </w:r>
    </w:p>
    <w:p w14:paraId="720F07E7" w14:textId="77777777" w:rsidR="00402CED" w:rsidRPr="002D74AC" w:rsidRDefault="00402CED" w:rsidP="00402CED">
      <w:pPr>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INSURANCE PRODUCTS</w:t>
      </w:r>
    </w:p>
    <w:p w14:paraId="45AF1890" w14:textId="77777777" w:rsidR="00402CED" w:rsidRPr="002D74AC" w:rsidRDefault="00402CED" w:rsidP="004E5571">
      <w:pPr>
        <w:numPr>
          <w:ilvl w:val="0"/>
          <w:numId w:val="36"/>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lastRenderedPageBreak/>
        <w:t>Professional Staff, who provide Professional Services to a Restricted Entity and their Immediate Family Members should not have insurance products with such Restricted Entity unless they are under normal commercial terms.  If insurance products have an investment element, independence issues may arise; therefore, before working on the engagement, the Director of Independence should be consulted.</w:t>
      </w:r>
    </w:p>
    <w:p w14:paraId="694E18AA" w14:textId="77777777" w:rsidR="00402CED" w:rsidRPr="002D74AC" w:rsidRDefault="00402CED" w:rsidP="00402CED">
      <w:pPr>
        <w:spacing w:before="120"/>
        <w:ind w:left="360"/>
        <w:rPr>
          <w:rFonts w:asciiTheme="minorHAnsi" w:hAnsiTheme="minorHAnsi" w:cstheme="minorHAnsi"/>
          <w:color w:val="auto"/>
          <w:sz w:val="20"/>
          <w:szCs w:val="20"/>
        </w:rPr>
      </w:pPr>
    </w:p>
    <w:p w14:paraId="74150F1E"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Covered Persons with respect to an SEC Restricted Entity</w:t>
      </w:r>
    </w:p>
    <w:p w14:paraId="66F1D82C" w14:textId="77777777" w:rsidR="00402CED" w:rsidRPr="002D74AC" w:rsidRDefault="00402CED" w:rsidP="004E5571">
      <w:pPr>
        <w:numPr>
          <w:ilvl w:val="0"/>
          <w:numId w:val="36"/>
        </w:numPr>
        <w:spacing w:before="120"/>
        <w:rPr>
          <w:rFonts w:asciiTheme="minorHAnsi" w:hAnsiTheme="minorHAnsi" w:cstheme="minorHAnsi"/>
          <w:b/>
          <w:color w:val="auto"/>
          <w:sz w:val="20"/>
          <w:szCs w:val="20"/>
          <w:u w:val="single"/>
        </w:rPr>
      </w:pPr>
      <w:r w:rsidRPr="002D74AC">
        <w:rPr>
          <w:rFonts w:asciiTheme="minorHAnsi" w:hAnsiTheme="minorHAnsi" w:cstheme="minorHAnsi"/>
          <w:color w:val="auto"/>
          <w:sz w:val="20"/>
          <w:szCs w:val="20"/>
        </w:rPr>
        <w:t xml:space="preserve">Professional Staff who are Covered Persons with respect to an SEC Restricted Entity and their Immediate Family Members should not obtain an individual insurance policy from an SEC Restricted Entity.  An individual may retain an insurance policy as long as (1) it was obtained before the individual became a Covered Person with respect to that SEC Restricted Entity,  (2) no significant changes to the policy are made by the individual after becoming a Covered Person, and (3) the likelihood of the SEC Restricted Entity becoming insolvent is remote.  </w:t>
      </w:r>
    </w:p>
    <w:p w14:paraId="66FF0DF0" w14:textId="77777777" w:rsidR="00402CED" w:rsidRPr="002D74AC" w:rsidRDefault="00402CED" w:rsidP="00402CED">
      <w:pPr>
        <w:rPr>
          <w:rFonts w:asciiTheme="minorHAnsi" w:hAnsiTheme="minorHAnsi" w:cstheme="minorHAnsi"/>
          <w:b/>
          <w:color w:val="002060"/>
          <w:sz w:val="20"/>
          <w:szCs w:val="20"/>
        </w:rPr>
      </w:pPr>
    </w:p>
    <w:p w14:paraId="61C696FD" w14:textId="77777777" w:rsidR="00402CED" w:rsidRPr="002D74AC" w:rsidRDefault="00402CED" w:rsidP="00402CED">
      <w:pPr>
        <w:rPr>
          <w:rFonts w:asciiTheme="minorHAnsi" w:hAnsiTheme="minorHAnsi" w:cstheme="minorHAnsi"/>
          <w:b/>
          <w:color w:val="00B0F0"/>
          <w:sz w:val="20"/>
          <w:szCs w:val="20"/>
          <w:u w:val="single"/>
        </w:rPr>
      </w:pPr>
      <w:r w:rsidRPr="002D74AC">
        <w:rPr>
          <w:rFonts w:asciiTheme="minorHAnsi" w:hAnsiTheme="minorHAnsi" w:cstheme="minorHAnsi"/>
          <w:b/>
          <w:color w:val="00B0F0"/>
          <w:sz w:val="20"/>
          <w:szCs w:val="20"/>
        </w:rPr>
        <w:t xml:space="preserve">DIRECTOR/OFFICER POSITIONS </w:t>
      </w:r>
    </w:p>
    <w:p w14:paraId="1A9B49D8" w14:textId="77777777" w:rsidR="00402CED" w:rsidRPr="002D74AC" w:rsidRDefault="00402CED" w:rsidP="004E5571">
      <w:pPr>
        <w:numPr>
          <w:ilvl w:val="0"/>
          <w:numId w:val="36"/>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should not serve as an officer or a director on the board or similar management or governing body of a Restricted Entity.   </w:t>
      </w:r>
    </w:p>
    <w:p w14:paraId="526CA674" w14:textId="77777777" w:rsidR="00402CED" w:rsidRPr="002D74AC" w:rsidRDefault="00402CED" w:rsidP="00402CED">
      <w:pPr>
        <w:rPr>
          <w:rFonts w:asciiTheme="minorHAnsi" w:hAnsiTheme="minorHAnsi" w:cstheme="minorHAnsi"/>
          <w:b/>
          <w:color w:val="002060"/>
          <w:sz w:val="20"/>
          <w:szCs w:val="20"/>
        </w:rPr>
      </w:pPr>
    </w:p>
    <w:p w14:paraId="2D3A98D1" w14:textId="77777777" w:rsidR="00402CED" w:rsidRPr="002D74AC" w:rsidRDefault="00402CED" w:rsidP="00402CED">
      <w:pPr>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 xml:space="preserve">EMPLOYMENT </w:t>
      </w:r>
    </w:p>
    <w:p w14:paraId="3C055A40" w14:textId="77777777" w:rsidR="00402CED" w:rsidRPr="002D74AC" w:rsidRDefault="00402CED" w:rsidP="004E5571">
      <w:pPr>
        <w:numPr>
          <w:ilvl w:val="0"/>
          <w:numId w:val="38"/>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who during the period covered by the audit report (1) served as Officers or Directors of a Restricted Entity or (2) were employed by such entity in a position to exert significant influence over the preparation of the Restricted Entity’s accounting records or financial statements should not become a member of the Audit Team for such Restricted Entity.   </w:t>
      </w:r>
    </w:p>
    <w:p w14:paraId="3464184D" w14:textId="77777777" w:rsidR="00402CED" w:rsidRPr="002D74AC" w:rsidRDefault="00402CED" w:rsidP="00402CED">
      <w:pPr>
        <w:spacing w:before="120"/>
        <w:ind w:left="360"/>
        <w:rPr>
          <w:rFonts w:asciiTheme="minorHAnsi" w:hAnsiTheme="minorHAnsi" w:cstheme="minorHAnsi"/>
          <w:sz w:val="20"/>
          <w:szCs w:val="20"/>
        </w:rPr>
      </w:pPr>
    </w:p>
    <w:p w14:paraId="7F050DA6"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Members of the Audit Team</w:t>
      </w:r>
    </w:p>
    <w:p w14:paraId="7FE984AC" w14:textId="77777777" w:rsidR="00402CED" w:rsidRPr="002D74AC" w:rsidRDefault="00402CED" w:rsidP="004E5571">
      <w:pPr>
        <w:numPr>
          <w:ilvl w:val="0"/>
          <w:numId w:val="37"/>
        </w:numPr>
        <w:spacing w:before="120"/>
        <w:rPr>
          <w:rFonts w:asciiTheme="minorHAnsi" w:hAnsiTheme="minorHAnsi" w:cstheme="minorHAnsi"/>
          <w:b/>
          <w:i/>
          <w:color w:val="auto"/>
          <w:sz w:val="20"/>
          <w:szCs w:val="20"/>
        </w:rPr>
      </w:pPr>
      <w:r w:rsidRPr="002D74AC">
        <w:rPr>
          <w:rFonts w:asciiTheme="minorHAnsi" w:hAnsiTheme="minorHAnsi" w:cstheme="minorHAnsi"/>
          <w:color w:val="auto"/>
          <w:sz w:val="20"/>
          <w:szCs w:val="20"/>
        </w:rPr>
        <w:t>Professional Staff who are members of the Audit Team with respect to a Restricted Entity should not be employed by that Restricted Entity.</w:t>
      </w:r>
    </w:p>
    <w:p w14:paraId="3C93C5ED" w14:textId="77777777" w:rsidR="00402CED" w:rsidRPr="002D74AC" w:rsidRDefault="00402CED" w:rsidP="00402CED">
      <w:pPr>
        <w:spacing w:before="120"/>
        <w:ind w:left="360"/>
        <w:rPr>
          <w:rFonts w:asciiTheme="minorHAnsi" w:hAnsiTheme="minorHAnsi" w:cstheme="minorHAnsi"/>
          <w:b/>
          <w:i/>
          <w:sz w:val="20"/>
          <w:szCs w:val="20"/>
        </w:rPr>
      </w:pPr>
      <w:r w:rsidRPr="002D74AC">
        <w:rPr>
          <w:rFonts w:asciiTheme="minorHAnsi" w:hAnsiTheme="minorHAnsi" w:cstheme="minorHAnsi"/>
          <w:sz w:val="20"/>
          <w:szCs w:val="20"/>
        </w:rPr>
        <w:t xml:space="preserve"> </w:t>
      </w:r>
    </w:p>
    <w:p w14:paraId="0C1CF04A"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All Professional Staff with respect to an SEC Restricted Entity</w:t>
      </w:r>
    </w:p>
    <w:p w14:paraId="4D3AFC88" w14:textId="77777777" w:rsidR="00402CED" w:rsidRPr="002D74AC" w:rsidRDefault="00402CED" w:rsidP="004E5571">
      <w:pPr>
        <w:numPr>
          <w:ilvl w:val="0"/>
          <w:numId w:val="39"/>
        </w:numPr>
        <w:spacing w:before="120"/>
        <w:rPr>
          <w:rFonts w:asciiTheme="minorHAnsi" w:hAnsiTheme="minorHAnsi" w:cstheme="minorHAnsi"/>
          <w:b/>
          <w:i/>
          <w:color w:val="auto"/>
          <w:sz w:val="20"/>
          <w:szCs w:val="20"/>
        </w:rPr>
      </w:pPr>
      <w:r w:rsidRPr="002D74AC">
        <w:rPr>
          <w:rFonts w:asciiTheme="minorHAnsi" w:hAnsiTheme="minorHAnsi" w:cstheme="minorHAnsi"/>
          <w:color w:val="auto"/>
          <w:sz w:val="20"/>
          <w:szCs w:val="20"/>
        </w:rPr>
        <w:t xml:space="preserve">Professional Staff are prohibited from acting as an employee, either permanently or temporarily, of an SEC Restricted Entity while being employed by a Member Firm at the same time.  </w:t>
      </w:r>
    </w:p>
    <w:p w14:paraId="6AF6C957" w14:textId="77777777" w:rsidR="00402CED" w:rsidRPr="002D74AC" w:rsidRDefault="00402CED" w:rsidP="004E5571">
      <w:pPr>
        <w:numPr>
          <w:ilvl w:val="0"/>
          <w:numId w:val="3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If a Professional Staff member joins an SEC Restricted Entity in an Accounting Role or Financial Reporting Oversight Role, independence may be impaired.  (See paras. 3.19 – 3.21 of DPM 1420).</w:t>
      </w:r>
    </w:p>
    <w:p w14:paraId="189709F1" w14:textId="77777777" w:rsidR="00402CED" w:rsidRPr="002D74AC" w:rsidRDefault="00402CED" w:rsidP="004E5571">
      <w:pPr>
        <w:numPr>
          <w:ilvl w:val="0"/>
          <w:numId w:val="3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who have served as officers, directors or employees of an SEC Restricted Entity are prohibited from participating in, or being in a position to influence, the audit of the financial statements of the SEC Restricted Entity covering any period during which the individual was employed by or associated with that SEC Restricted Entity.  </w:t>
      </w:r>
    </w:p>
    <w:p w14:paraId="7565156D" w14:textId="77777777" w:rsidR="00402CED" w:rsidRPr="002D74AC" w:rsidRDefault="00402CED" w:rsidP="00402CED">
      <w:pPr>
        <w:spacing w:before="120"/>
        <w:ind w:left="360"/>
        <w:rPr>
          <w:rFonts w:asciiTheme="minorHAnsi" w:hAnsiTheme="minorHAnsi" w:cstheme="minorHAnsi"/>
          <w:color w:val="auto"/>
          <w:sz w:val="20"/>
          <w:szCs w:val="20"/>
        </w:rPr>
      </w:pPr>
    </w:p>
    <w:p w14:paraId="41F3DD40"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Covered Persons with respect to an SEC Restricted Entity</w:t>
      </w:r>
    </w:p>
    <w:p w14:paraId="437BB465" w14:textId="77777777" w:rsidR="00402CED" w:rsidRPr="002D74AC" w:rsidRDefault="00402CED" w:rsidP="004E5571">
      <w:pPr>
        <w:numPr>
          <w:ilvl w:val="0"/>
          <w:numId w:val="3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who are Covered Persons with respect to an SEC Restricted Entity should promptly advise the Director of Independence when engaged in employment negotiations with that SEC Restricted Entity.</w:t>
      </w:r>
    </w:p>
    <w:p w14:paraId="7BC45FDA" w14:textId="77777777" w:rsidR="00402CED" w:rsidRPr="002D74AC" w:rsidRDefault="00402CED" w:rsidP="00402CED">
      <w:pPr>
        <w:spacing w:before="120"/>
        <w:ind w:left="360"/>
        <w:rPr>
          <w:rFonts w:asciiTheme="minorHAnsi" w:hAnsiTheme="minorHAnsi" w:cstheme="minorHAnsi"/>
          <w:color w:val="auto"/>
          <w:sz w:val="20"/>
          <w:szCs w:val="20"/>
        </w:rPr>
      </w:pPr>
    </w:p>
    <w:p w14:paraId="379E343E" w14:textId="77777777" w:rsidR="00402CED" w:rsidRPr="002D74AC" w:rsidRDefault="00402CED" w:rsidP="00402CED">
      <w:pPr>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 xml:space="preserve">EMPLOYMENT OF A RELATIVE OR OTHERS </w:t>
      </w:r>
    </w:p>
    <w:p w14:paraId="4B4706B7" w14:textId="77777777" w:rsidR="00402CED" w:rsidRPr="002D74AC" w:rsidRDefault="00402CED" w:rsidP="004E5571">
      <w:pPr>
        <w:numPr>
          <w:ilvl w:val="0"/>
          <w:numId w:val="39"/>
        </w:numPr>
        <w:spacing w:before="120"/>
        <w:rPr>
          <w:rFonts w:asciiTheme="minorHAnsi" w:hAnsiTheme="minorHAnsi" w:cstheme="minorHAnsi"/>
          <w:b/>
          <w:i/>
          <w:color w:val="auto"/>
          <w:sz w:val="20"/>
          <w:szCs w:val="20"/>
        </w:rPr>
      </w:pPr>
      <w:r w:rsidRPr="002D74AC">
        <w:rPr>
          <w:rFonts w:asciiTheme="minorHAnsi" w:hAnsiTheme="minorHAnsi" w:cstheme="minorHAnsi"/>
          <w:color w:val="auto"/>
          <w:sz w:val="20"/>
          <w:szCs w:val="20"/>
        </w:rPr>
        <w:t xml:space="preserve">Professional Staff are responsible for (1) identifying any personal or family relationships that could threaten independence because the individual is a Director, an Officer or an employee of the Restricted Entity in a position to exert significant influence over the preparation of the </w:t>
      </w:r>
      <w:r w:rsidRPr="002D74AC">
        <w:rPr>
          <w:rFonts w:asciiTheme="minorHAnsi" w:hAnsiTheme="minorHAnsi" w:cstheme="minorHAnsi"/>
          <w:color w:val="auto"/>
          <w:sz w:val="20"/>
          <w:szCs w:val="20"/>
        </w:rPr>
        <w:lastRenderedPageBreak/>
        <w:t xml:space="preserve">Restricted Entity’s accounting records or financial statements, and (2) consulting the Client Service Partner responsible for the Engagement or the Director of Independence.  </w:t>
      </w:r>
    </w:p>
    <w:p w14:paraId="7ED96C4C" w14:textId="77777777" w:rsidR="00402CED" w:rsidRPr="002D74AC" w:rsidRDefault="00402CED" w:rsidP="004E5571">
      <w:pPr>
        <w:numPr>
          <w:ilvl w:val="0"/>
          <w:numId w:val="3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should not be members of an Audit Team if an Immediate Family Member of the Professional Staff member is a Director, an Officer or an employee of the Restricted Entity in a position to exert significant influence over the preparation of the Restricted Entity’s accounting records or financial </w:t>
      </w:r>
      <w:proofErr w:type="gramStart"/>
      <w:r w:rsidRPr="002D74AC">
        <w:rPr>
          <w:rFonts w:asciiTheme="minorHAnsi" w:hAnsiTheme="minorHAnsi" w:cstheme="minorHAnsi"/>
          <w:color w:val="auto"/>
          <w:sz w:val="20"/>
          <w:szCs w:val="20"/>
        </w:rPr>
        <w:t>statements, or</w:t>
      </w:r>
      <w:proofErr w:type="gramEnd"/>
      <w:r w:rsidRPr="002D74AC">
        <w:rPr>
          <w:rFonts w:asciiTheme="minorHAnsi" w:hAnsiTheme="minorHAnsi" w:cstheme="minorHAnsi"/>
          <w:color w:val="auto"/>
          <w:sz w:val="20"/>
          <w:szCs w:val="20"/>
        </w:rPr>
        <w:t xml:space="preserve"> was in such a position during any period covered by the Engagement or the financial statements. </w:t>
      </w:r>
    </w:p>
    <w:p w14:paraId="761CAD4C" w14:textId="77777777" w:rsidR="00402CED" w:rsidRPr="002D74AC" w:rsidRDefault="00402CED" w:rsidP="004E5571">
      <w:pPr>
        <w:numPr>
          <w:ilvl w:val="0"/>
          <w:numId w:val="3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should not become a Covered Person with respect to an SEC Restricted Entity when an Immediate Family Member or a Close Family Member of the Professional Staff member is in an Accounting Role or Financial Reporting Oversight Role at the SEC Restricted Entity, or was in such a role during any period covered by an audit for which the Covered Person is a Covered Person with respect to that SEC Restricted Entity.</w:t>
      </w:r>
    </w:p>
    <w:p w14:paraId="45312908" w14:textId="77777777" w:rsidR="00402CED" w:rsidRPr="002D74AC" w:rsidRDefault="00402CED" w:rsidP="00402CED">
      <w:pPr>
        <w:spacing w:before="120"/>
        <w:ind w:left="360"/>
        <w:rPr>
          <w:rFonts w:asciiTheme="minorHAnsi" w:hAnsiTheme="minorHAnsi" w:cstheme="minorHAnsi"/>
          <w:color w:val="auto"/>
          <w:sz w:val="20"/>
          <w:szCs w:val="20"/>
        </w:rPr>
      </w:pPr>
    </w:p>
    <w:p w14:paraId="09FFEB74" w14:textId="77777777" w:rsidR="00402CED" w:rsidRPr="002D74AC" w:rsidRDefault="00402CED" w:rsidP="00402CED">
      <w:pPr>
        <w:rPr>
          <w:rFonts w:asciiTheme="minorHAnsi" w:hAnsiTheme="minorHAnsi" w:cstheme="minorHAnsi"/>
          <w:color w:val="00B0F0"/>
          <w:sz w:val="20"/>
          <w:szCs w:val="20"/>
        </w:rPr>
      </w:pPr>
      <w:r w:rsidRPr="002D74AC">
        <w:rPr>
          <w:rFonts w:asciiTheme="minorHAnsi" w:hAnsiTheme="minorHAnsi" w:cstheme="minorHAnsi"/>
          <w:b/>
          <w:i/>
          <w:color w:val="00B0F0"/>
          <w:sz w:val="20"/>
          <w:szCs w:val="20"/>
        </w:rPr>
        <w:t>Policies Applicable to Professional Staff who are members of the Audit Team</w:t>
      </w:r>
    </w:p>
    <w:p w14:paraId="39F888EC" w14:textId="77777777" w:rsidR="00402CED" w:rsidRPr="002D74AC" w:rsidRDefault="00402CED" w:rsidP="004E5571">
      <w:pPr>
        <w:numPr>
          <w:ilvl w:val="0"/>
          <w:numId w:val="39"/>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assigned to the Audit Team should (1) identify those situations where Close Family Members or other persons with whom the Professional Staff member has a close relationship are involved as a Director, an Officer, or an employee of a Restricted Entity in a position to exert significant influence over the preparation of the Restricted Entity’s accounting records or financial statements and (2) consult with the Lead Client Service Partner responsible for the Engagement or the Director of Independence.</w:t>
      </w:r>
    </w:p>
    <w:p w14:paraId="0EA9A007" w14:textId="77777777" w:rsidR="00402CED" w:rsidRPr="002D74AC" w:rsidRDefault="00402CED" w:rsidP="00402CED">
      <w:pPr>
        <w:spacing w:before="120"/>
        <w:ind w:left="360"/>
        <w:rPr>
          <w:rFonts w:asciiTheme="minorHAnsi" w:hAnsiTheme="minorHAnsi" w:cstheme="minorHAnsi"/>
          <w:color w:val="auto"/>
          <w:sz w:val="20"/>
          <w:szCs w:val="20"/>
        </w:rPr>
      </w:pPr>
    </w:p>
    <w:p w14:paraId="1C6CDB4D" w14:textId="77777777" w:rsidR="00402CED" w:rsidRPr="002D74AC" w:rsidRDefault="00402CED" w:rsidP="00402CED">
      <w:pPr>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GIFTS AND HOSPITALITY</w:t>
      </w:r>
    </w:p>
    <w:p w14:paraId="1725D9A3" w14:textId="77777777" w:rsidR="00402CED" w:rsidRPr="002D74AC" w:rsidRDefault="00402CED" w:rsidP="004E5571">
      <w:pPr>
        <w:numPr>
          <w:ilvl w:val="0"/>
          <w:numId w:val="4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who work on any engagement for a Restricted Entity should not accept gifts or hospitality from that Restricted Entity or its management, or from an SEC Restricted Entity or persons associated with an SEC Restricted Entity in a decision-making capacity, such as Officers, Directors or substantial </w:t>
      </w:r>
      <w:proofErr w:type="spellStart"/>
      <w:r w:rsidRPr="002D74AC">
        <w:rPr>
          <w:rFonts w:asciiTheme="minorHAnsi" w:hAnsiTheme="minorHAnsi" w:cstheme="minorHAnsi"/>
          <w:color w:val="auto"/>
          <w:sz w:val="20"/>
          <w:szCs w:val="20"/>
        </w:rPr>
        <w:t>stockolder</w:t>
      </w:r>
      <w:proofErr w:type="spellEnd"/>
      <w:r w:rsidRPr="002D74AC">
        <w:rPr>
          <w:rFonts w:asciiTheme="minorHAnsi" w:hAnsiTheme="minorHAnsi" w:cstheme="minorHAnsi"/>
          <w:color w:val="auto"/>
          <w:sz w:val="20"/>
          <w:szCs w:val="20"/>
        </w:rPr>
        <w:t xml:space="preserve"> unless the value is trivial and inconsequential.</w:t>
      </w:r>
    </w:p>
    <w:p w14:paraId="221B12B1" w14:textId="77777777" w:rsidR="00402CED" w:rsidRPr="002D74AC" w:rsidRDefault="00402CED" w:rsidP="00402CED">
      <w:pPr>
        <w:spacing w:before="120"/>
        <w:ind w:left="360"/>
        <w:rPr>
          <w:rFonts w:asciiTheme="minorHAnsi" w:hAnsiTheme="minorHAnsi" w:cstheme="minorHAnsi"/>
          <w:color w:val="auto"/>
          <w:sz w:val="20"/>
          <w:szCs w:val="20"/>
        </w:rPr>
      </w:pPr>
    </w:p>
    <w:p w14:paraId="03A8C6ED" w14:textId="77777777" w:rsidR="00402CED" w:rsidRPr="002D74AC" w:rsidRDefault="00402CED" w:rsidP="00402CED">
      <w:pPr>
        <w:rPr>
          <w:rFonts w:asciiTheme="minorHAnsi" w:hAnsiTheme="minorHAnsi" w:cstheme="minorHAnsi"/>
          <w:b/>
          <w:color w:val="00B0F0"/>
          <w:sz w:val="20"/>
          <w:szCs w:val="20"/>
        </w:rPr>
      </w:pPr>
      <w:r w:rsidRPr="002D74AC">
        <w:rPr>
          <w:rFonts w:asciiTheme="minorHAnsi" w:hAnsiTheme="minorHAnsi" w:cstheme="minorHAnsi"/>
          <w:b/>
          <w:color w:val="00B0F0"/>
          <w:sz w:val="20"/>
          <w:szCs w:val="20"/>
        </w:rPr>
        <w:t>BUSINESS RELATIONSHIPS</w:t>
      </w:r>
    </w:p>
    <w:p w14:paraId="7CE43588" w14:textId="77777777" w:rsidR="00402CED" w:rsidRPr="002D74AC" w:rsidRDefault="00402CED" w:rsidP="004E5571">
      <w:pPr>
        <w:numPr>
          <w:ilvl w:val="0"/>
          <w:numId w:val="4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working on any Engagement for a Restricted Entity, and their Immediate Family Members, should not have a vendor business relationship with a Restricted Entity or its management, unless all of the following conditions are met:</w:t>
      </w:r>
    </w:p>
    <w:p w14:paraId="59E68E87" w14:textId="77777777" w:rsidR="00402CED" w:rsidRPr="002D74AC" w:rsidRDefault="00402CED" w:rsidP="004E5571">
      <w:pPr>
        <w:numPr>
          <w:ilvl w:val="1"/>
          <w:numId w:val="46"/>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relationship is as a consumer in the ordinary course of business of the Restricted Entity’s or its management’s products or </w:t>
      </w:r>
      <w:proofErr w:type="gramStart"/>
      <w:r w:rsidRPr="002D74AC">
        <w:rPr>
          <w:rFonts w:asciiTheme="minorHAnsi" w:hAnsiTheme="minorHAnsi" w:cstheme="minorHAnsi"/>
          <w:color w:val="auto"/>
          <w:sz w:val="20"/>
          <w:szCs w:val="20"/>
        </w:rPr>
        <w:t>services;</w:t>
      </w:r>
      <w:proofErr w:type="gramEnd"/>
    </w:p>
    <w:p w14:paraId="7CF6AF13" w14:textId="77777777" w:rsidR="00402CED" w:rsidRPr="002D74AC" w:rsidRDefault="00402CED" w:rsidP="004E5571">
      <w:pPr>
        <w:numPr>
          <w:ilvl w:val="1"/>
          <w:numId w:val="46"/>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relationship and its terms, conditions, pricing, and other requirements are similar to those that other customers in similar circumstances receive from the Restricted Entity or its </w:t>
      </w:r>
      <w:proofErr w:type="gramStart"/>
      <w:r w:rsidRPr="002D74AC">
        <w:rPr>
          <w:rFonts w:asciiTheme="minorHAnsi" w:hAnsiTheme="minorHAnsi" w:cstheme="minorHAnsi"/>
          <w:color w:val="auto"/>
          <w:sz w:val="20"/>
          <w:szCs w:val="20"/>
        </w:rPr>
        <w:t>management</w:t>
      </w:r>
      <w:r w:rsidRPr="002D74AC">
        <w:rPr>
          <w:rFonts w:asciiTheme="minorHAnsi" w:hAnsiTheme="minorHAnsi" w:cstheme="minorHAnsi"/>
          <w:b/>
          <w:bCs/>
          <w:color w:val="auto"/>
          <w:sz w:val="20"/>
          <w:szCs w:val="20"/>
        </w:rPr>
        <w:t>;</w:t>
      </w:r>
      <w:proofErr w:type="gramEnd"/>
    </w:p>
    <w:p w14:paraId="1EA76A89" w14:textId="77777777" w:rsidR="00402CED" w:rsidRPr="002D74AC" w:rsidRDefault="00402CED" w:rsidP="004E5571">
      <w:pPr>
        <w:numPr>
          <w:ilvl w:val="1"/>
          <w:numId w:val="46"/>
        </w:numPr>
        <w:spacing w:before="120"/>
        <w:rPr>
          <w:rFonts w:asciiTheme="minorHAnsi" w:hAnsiTheme="minorHAnsi" w:cstheme="minorHAnsi"/>
          <w:color w:val="auto"/>
          <w:sz w:val="20"/>
          <w:szCs w:val="20"/>
        </w:rPr>
      </w:pPr>
      <w:r w:rsidRPr="002D74AC">
        <w:rPr>
          <w:rFonts w:asciiTheme="minorHAnsi" w:hAnsiTheme="minorHAnsi" w:cstheme="minorHAnsi"/>
          <w:bCs/>
          <w:color w:val="auto"/>
          <w:sz w:val="20"/>
          <w:szCs w:val="20"/>
        </w:rPr>
        <w:t xml:space="preserve">The relationship does not cause </w:t>
      </w:r>
      <w:r w:rsidRPr="002D74AC">
        <w:rPr>
          <w:rFonts w:asciiTheme="minorHAnsi" w:hAnsiTheme="minorHAnsi" w:cstheme="minorHAnsi"/>
          <w:color w:val="auto"/>
          <w:sz w:val="20"/>
          <w:szCs w:val="20"/>
        </w:rPr>
        <w:t xml:space="preserve">the consumer to </w:t>
      </w:r>
      <w:r w:rsidRPr="002D74AC">
        <w:rPr>
          <w:rFonts w:asciiTheme="minorHAnsi" w:hAnsiTheme="minorHAnsi" w:cstheme="minorHAnsi"/>
          <w:bCs/>
          <w:color w:val="auto"/>
          <w:sz w:val="20"/>
          <w:szCs w:val="20"/>
        </w:rPr>
        <w:t>become a major customer of the Restricted Entity or its management such that the amounts involved are material to any of the parties; and</w:t>
      </w:r>
    </w:p>
    <w:p w14:paraId="17AEBC59" w14:textId="77777777" w:rsidR="00402CED" w:rsidRPr="002D74AC" w:rsidRDefault="00402CED" w:rsidP="004E5571">
      <w:pPr>
        <w:numPr>
          <w:ilvl w:val="1"/>
          <w:numId w:val="46"/>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There is no agreement, either written or oral, that the continuation or extension of Professional Services to the Restricted Entity or its management is dependent on the relationship. </w:t>
      </w:r>
    </w:p>
    <w:p w14:paraId="257C6D1D" w14:textId="77777777" w:rsidR="00402CED" w:rsidRPr="002D74AC" w:rsidRDefault="00402CED" w:rsidP="004E5571">
      <w:pPr>
        <w:numPr>
          <w:ilvl w:val="0"/>
          <w:numId w:val="4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Professional Staff should not become members of an Audit Team for a Restricted Entity if they have a close business relationship with that Restricted Entity or its management, unless any financial interest resulting from the relationship is immaterial and the relationship is insignificant to that individual. If the business relationship is between an Immediate Family Member of a member of the Audit Team and the Restricted Entity or its management, a thread and safeguard analysis should be performed. As such, consultation with the Director of Independence should be considered.</w:t>
      </w:r>
    </w:p>
    <w:p w14:paraId="3172AFA7" w14:textId="77777777" w:rsidR="00402CED" w:rsidRPr="002D74AC" w:rsidRDefault="00402CED" w:rsidP="00402CED">
      <w:pPr>
        <w:spacing w:before="120"/>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members of the Audit Team</w:t>
      </w:r>
    </w:p>
    <w:p w14:paraId="17C96366" w14:textId="77777777" w:rsidR="00402CED" w:rsidRPr="002D74AC" w:rsidRDefault="00402CED" w:rsidP="004E5571">
      <w:pPr>
        <w:numPr>
          <w:ilvl w:val="0"/>
          <w:numId w:val="40"/>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lastRenderedPageBreak/>
        <w:t>Professional Staff who are members of the Audit Team for that Restricted Entity and their Immediate Family Members should not have an interest in a closely held entity when the Restricted Entity or its management, or any group thereof, also has an interest in that entity, unless:</w:t>
      </w:r>
    </w:p>
    <w:p w14:paraId="23F70FB5" w14:textId="77777777" w:rsidR="00402CED" w:rsidRPr="002D74AC" w:rsidRDefault="00402CED" w:rsidP="004E5571">
      <w:pPr>
        <w:numPr>
          <w:ilvl w:val="1"/>
          <w:numId w:val="47"/>
        </w:numPr>
        <w:tabs>
          <w:tab w:val="left" w:pos="360"/>
        </w:tabs>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relationship is clearly insignificant to the Member Firm, DTTL and its Member Firms, the member of the Audit Team and the Immediate Family Members, and the Restricted </w:t>
      </w:r>
      <w:proofErr w:type="gramStart"/>
      <w:r w:rsidRPr="002D74AC">
        <w:rPr>
          <w:rFonts w:asciiTheme="minorHAnsi" w:hAnsiTheme="minorHAnsi" w:cstheme="minorHAnsi"/>
          <w:color w:val="auto"/>
          <w:sz w:val="20"/>
          <w:szCs w:val="20"/>
        </w:rPr>
        <w:t>Entity;</w:t>
      </w:r>
      <w:proofErr w:type="gramEnd"/>
    </w:p>
    <w:p w14:paraId="58224973" w14:textId="77777777" w:rsidR="00402CED" w:rsidRPr="002D74AC" w:rsidRDefault="00402CED" w:rsidP="004E5571">
      <w:pPr>
        <w:numPr>
          <w:ilvl w:val="1"/>
          <w:numId w:val="47"/>
        </w:numPr>
        <w:tabs>
          <w:tab w:val="left" w:pos="360"/>
        </w:tabs>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The interest held is immaterial to the investor, or group of investors; and </w:t>
      </w:r>
    </w:p>
    <w:p w14:paraId="3668B18C" w14:textId="77777777" w:rsidR="00402CED" w:rsidRPr="002D74AC" w:rsidRDefault="00402CED" w:rsidP="004E5571">
      <w:pPr>
        <w:numPr>
          <w:ilvl w:val="1"/>
          <w:numId w:val="47"/>
        </w:numPr>
        <w:tabs>
          <w:tab w:val="left" w:pos="360"/>
        </w:tabs>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The interest does not give the investor, or group of investors, the ability to control the closely held entity.</w:t>
      </w:r>
    </w:p>
    <w:p w14:paraId="6970097F" w14:textId="77777777" w:rsidR="00402CED" w:rsidRPr="002D74AC" w:rsidRDefault="00402CED" w:rsidP="00402CED">
      <w:pPr>
        <w:tabs>
          <w:tab w:val="left" w:pos="360"/>
          <w:tab w:val="num" w:pos="1440"/>
        </w:tabs>
        <w:spacing w:before="120"/>
        <w:ind w:left="1080"/>
        <w:rPr>
          <w:rFonts w:asciiTheme="minorHAnsi" w:hAnsiTheme="minorHAnsi" w:cstheme="minorHAnsi"/>
          <w:color w:val="auto"/>
          <w:sz w:val="20"/>
          <w:szCs w:val="20"/>
        </w:rPr>
      </w:pPr>
    </w:p>
    <w:p w14:paraId="0A292B7A" w14:textId="77777777" w:rsidR="00402CED" w:rsidRPr="002D74AC" w:rsidRDefault="00402CED" w:rsidP="00402CED">
      <w:pPr>
        <w:rPr>
          <w:rFonts w:asciiTheme="minorHAnsi" w:hAnsiTheme="minorHAnsi" w:cstheme="minorHAnsi"/>
          <w:b/>
          <w:i/>
          <w:color w:val="00B0F0"/>
          <w:sz w:val="20"/>
          <w:szCs w:val="20"/>
        </w:rPr>
      </w:pPr>
      <w:r w:rsidRPr="002D74AC">
        <w:rPr>
          <w:rFonts w:asciiTheme="minorHAnsi" w:hAnsiTheme="minorHAnsi" w:cstheme="minorHAnsi"/>
          <w:b/>
          <w:i/>
          <w:color w:val="00B0F0"/>
          <w:sz w:val="20"/>
          <w:szCs w:val="20"/>
        </w:rPr>
        <w:t>Policies Applicable to Professional Staff who are Covered Persons with respect to an SEC Restricted Entity</w:t>
      </w:r>
    </w:p>
    <w:p w14:paraId="68758EBB" w14:textId="77777777" w:rsidR="00402CED" w:rsidRPr="002D74AC" w:rsidRDefault="00402CED" w:rsidP="004E5571">
      <w:pPr>
        <w:numPr>
          <w:ilvl w:val="0"/>
          <w:numId w:val="41"/>
        </w:numPr>
        <w:spacing w:before="120"/>
        <w:rPr>
          <w:rFonts w:asciiTheme="minorHAnsi" w:hAnsiTheme="minorHAnsi" w:cstheme="minorHAnsi"/>
          <w:color w:val="auto"/>
          <w:sz w:val="20"/>
          <w:szCs w:val="20"/>
        </w:rPr>
      </w:pPr>
      <w:r w:rsidRPr="002D74AC">
        <w:rPr>
          <w:rFonts w:asciiTheme="minorHAnsi" w:hAnsiTheme="minorHAnsi" w:cstheme="minorHAnsi"/>
          <w:color w:val="auto"/>
          <w:sz w:val="20"/>
          <w:szCs w:val="20"/>
        </w:rPr>
        <w:t xml:space="preserve">Professional Staff who are Covered Persons with respect to an SEC Restricted Entity should not have any direct or material indirect marketplace business relationship with that SEC Restricted Entity, or with persons associated with such entity in a decision-making capacity, such as the Officers, Directors or substantial stockholders.  </w:t>
      </w:r>
    </w:p>
    <w:p w14:paraId="00F18A9B" w14:textId="77777777" w:rsidR="00402CED" w:rsidRPr="002D74AC" w:rsidRDefault="00402CED" w:rsidP="00402CED">
      <w:pPr>
        <w:rPr>
          <w:rFonts w:asciiTheme="minorHAnsi" w:hAnsiTheme="minorHAnsi" w:cstheme="minorHAnsi"/>
          <w:sz w:val="20"/>
          <w:szCs w:val="20"/>
        </w:rPr>
      </w:pPr>
    </w:p>
    <w:p w14:paraId="4D5F1AA6" w14:textId="77777777" w:rsidR="00402CED" w:rsidRPr="002D74AC" w:rsidRDefault="00402CED" w:rsidP="00402CED">
      <w:pPr>
        <w:jc w:val="center"/>
        <w:rPr>
          <w:rFonts w:asciiTheme="minorHAnsi" w:hAnsiTheme="minorHAnsi" w:cstheme="minorHAnsi"/>
          <w:b/>
          <w:color w:val="auto"/>
          <w:sz w:val="20"/>
          <w:szCs w:val="20"/>
        </w:rPr>
      </w:pPr>
    </w:p>
    <w:p w14:paraId="548E30F0" w14:textId="77777777" w:rsidR="00402CED" w:rsidRPr="002D74AC" w:rsidRDefault="00402CED" w:rsidP="00402CED">
      <w:pPr>
        <w:jc w:val="center"/>
        <w:rPr>
          <w:rFonts w:asciiTheme="minorHAnsi" w:hAnsiTheme="minorHAnsi" w:cstheme="minorHAnsi"/>
          <w:b/>
          <w:color w:val="auto"/>
          <w:sz w:val="20"/>
          <w:szCs w:val="20"/>
          <w:lang w:val="cs-CZ"/>
        </w:rPr>
      </w:pPr>
    </w:p>
    <w:p w14:paraId="6DF85C4C" w14:textId="77777777" w:rsidR="00402CED" w:rsidRPr="002D74AC" w:rsidRDefault="00402CED" w:rsidP="00402CED">
      <w:pPr>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br w:type="page"/>
      </w:r>
    </w:p>
    <w:p w14:paraId="1BA50EA7" w14:textId="77777777" w:rsidR="000A3BF4" w:rsidRPr="002D74AC" w:rsidRDefault="000A3BF4" w:rsidP="000A3BF4">
      <w:pPr>
        <w:jc w:val="center"/>
        <w:rPr>
          <w:rFonts w:asciiTheme="minorHAnsi" w:hAnsiTheme="minorHAnsi" w:cstheme="minorHAnsi"/>
          <w:b/>
          <w:color w:val="auto"/>
          <w:sz w:val="20"/>
          <w:szCs w:val="20"/>
          <w:lang w:val="cs-CZ"/>
        </w:rPr>
      </w:pPr>
      <w:r w:rsidRPr="002D74AC">
        <w:rPr>
          <w:rFonts w:asciiTheme="minorHAnsi" w:hAnsiTheme="minorHAnsi" w:cstheme="minorHAnsi"/>
          <w:b/>
          <w:color w:val="auto"/>
          <w:sz w:val="20"/>
          <w:szCs w:val="20"/>
          <w:lang w:val="cs-CZ"/>
        </w:rPr>
        <w:lastRenderedPageBreak/>
        <w:t>Informativní překlad:</w:t>
      </w:r>
    </w:p>
    <w:p w14:paraId="262FE906" w14:textId="77777777" w:rsidR="000A3BF4" w:rsidRPr="002D74AC" w:rsidRDefault="000A3BF4" w:rsidP="000A3BF4">
      <w:pPr>
        <w:jc w:val="center"/>
        <w:rPr>
          <w:rFonts w:asciiTheme="minorHAnsi" w:hAnsiTheme="minorHAnsi" w:cstheme="minorHAnsi"/>
          <w:color w:val="auto"/>
          <w:sz w:val="20"/>
          <w:szCs w:val="20"/>
          <w:u w:val="single"/>
          <w:lang w:val="cs-CZ"/>
        </w:rPr>
      </w:pPr>
      <w:r w:rsidRPr="002D74AC">
        <w:rPr>
          <w:rFonts w:asciiTheme="minorHAnsi" w:hAnsiTheme="minorHAnsi" w:cstheme="minorHAnsi"/>
          <w:color w:val="auto"/>
          <w:sz w:val="20"/>
          <w:szCs w:val="20"/>
          <w:u w:val="single"/>
          <w:lang w:val="cs-CZ"/>
        </w:rPr>
        <w:t>SHRNUTÍ PRAVIDEL A POSTUPŮ DTTL PRO ODBORNÝ PERSONÁL</w:t>
      </w:r>
    </w:p>
    <w:p w14:paraId="5FCD2461" w14:textId="77777777" w:rsidR="00402CED" w:rsidRPr="002D74AC" w:rsidRDefault="00402CED" w:rsidP="00402CED">
      <w:pPr>
        <w:jc w:val="center"/>
        <w:rPr>
          <w:rFonts w:asciiTheme="minorHAnsi" w:hAnsiTheme="minorHAnsi" w:cstheme="minorHAnsi"/>
          <w:color w:val="auto"/>
          <w:sz w:val="20"/>
          <w:szCs w:val="20"/>
          <w:lang w:val="cs-CZ"/>
        </w:rPr>
      </w:pPr>
    </w:p>
    <w:p w14:paraId="6F95E92B" w14:textId="77777777" w:rsidR="00402CED" w:rsidRPr="002D74AC" w:rsidRDefault="00402CED" w:rsidP="00402CED">
      <w:pPr>
        <w:rPr>
          <w:rFonts w:asciiTheme="minorHAnsi" w:hAnsiTheme="minorHAnsi" w:cstheme="minorHAnsi"/>
          <w:b/>
          <w:color w:val="C00000"/>
          <w:sz w:val="20"/>
          <w:szCs w:val="20"/>
          <w:lang w:val="cs-CZ"/>
        </w:rPr>
      </w:pPr>
    </w:p>
    <w:p w14:paraId="651F1373" w14:textId="77777777" w:rsidR="00402CED" w:rsidRPr="002D74AC" w:rsidRDefault="00402CED" w:rsidP="00402CED">
      <w:pPr>
        <w:rPr>
          <w:rFonts w:asciiTheme="minorHAnsi" w:hAnsiTheme="minorHAnsi" w:cstheme="minorHAnsi"/>
          <w:b/>
          <w:color w:val="auto"/>
          <w:sz w:val="20"/>
          <w:szCs w:val="20"/>
          <w:u w:val="single"/>
          <w:lang w:val="cs-CZ"/>
        </w:rPr>
      </w:pPr>
      <w:r w:rsidRPr="002D74AC">
        <w:rPr>
          <w:rFonts w:asciiTheme="minorHAnsi" w:hAnsiTheme="minorHAnsi" w:cstheme="minorHAnsi"/>
          <w:b/>
          <w:color w:val="00B0F0"/>
          <w:sz w:val="20"/>
          <w:szCs w:val="20"/>
          <w:lang w:val="cs-CZ"/>
        </w:rPr>
        <w:t>FINANČNÍ ZÁJMY</w:t>
      </w:r>
    </w:p>
    <w:p w14:paraId="743A144A" w14:textId="77777777" w:rsidR="00402CED" w:rsidRPr="002D74AC" w:rsidRDefault="00402CED" w:rsidP="004E5571">
      <w:pPr>
        <w:pStyle w:val="Topic1"/>
        <w:numPr>
          <w:ilvl w:val="0"/>
          <w:numId w:val="29"/>
        </w:numPr>
        <w:spacing w:before="120"/>
        <w:rPr>
          <w:rFonts w:asciiTheme="minorHAnsi" w:hAnsiTheme="minorHAnsi" w:cstheme="minorHAnsi"/>
          <w:b w:val="0"/>
          <w:sz w:val="20"/>
          <w:lang w:val="cs-CZ"/>
        </w:rPr>
      </w:pPr>
      <w:r w:rsidRPr="002D74AC">
        <w:rPr>
          <w:rFonts w:asciiTheme="minorHAnsi" w:hAnsiTheme="minorHAnsi" w:cstheme="minorHAnsi"/>
          <w:b w:val="0"/>
          <w:sz w:val="20"/>
          <w:lang w:val="cs-CZ"/>
        </w:rPr>
        <w:t>Odborný personál, který se účastní jakékoliv Zakázky pro Omezenou entitu, a/nebo jeho Nejbližší rodinní příslušníci, by neměli držet Přímý finanční podíl nebo podstatný Nepřímý Finanční podíl na této Omezené entitě.</w:t>
      </w:r>
    </w:p>
    <w:p w14:paraId="73296233" w14:textId="77777777" w:rsidR="00402CED" w:rsidRPr="002D74AC" w:rsidRDefault="00402CED" w:rsidP="004E5571">
      <w:pPr>
        <w:pStyle w:val="Topic1"/>
        <w:numPr>
          <w:ilvl w:val="0"/>
          <w:numId w:val="29"/>
        </w:numPr>
        <w:spacing w:before="120"/>
        <w:rPr>
          <w:rFonts w:asciiTheme="minorHAnsi" w:hAnsiTheme="minorHAnsi" w:cstheme="minorHAnsi"/>
          <w:b w:val="0"/>
          <w:sz w:val="20"/>
          <w:lang w:val="cs-CZ"/>
        </w:rPr>
      </w:pPr>
      <w:r w:rsidRPr="002D74AC">
        <w:rPr>
          <w:rFonts w:asciiTheme="minorHAnsi" w:hAnsiTheme="minorHAnsi" w:cstheme="minorHAnsi"/>
          <w:b w:val="0"/>
          <w:sz w:val="20"/>
          <w:lang w:val="cs-CZ"/>
        </w:rPr>
        <w:t>Pokud má Odborný personál (a jeho Nejbližší rodinní příslušníci) zákaz držet Přímý finanční podíl nebo podstatný Nepřímý finanční podíl v Omezené entitě, protože se účastní Zakázky pro Omezenou entitu, pak i v případě, že Zakázka skončí, by Odborný personál neměl získat Přímý finanční podíl nebo podstatný Nepřímý podíl v takové Omezené entitě až do okamžiku, než Členská firma podepíše zprávu auditora za příslušný finanční rok.</w:t>
      </w:r>
    </w:p>
    <w:p w14:paraId="15A94088" w14:textId="77777777" w:rsidR="00402CED" w:rsidRPr="002D74AC" w:rsidRDefault="00402CED" w:rsidP="004E5571">
      <w:pPr>
        <w:numPr>
          <w:ilvl w:val="0"/>
          <w:numId w:val="2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Pokud Nejbližší rodinný příslušník obdrží v důsledku svých práv zaměstnance Finanční podíl, který by byl zakázán, mělo by to být projednáno s Ředitelem Nezávislosti.</w:t>
      </w:r>
    </w:p>
    <w:p w14:paraId="191D5A94" w14:textId="77777777" w:rsidR="00402CED" w:rsidRPr="002D74AC" w:rsidRDefault="00402CED" w:rsidP="004E5571">
      <w:pPr>
        <w:numPr>
          <w:ilvl w:val="0"/>
          <w:numId w:val="2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a/nebo jeho Nejbližší rodinní příslušníci by neměli působit jako svěřenský správce nebo správce majetku, který drží Přímý finanční podíl nebo podstatný Nepřímý finanční podíl v Omezené entitě a rovněž pracuje na jakékoliv zakázce pro tuto Omezenou entitu, pokud:</w:t>
      </w:r>
    </w:p>
    <w:p w14:paraId="1628A9F3" w14:textId="77777777" w:rsidR="00402CED" w:rsidRPr="002D74AC" w:rsidRDefault="00402CED" w:rsidP="004E5571">
      <w:pPr>
        <w:numPr>
          <w:ilvl w:val="1"/>
          <w:numId w:val="42"/>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Členská firma, fyzická osoba činná jako svěřenský správce nebo správce majetku nebo Nejbližší rodinný příslušník takové fyzické osoby, není příjemcem užitku tohoto svěřenského fondu nebo majetku;</w:t>
      </w:r>
    </w:p>
    <w:p w14:paraId="310C7C03" w14:textId="77777777" w:rsidR="00402CED" w:rsidRPr="002D74AC" w:rsidRDefault="00402CED" w:rsidP="004E5571">
      <w:pPr>
        <w:numPr>
          <w:ilvl w:val="1"/>
          <w:numId w:val="42"/>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podíl v rámci svěřenského fondu nebo majetku v Omezené entitě není pro svěřenský fond nebo majetek podstatný;</w:t>
      </w:r>
    </w:p>
    <w:p w14:paraId="46FE436D" w14:textId="77777777" w:rsidR="00402CED" w:rsidRPr="002D74AC" w:rsidRDefault="00402CED" w:rsidP="004E5571">
      <w:pPr>
        <w:numPr>
          <w:ilvl w:val="1"/>
          <w:numId w:val="42"/>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svěřenský fond nebo majetek není schopen významným způsobem ovlivnit Omezenou entitu; a</w:t>
      </w:r>
    </w:p>
    <w:p w14:paraId="236D7940" w14:textId="77777777" w:rsidR="00402CED" w:rsidRPr="002D74AC" w:rsidRDefault="00402CED" w:rsidP="004E5571">
      <w:pPr>
        <w:numPr>
          <w:ilvl w:val="1"/>
          <w:numId w:val="42"/>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Členská firma nebo fyzická osoba jednající jako svěřenský správce nebo správce majetku, nebo Nejbližší rodinný příslušník takové fyzické osoby nemůže významným způsobem ovlivnit jakékoliv investiční rozhodnutí zahrnující Finanční podíl v Omezené entitě.</w:t>
      </w:r>
    </w:p>
    <w:p w14:paraId="39D15F1F" w14:textId="77777777" w:rsidR="00402CED" w:rsidRPr="002D74AC" w:rsidRDefault="00402CED" w:rsidP="004E5571">
      <w:pPr>
        <w:numPr>
          <w:ilvl w:val="0"/>
          <w:numId w:val="29"/>
        </w:numPr>
        <w:spacing w:before="120"/>
        <w:rPr>
          <w:rFonts w:asciiTheme="minorHAnsi" w:hAnsiTheme="minorHAnsi" w:cstheme="minorHAnsi"/>
          <w:b/>
          <w:i/>
          <w:color w:val="auto"/>
          <w:sz w:val="20"/>
          <w:szCs w:val="20"/>
          <w:lang w:val="cs-CZ"/>
        </w:rPr>
      </w:pPr>
      <w:r w:rsidRPr="002D74AC">
        <w:rPr>
          <w:rFonts w:asciiTheme="minorHAnsi" w:hAnsiTheme="minorHAnsi" w:cstheme="minorHAnsi"/>
          <w:color w:val="auto"/>
          <w:sz w:val="20"/>
          <w:szCs w:val="20"/>
          <w:lang w:val="cs-CZ"/>
        </w:rPr>
        <w:t xml:space="preserve">Odborný personál, který si je vědom, že Blízký rodinný příslušník má podstatný Přímý nebo Nepřímý podíl v Omezené entitě, by neměl poskytovat Odborné služby této Omezené entitě, pokud nejsou zavedena odpovídající opatření schválená Ředitelem Nezávislosti.  </w:t>
      </w:r>
    </w:p>
    <w:p w14:paraId="303AFE0E" w14:textId="77777777" w:rsidR="00402CED" w:rsidRPr="002D74AC" w:rsidRDefault="00402CED" w:rsidP="004E5571">
      <w:pPr>
        <w:pStyle w:val="Topic1"/>
        <w:numPr>
          <w:ilvl w:val="0"/>
          <w:numId w:val="29"/>
        </w:numPr>
        <w:rPr>
          <w:rFonts w:asciiTheme="minorHAnsi" w:hAnsiTheme="minorHAnsi" w:cstheme="minorHAnsi"/>
          <w:b w:val="0"/>
          <w:sz w:val="20"/>
          <w:lang w:val="cs-CZ"/>
        </w:rPr>
      </w:pPr>
      <w:r w:rsidRPr="002D74AC">
        <w:rPr>
          <w:rFonts w:asciiTheme="minorHAnsi" w:hAnsiTheme="minorHAnsi" w:cstheme="minorHAnsi"/>
          <w:b w:val="0"/>
          <w:sz w:val="20"/>
          <w:lang w:val="cs-CZ"/>
        </w:rPr>
        <w:t>Odborný personál a/nebo jeho Nejbližší rodinní příslušníci by samostatně nebo společně neměli držet majetkový podíl vyšší než pět procent kapitálových cenných papírů SEC Omezené entity nebo tuto SEC Omezenou entitu ovládat.</w:t>
      </w:r>
    </w:p>
    <w:p w14:paraId="62313819" w14:textId="77777777" w:rsidR="00402CED" w:rsidRPr="002D74AC" w:rsidRDefault="00402CED" w:rsidP="00402CED">
      <w:pPr>
        <w:pStyle w:val="Topic1"/>
        <w:ind w:left="360"/>
        <w:rPr>
          <w:rFonts w:asciiTheme="minorHAnsi" w:hAnsiTheme="minorHAnsi" w:cstheme="minorHAnsi"/>
          <w:b w:val="0"/>
          <w:sz w:val="20"/>
          <w:lang w:val="cs-CZ"/>
        </w:rPr>
      </w:pPr>
    </w:p>
    <w:p w14:paraId="15420F32"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členové Auditního týmu</w:t>
      </w:r>
    </w:p>
    <w:p w14:paraId="224DAB29" w14:textId="77777777" w:rsidR="00402CED" w:rsidRPr="002D74AC" w:rsidRDefault="00402CED" w:rsidP="004E5571">
      <w:pPr>
        <w:numPr>
          <w:ilvl w:val="0"/>
          <w:numId w:val="31"/>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kterým jsou členové Auditního týmu Omezené entity, by neměl mít Finanční podíl v jakékoliv entitě, pokud: </w:t>
      </w:r>
    </w:p>
    <w:p w14:paraId="18AC0E00" w14:textId="77777777" w:rsidR="00402CED" w:rsidRPr="002D74AC" w:rsidRDefault="00402CED" w:rsidP="004E5571">
      <w:pPr>
        <w:numPr>
          <w:ilvl w:val="0"/>
          <w:numId w:val="43"/>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Omezená entita, nebo Statutární orgán, Vedoucí pracovník nebo ovládající vlastník Omezené entity má rovněž Finanční podíl na této entitě; </w:t>
      </w:r>
    </w:p>
    <w:p w14:paraId="1BA1E221" w14:textId="77777777" w:rsidR="00402CED" w:rsidRPr="002D74AC" w:rsidRDefault="00402CED" w:rsidP="004E5571">
      <w:pPr>
        <w:numPr>
          <w:ilvl w:val="0"/>
          <w:numId w:val="43"/>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je tento podíl podstatný pro jakéhokoliv takového společného investora; a </w:t>
      </w:r>
    </w:p>
    <w:p w14:paraId="2C6CD472" w14:textId="77777777" w:rsidR="00402CED" w:rsidRPr="002D74AC" w:rsidRDefault="00402CED" w:rsidP="004E5571">
      <w:pPr>
        <w:numPr>
          <w:ilvl w:val="0"/>
          <w:numId w:val="43"/>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Omezená entita může vykonávat Významný vliv na tuto entitu.  </w:t>
      </w:r>
    </w:p>
    <w:p w14:paraId="661EE5B0" w14:textId="77777777" w:rsidR="00402CED" w:rsidRPr="002D74AC" w:rsidRDefault="00402CED" w:rsidP="004E5571">
      <w:pPr>
        <w:numPr>
          <w:ilvl w:val="0"/>
          <w:numId w:val="32"/>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kterým jsou členové Auditního týmu by měl zvážit, zda dochází k ohrožení vlastního zájmu, pokud člen Odborného personálu ví, že fyzická osoba, s níž má blízký osobní vztah, má podstatný Přímý nebo podstatný Nepřímý finanční podíl v této Omezené entitě. Významnost takového ohrožení by měla být posouzena a v případě nutnosti by měla být </w:t>
      </w:r>
      <w:r w:rsidRPr="002D74AC">
        <w:rPr>
          <w:rFonts w:asciiTheme="minorHAnsi" w:hAnsiTheme="minorHAnsi" w:cstheme="minorHAnsi"/>
          <w:color w:val="auto"/>
          <w:sz w:val="20"/>
          <w:szCs w:val="20"/>
          <w:lang w:val="cs-CZ"/>
        </w:rPr>
        <w:lastRenderedPageBreak/>
        <w:t>uplatněna opatření schválená Ředitelem nezávislosti za účelem eliminace takového ohrožení nebo jeho snížení na přijatelnou úroveň.</w:t>
      </w:r>
    </w:p>
    <w:p w14:paraId="4A5E8DB1"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286EA9B3"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Pravidla a postupy platné pro Odborný personál, kterým jsou Povinné osoby ve vztahu k SEC Omezené entitě</w:t>
      </w:r>
    </w:p>
    <w:p w14:paraId="38710F2B" w14:textId="77777777" w:rsidR="00402CED" w:rsidRPr="002D74AC" w:rsidRDefault="00402CED" w:rsidP="004E5571">
      <w:pPr>
        <w:numPr>
          <w:ilvl w:val="0"/>
          <w:numId w:val="3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Povinné osoby ve vztahu k SEC Omezené entitě, a Nejbližší rodinní příslušníci těchto Povinných osob by neměli vykonávat činnost správce svěřenského fondu nebo správce majetku, který drží cenné papíry takové SEC Omezené entity, pokud taková společnost nebo fyzická osoba nemá oprávnění uskutečnit investiční rozhodnutí týkající se svěřenského fondu nebo majetku.</w:t>
      </w:r>
    </w:p>
    <w:p w14:paraId="645FC7F9" w14:textId="77777777" w:rsidR="00402CED" w:rsidRPr="002D74AC" w:rsidRDefault="00402CED" w:rsidP="004E5571">
      <w:pPr>
        <w:numPr>
          <w:ilvl w:val="0"/>
          <w:numId w:val="3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kterým jsou Povinné osoby ve vztahu k SEC Omezené entitě, a Nejbližší rodinní příslušníci těchto Povinných osob by neměli mít žádný podstatný Přímý nebo Nepřímý finanční podíl v entitě, vůči níž taková SEC Omezená entita může vykonávat Významný vliv. </w:t>
      </w:r>
    </w:p>
    <w:p w14:paraId="4987961D" w14:textId="77777777" w:rsidR="00402CED" w:rsidRPr="002D74AC" w:rsidRDefault="00402CED" w:rsidP="004E5571">
      <w:pPr>
        <w:numPr>
          <w:ilvl w:val="0"/>
          <w:numId w:val="3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Povinné osoby ve vztahu k SEC Omezené entitě, a Nejbližší rodinní příslušníci těchto Povinných osob by neměli mít možnost vykonávat Významný vliv na entitu, která má schopnost vykonávat Významný vliv na SEC Omezenou entitu.</w:t>
      </w:r>
    </w:p>
    <w:p w14:paraId="7196BDA2" w14:textId="77777777" w:rsidR="00402CED" w:rsidRPr="002D74AC" w:rsidRDefault="00402CED" w:rsidP="004E5571">
      <w:pPr>
        <w:numPr>
          <w:ilvl w:val="0"/>
          <w:numId w:val="3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Blízcí rodinní příslušníci Odborného personálu, kterými jsou Povinné osoby ve vztahu k SEC Omezené entitě, by samostatně nebo společně neměli mít majetkový podíl vyšší než pět procent kapitálových cenných papírů SEC Omezené entity nebo tuto SEC Omezenou entitu ovládat.</w:t>
      </w:r>
    </w:p>
    <w:p w14:paraId="3EF5EDA8" w14:textId="77777777" w:rsidR="00402CED" w:rsidRPr="002D74AC" w:rsidRDefault="00402CED" w:rsidP="00402CED">
      <w:pPr>
        <w:rPr>
          <w:rFonts w:asciiTheme="minorHAnsi" w:hAnsiTheme="minorHAnsi" w:cstheme="minorHAnsi"/>
          <w:b/>
          <w:color w:val="002060"/>
          <w:sz w:val="20"/>
          <w:szCs w:val="20"/>
          <w:lang w:val="cs-CZ"/>
        </w:rPr>
      </w:pPr>
    </w:p>
    <w:p w14:paraId="7BAB1EF8" w14:textId="77777777" w:rsidR="00402CED" w:rsidRPr="002D74AC" w:rsidRDefault="00402CED" w:rsidP="00402CED">
      <w:pPr>
        <w:rPr>
          <w:rFonts w:asciiTheme="minorHAnsi" w:hAnsiTheme="minorHAnsi" w:cstheme="minorHAnsi"/>
          <w:b/>
          <w:color w:val="00B0F0"/>
          <w:sz w:val="20"/>
          <w:szCs w:val="20"/>
          <w:lang w:val="cs-CZ"/>
        </w:rPr>
      </w:pPr>
      <w:r w:rsidRPr="002D74AC">
        <w:rPr>
          <w:rFonts w:asciiTheme="minorHAnsi" w:hAnsiTheme="minorHAnsi" w:cstheme="minorHAnsi"/>
          <w:b/>
          <w:color w:val="00B0F0"/>
          <w:sz w:val="20"/>
          <w:szCs w:val="20"/>
          <w:lang w:val="cs-CZ"/>
        </w:rPr>
        <w:t xml:space="preserve">ÚVĚRY </w:t>
      </w:r>
    </w:p>
    <w:p w14:paraId="6ED0013C"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členové Auditního týmu</w:t>
      </w:r>
    </w:p>
    <w:p w14:paraId="3CCC3F6D" w14:textId="77777777" w:rsidR="00402CED" w:rsidRPr="002D74AC" w:rsidRDefault="00402CED" w:rsidP="004E5571">
      <w:pPr>
        <w:numPr>
          <w:ilvl w:val="0"/>
          <w:numId w:val="33"/>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členové Auditního týmu, a jejich Nejbližší rodinní příslušníci by neměli získat úvěr či ručení k úvěru od Omezené entity, pokud (1) úvěr není získán od finanční instituce a (2) úvěr není poskytnut na základě obvyklých úvěrových postupů, podmínek a požadavků.</w:t>
      </w:r>
    </w:p>
    <w:p w14:paraId="02AA1058" w14:textId="77777777" w:rsidR="00402CED" w:rsidRPr="002D74AC" w:rsidRDefault="00402CED" w:rsidP="004E5571">
      <w:pPr>
        <w:numPr>
          <w:ilvl w:val="0"/>
          <w:numId w:val="33"/>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členové Auditního týmu, a jeho Nejbližší rodinní příslušníci by neměli získat úvěr od Omezené entity, jež není finanční institucí, ani jí poskytnout úvěr či záruku k němu, shora uvedené platí i vůči Vedoucím pracovníkům, Statutárním orgánům nebo hlavním společníkům takové entity, pokud úvěr či ručení není pro dlužníka a věřitele nevýznamný. Pokud je úvěr pro věřitele či dlužníka významný, musí být postup projednán s Ředitelem nezávislosti.</w:t>
      </w:r>
    </w:p>
    <w:p w14:paraId="5141A7FB"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5ED621E0"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Povinné osoby ve vztahu k SEC Omezené entitě</w:t>
      </w:r>
    </w:p>
    <w:p w14:paraId="57DE691D" w14:textId="77777777" w:rsidR="00402CED" w:rsidRPr="002D74AC" w:rsidRDefault="00402CED" w:rsidP="004E5571">
      <w:pPr>
        <w:numPr>
          <w:ilvl w:val="0"/>
          <w:numId w:val="3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Povinné osoby ve vztahu k SEC Omezené entitě, a Nejbližší rodinní příslušníci těchto Povinných osob by neměli mít úvěr od této SEC Omezené entity nebo jejích vedoucích pracovníků, statutárních orgánů nebo skutečných majitelů ve výši větší než 10 procent kapitálových cenných papírů příslušné entity, pokud úvěr není poskytnut od finanční instituce na základě jejích obvyklých úvěrových postupů, podmínek a požadavků a není jedním z následujících:</w:t>
      </w:r>
    </w:p>
    <w:p w14:paraId="0A73561B" w14:textId="77777777" w:rsidR="00402CED" w:rsidRPr="002D74AC" w:rsidRDefault="00402CED" w:rsidP="004E5571">
      <w:pPr>
        <w:numPr>
          <w:ilvl w:val="0"/>
          <w:numId w:val="4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úvěr na automobil nebo leasing zajištěný automobilem;</w:t>
      </w:r>
    </w:p>
    <w:p w14:paraId="05BAF1C0" w14:textId="77777777" w:rsidR="00402CED" w:rsidRPr="002D74AC" w:rsidRDefault="00402CED" w:rsidP="004E5571">
      <w:pPr>
        <w:numPr>
          <w:ilvl w:val="0"/>
          <w:numId w:val="4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úvěr plně zajištěný odkupní hodnotou pojistné smlouvy;</w:t>
      </w:r>
    </w:p>
    <w:p w14:paraId="6FD8FF1B" w14:textId="77777777" w:rsidR="00402CED" w:rsidRPr="002D74AC" w:rsidRDefault="00402CED" w:rsidP="004E5571">
      <w:pPr>
        <w:numPr>
          <w:ilvl w:val="0"/>
          <w:numId w:val="4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úvěr plně zajištěný hotovostními vklady ve stejné finanční instituci;</w:t>
      </w:r>
    </w:p>
    <w:p w14:paraId="72BF9D06" w14:textId="77777777" w:rsidR="00402CED" w:rsidRPr="002D74AC" w:rsidRDefault="00402CED" w:rsidP="004E5571">
      <w:pPr>
        <w:numPr>
          <w:ilvl w:val="0"/>
          <w:numId w:val="4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hypoteční úvěr zajištěný hlavním bydlištěm dlužníka, pokud byl úvěr získán před tím, než se fyzická osoba stala Povinnou osobou ve vztahu k SEC Omezené entitě nebo před tím, než se entita stala SEC Omezenou entitou;</w:t>
      </w:r>
    </w:p>
    <w:p w14:paraId="3BF7F6E0" w14:textId="77777777" w:rsidR="00402CED" w:rsidRPr="002D74AC" w:rsidRDefault="00402CED" w:rsidP="004E5571">
      <w:pPr>
        <w:numPr>
          <w:ilvl w:val="0"/>
          <w:numId w:val="4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zůstatek na kreditní kartě, kdy je souhrnný neuhrazený zůstatek průběžně snížen na částku 10 000 US$ nebo na ekvivalent této částky či menší částku s přihlédnutím k datu splatnosti a jakémukoliv dostupnému tolerančnímu období;</w:t>
      </w:r>
    </w:p>
    <w:p w14:paraId="32C6C76B" w14:textId="77777777" w:rsidR="00402CED" w:rsidRPr="002D74AC" w:rsidRDefault="00402CED" w:rsidP="004E5571">
      <w:pPr>
        <w:numPr>
          <w:ilvl w:val="0"/>
          <w:numId w:val="4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tzv. „</w:t>
      </w:r>
      <w:proofErr w:type="spellStart"/>
      <w:r w:rsidRPr="002D74AC">
        <w:rPr>
          <w:rFonts w:asciiTheme="minorHAnsi" w:hAnsiTheme="minorHAnsi" w:cstheme="minorHAnsi"/>
          <w:color w:val="auto"/>
          <w:sz w:val="20"/>
          <w:szCs w:val="20"/>
          <w:lang w:val="cs-CZ"/>
        </w:rPr>
        <w:t>grandfathered</w:t>
      </w:r>
      <w:proofErr w:type="spellEnd"/>
      <w:r w:rsidRPr="002D74AC">
        <w:rPr>
          <w:rFonts w:asciiTheme="minorHAnsi" w:hAnsiTheme="minorHAnsi" w:cstheme="minorHAnsi"/>
          <w:color w:val="auto"/>
          <w:sz w:val="20"/>
          <w:szCs w:val="20"/>
          <w:lang w:val="cs-CZ"/>
        </w:rPr>
        <w:t>“ úvěr (tzn. úvěr, u nějž platí zásada ochrany původního stavu) podle článku 2.40 DPM 1420.</w:t>
      </w:r>
    </w:p>
    <w:p w14:paraId="0EDD17C2" w14:textId="77777777" w:rsidR="00402CED" w:rsidRPr="002D74AC" w:rsidRDefault="00402CED" w:rsidP="004E5571">
      <w:pPr>
        <w:numPr>
          <w:ilvl w:val="0"/>
          <w:numId w:val="34"/>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lastRenderedPageBreak/>
        <w:t>Odborný personál, kterým jsou Povinné osoby ve vztahu k SEC Omezené entitě, a Nejbližší rodinní příslušníci takové Povinné osoby, by neměli poskytnout úvěr SEC Omezené entitě nebo vedoucím pracovníkům, statutárním orgánům nebo skutečným majitelům ve výši větší než 10 procent kapitálových cenných papírů této entity.</w:t>
      </w:r>
    </w:p>
    <w:p w14:paraId="52E536AE"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3E6F9CCF" w14:textId="77777777" w:rsidR="00402CED" w:rsidRPr="002D74AC" w:rsidRDefault="00402CED" w:rsidP="00402CED">
      <w:pPr>
        <w:rPr>
          <w:rFonts w:asciiTheme="minorHAnsi" w:hAnsiTheme="minorHAnsi" w:cstheme="minorHAnsi"/>
          <w:b/>
          <w:color w:val="00B0F0"/>
          <w:sz w:val="20"/>
          <w:szCs w:val="20"/>
          <w:lang w:val="cs-CZ"/>
        </w:rPr>
      </w:pPr>
      <w:r w:rsidRPr="002D74AC">
        <w:rPr>
          <w:rFonts w:asciiTheme="minorHAnsi" w:hAnsiTheme="minorHAnsi" w:cstheme="minorHAnsi"/>
          <w:b/>
          <w:color w:val="00B0F0"/>
          <w:sz w:val="20"/>
          <w:szCs w:val="20"/>
          <w:lang w:val="cs-CZ"/>
        </w:rPr>
        <w:t>ÚČTY U FINANČNÍCH INSTITUCÍ (bankovní účty, účty cenných papírů a jiné účty)</w:t>
      </w:r>
    </w:p>
    <w:p w14:paraId="5ADF84BE" w14:textId="77777777" w:rsidR="00402CED" w:rsidRPr="002D74AC" w:rsidRDefault="00402CED" w:rsidP="00402CED">
      <w:pPr>
        <w:rPr>
          <w:rFonts w:asciiTheme="minorHAnsi" w:hAnsiTheme="minorHAnsi" w:cstheme="minorHAnsi"/>
          <w:b/>
          <w:i/>
          <w:color w:val="002060"/>
          <w:sz w:val="20"/>
          <w:szCs w:val="20"/>
          <w:lang w:val="cs-CZ"/>
        </w:rPr>
      </w:pPr>
      <w:r w:rsidRPr="002D74AC">
        <w:rPr>
          <w:rFonts w:asciiTheme="minorHAnsi" w:hAnsiTheme="minorHAnsi" w:cstheme="minorHAnsi"/>
          <w:b/>
          <w:i/>
          <w:color w:val="00B0F0"/>
          <w:sz w:val="20"/>
          <w:szCs w:val="20"/>
          <w:lang w:val="cs-CZ"/>
        </w:rPr>
        <w:t>Postupy platné pro Odborný personál, kterým jsou členové Auditního týmu</w:t>
      </w:r>
    </w:p>
    <w:p w14:paraId="4BF45B2B" w14:textId="77777777" w:rsidR="00402CED" w:rsidRPr="002D74AC" w:rsidRDefault="00402CED" w:rsidP="004E5571">
      <w:pPr>
        <w:numPr>
          <w:ilvl w:val="0"/>
          <w:numId w:val="35"/>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členové Auditního týmu, a Nejbližší rodinní příslušníci těchto fyzických osob by neměli uskutečňovat vklady nebo mít Účty cenných papírů u Omezené entity, která je finanční institucí, pokud takový vklad nebo účet není zřízen za běžných obchodních podmínek.</w:t>
      </w:r>
    </w:p>
    <w:p w14:paraId="785A5AE8"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3D5E71C3"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Povinné osoby ve vztahu k SEC Omezené entitě</w:t>
      </w:r>
    </w:p>
    <w:p w14:paraId="6B3F2CDD" w14:textId="77777777" w:rsidR="00402CED" w:rsidRPr="002D74AC" w:rsidRDefault="00402CED" w:rsidP="004E5571">
      <w:pPr>
        <w:numPr>
          <w:ilvl w:val="0"/>
          <w:numId w:val="35"/>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kterým jsou Povinné osoby ve vztahu k SEC Omezené entitě, a Nejbližší rodinní příslušníci takových Povinných osob by neměli mít žádné úspory, šeky nebo podobné účty nebo vklady (např. depozitní certifikáty, fixní vklady, termínované vklady atd.) u banky, spořitelny či úvěrové nebo jiné finanční instituce, která je SEC Omezenou entitou, pokud zůstatek na účtu není vždy plně pojištěn orgánem U.S. </w:t>
      </w:r>
      <w:proofErr w:type="spellStart"/>
      <w:r w:rsidRPr="002D74AC">
        <w:rPr>
          <w:rFonts w:asciiTheme="minorHAnsi" w:hAnsiTheme="minorHAnsi" w:cstheme="minorHAnsi"/>
          <w:color w:val="auto"/>
          <w:sz w:val="20"/>
          <w:szCs w:val="20"/>
          <w:lang w:val="cs-CZ"/>
        </w:rPr>
        <w:t>Federal</w:t>
      </w:r>
      <w:proofErr w:type="spellEnd"/>
      <w:r w:rsidRPr="002D74AC">
        <w:rPr>
          <w:rFonts w:asciiTheme="minorHAnsi" w:hAnsiTheme="minorHAnsi" w:cstheme="minorHAnsi"/>
          <w:color w:val="auto"/>
          <w:sz w:val="20"/>
          <w:szCs w:val="20"/>
          <w:lang w:val="cs-CZ"/>
        </w:rPr>
        <w:t xml:space="preserve"> Deposit </w:t>
      </w:r>
      <w:proofErr w:type="spellStart"/>
      <w:r w:rsidRPr="002D74AC">
        <w:rPr>
          <w:rFonts w:asciiTheme="minorHAnsi" w:hAnsiTheme="minorHAnsi" w:cstheme="minorHAnsi"/>
          <w:color w:val="auto"/>
          <w:sz w:val="20"/>
          <w:szCs w:val="20"/>
          <w:lang w:val="cs-CZ"/>
        </w:rPr>
        <w:t>Insurance</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Corporation</w:t>
      </w:r>
      <w:proofErr w:type="spellEnd"/>
      <w:r w:rsidRPr="002D74AC">
        <w:rPr>
          <w:rFonts w:asciiTheme="minorHAnsi" w:hAnsiTheme="minorHAnsi" w:cstheme="minorHAnsi"/>
          <w:color w:val="auto"/>
          <w:sz w:val="20"/>
          <w:szCs w:val="20"/>
          <w:lang w:val="cs-CZ"/>
        </w:rPr>
        <w:t xml:space="preserve"> nebo jeho ekvivalentem mimo USA.</w:t>
      </w:r>
      <w:r w:rsidRPr="002D74AC">
        <w:rPr>
          <w:rFonts w:asciiTheme="minorHAnsi" w:hAnsiTheme="minorHAnsi" w:cstheme="minorHAnsi"/>
          <w:color w:val="auto"/>
          <w:sz w:val="20"/>
          <w:szCs w:val="20"/>
          <w:lang w:val="cs-CZ"/>
        </w:rPr>
        <w:br/>
        <w:t>V souladu s tím takové Povinné osoby musí porozumět tomu, zda v jurisdikci jejich státu existuje pojištění vkladů, a pokud existuje, jak je toto pojištění uplatňováno.</w:t>
      </w:r>
    </w:p>
    <w:p w14:paraId="71A9111E" w14:textId="77777777" w:rsidR="00402CED" w:rsidRPr="002D74AC" w:rsidRDefault="00402CED" w:rsidP="004E5571">
      <w:pPr>
        <w:numPr>
          <w:ilvl w:val="0"/>
          <w:numId w:val="35"/>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Povinné osoby ve vztahu k SEC Omezené entitě, a Nejbližší rodinní příslušníci takových Povinných osob by neměli mít Účet cenných papírů nebo podobný účet spravovaný makléřem, který je SEC Omezenou entitou, pokud:</w:t>
      </w:r>
    </w:p>
    <w:p w14:paraId="7E02AF65" w14:textId="77777777" w:rsidR="00402CED" w:rsidRPr="002D74AC" w:rsidRDefault="00402CED" w:rsidP="004E5571">
      <w:pPr>
        <w:numPr>
          <w:ilvl w:val="0"/>
          <w:numId w:val="45"/>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tento účet zahrnuje jakákoliv jiná aktiva než hotovost nebo cenné papíry ve smyslu „cenných papírů“ dle USA zákona o ochraně investorů (U.S. </w:t>
      </w:r>
      <w:proofErr w:type="spellStart"/>
      <w:r w:rsidRPr="002D74AC">
        <w:rPr>
          <w:rFonts w:asciiTheme="minorHAnsi" w:hAnsiTheme="minorHAnsi" w:cstheme="minorHAnsi"/>
          <w:color w:val="auto"/>
          <w:sz w:val="20"/>
          <w:szCs w:val="20"/>
          <w:lang w:val="cs-CZ"/>
        </w:rPr>
        <w:t>Securities</w:t>
      </w:r>
      <w:proofErr w:type="spellEnd"/>
      <w:r w:rsidRPr="002D74AC">
        <w:rPr>
          <w:rFonts w:asciiTheme="minorHAnsi" w:hAnsiTheme="minorHAnsi" w:cstheme="minorHAnsi"/>
          <w:color w:val="auto"/>
          <w:sz w:val="20"/>
          <w:szCs w:val="20"/>
          <w:lang w:val="cs-CZ"/>
        </w:rPr>
        <w:t xml:space="preserve"> Investor </w:t>
      </w:r>
      <w:proofErr w:type="spellStart"/>
      <w:r w:rsidRPr="002D74AC">
        <w:rPr>
          <w:rFonts w:asciiTheme="minorHAnsi" w:hAnsiTheme="minorHAnsi" w:cstheme="minorHAnsi"/>
          <w:color w:val="auto"/>
          <w:sz w:val="20"/>
          <w:szCs w:val="20"/>
          <w:lang w:val="cs-CZ"/>
        </w:rPr>
        <w:t>Protection</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Act</w:t>
      </w:r>
      <w:proofErr w:type="spellEnd"/>
      <w:r w:rsidRPr="002D74AC">
        <w:rPr>
          <w:rFonts w:asciiTheme="minorHAnsi" w:hAnsiTheme="minorHAnsi" w:cstheme="minorHAnsi"/>
          <w:color w:val="auto"/>
          <w:sz w:val="20"/>
          <w:szCs w:val="20"/>
          <w:lang w:val="cs-CZ"/>
        </w:rPr>
        <w:t xml:space="preserve"> - SIPA) z roku 1970; </w:t>
      </w:r>
    </w:p>
    <w:p w14:paraId="480FAD80" w14:textId="77777777" w:rsidR="00402CED" w:rsidRPr="002D74AC" w:rsidRDefault="00402CED" w:rsidP="004E5571">
      <w:pPr>
        <w:numPr>
          <w:ilvl w:val="0"/>
          <w:numId w:val="45"/>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hodnota aktiv na účtu přesahuje výši, která podléhá půjčce orgánem </w:t>
      </w:r>
      <w:proofErr w:type="spellStart"/>
      <w:r w:rsidRPr="002D74AC">
        <w:rPr>
          <w:rFonts w:asciiTheme="minorHAnsi" w:hAnsiTheme="minorHAnsi" w:cstheme="minorHAnsi"/>
          <w:color w:val="auto"/>
          <w:sz w:val="20"/>
          <w:szCs w:val="20"/>
          <w:lang w:val="cs-CZ"/>
        </w:rPr>
        <w:t>Securities</w:t>
      </w:r>
      <w:proofErr w:type="spellEnd"/>
      <w:r w:rsidRPr="002D74AC">
        <w:rPr>
          <w:rFonts w:asciiTheme="minorHAnsi" w:hAnsiTheme="minorHAnsi" w:cstheme="minorHAnsi"/>
          <w:color w:val="auto"/>
          <w:sz w:val="20"/>
          <w:szCs w:val="20"/>
          <w:lang w:val="cs-CZ"/>
        </w:rPr>
        <w:t xml:space="preserve"> Investor </w:t>
      </w:r>
      <w:proofErr w:type="spellStart"/>
      <w:r w:rsidRPr="002D74AC">
        <w:rPr>
          <w:rFonts w:asciiTheme="minorHAnsi" w:hAnsiTheme="minorHAnsi" w:cstheme="minorHAnsi"/>
          <w:color w:val="auto"/>
          <w:sz w:val="20"/>
          <w:szCs w:val="20"/>
          <w:lang w:val="cs-CZ"/>
        </w:rPr>
        <w:t>Protection</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Corporation</w:t>
      </w:r>
      <w:proofErr w:type="spellEnd"/>
      <w:r w:rsidRPr="002D74AC">
        <w:rPr>
          <w:rFonts w:asciiTheme="minorHAnsi" w:hAnsiTheme="minorHAnsi" w:cstheme="minorHAnsi"/>
          <w:color w:val="auto"/>
          <w:sz w:val="20"/>
          <w:szCs w:val="20"/>
          <w:lang w:val="cs-CZ"/>
        </w:rPr>
        <w:t xml:space="preserve"> u těchto účtů, podle § 9 SIPA; nebo </w:t>
      </w:r>
    </w:p>
    <w:p w14:paraId="1C7FF26D" w14:textId="77777777" w:rsidR="00402CED" w:rsidRPr="002D74AC" w:rsidRDefault="00402CED" w:rsidP="004E5571">
      <w:pPr>
        <w:numPr>
          <w:ilvl w:val="0"/>
          <w:numId w:val="45"/>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účet je účet nepodléhající pravidlům USA, který nepodléhá ochraně SIPA a hodnota aktiv na účtu přesahuje výši pojištěnou nebo chráněnou programem podobným SIPA. V souladu s tím takové Povinné osoby musí porozumět tomu, zda existuje pojištění vkladů nebo ochrana ve státu jejich jurisdikce, a pokud existuje, jak je toto pojištění uplatňováno.</w:t>
      </w:r>
    </w:p>
    <w:p w14:paraId="7383FACA" w14:textId="77777777" w:rsidR="00402CED" w:rsidRPr="002D74AC" w:rsidRDefault="00402CED" w:rsidP="00402CED">
      <w:pPr>
        <w:tabs>
          <w:tab w:val="left" w:pos="360"/>
        </w:tabs>
        <w:spacing w:before="120"/>
        <w:ind w:left="36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 některých zemích je tento účet chráněn zákonem. Zkonzultujte záležitost s Ředitelem nezávislost, pokud si nejste jisti, zda je možné mít tento účet cenných papírů.</w:t>
      </w:r>
    </w:p>
    <w:p w14:paraId="29390441" w14:textId="77777777" w:rsidR="00402CED" w:rsidRPr="002D74AC" w:rsidRDefault="00402CED" w:rsidP="004E5571">
      <w:pPr>
        <w:numPr>
          <w:ilvl w:val="0"/>
          <w:numId w:val="36"/>
        </w:numPr>
        <w:spacing w:before="120" w:after="24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kterým jsou Povinné osoby ve vztahu k SEC Omezené entitě, nebo Nejbližší rodinní příslušníci takových Povinných osob by neměli mít žádné účty pro obchodování futures, komoditní účty nebo podobné účty spravované makléřem typu futures </w:t>
      </w:r>
      <w:proofErr w:type="spellStart"/>
      <w:r w:rsidRPr="002D74AC">
        <w:rPr>
          <w:rFonts w:asciiTheme="minorHAnsi" w:hAnsiTheme="minorHAnsi" w:cstheme="minorHAnsi"/>
          <w:color w:val="auto"/>
          <w:sz w:val="20"/>
          <w:szCs w:val="20"/>
          <w:lang w:val="cs-CZ"/>
        </w:rPr>
        <w:t>commission</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merchant</w:t>
      </w:r>
      <w:proofErr w:type="spellEnd"/>
      <w:r w:rsidRPr="002D74AC">
        <w:rPr>
          <w:rFonts w:asciiTheme="minorHAnsi" w:hAnsiTheme="minorHAnsi" w:cstheme="minorHAnsi"/>
          <w:color w:val="auto"/>
          <w:sz w:val="20"/>
          <w:szCs w:val="20"/>
          <w:lang w:val="cs-CZ"/>
        </w:rPr>
        <w:t>, který je SEC Omezenou entitou.</w:t>
      </w:r>
    </w:p>
    <w:p w14:paraId="0B65089C" w14:textId="77777777" w:rsidR="00402CED" w:rsidRPr="002D74AC" w:rsidRDefault="00402CED" w:rsidP="00402CED">
      <w:pPr>
        <w:rPr>
          <w:rFonts w:asciiTheme="minorHAnsi" w:hAnsiTheme="minorHAnsi" w:cstheme="minorHAnsi"/>
          <w:b/>
          <w:color w:val="00B0F0"/>
          <w:sz w:val="20"/>
          <w:szCs w:val="20"/>
          <w:lang w:val="cs-CZ"/>
        </w:rPr>
      </w:pPr>
    </w:p>
    <w:p w14:paraId="3E07F7BA" w14:textId="77777777" w:rsidR="00402CED" w:rsidRPr="002D74AC" w:rsidRDefault="00402CED" w:rsidP="00402CED">
      <w:pPr>
        <w:rPr>
          <w:rFonts w:asciiTheme="minorHAnsi" w:hAnsiTheme="minorHAnsi" w:cstheme="minorHAnsi"/>
          <w:b/>
          <w:color w:val="00B0F0"/>
          <w:sz w:val="20"/>
          <w:szCs w:val="20"/>
          <w:lang w:val="cs-CZ"/>
        </w:rPr>
      </w:pPr>
    </w:p>
    <w:p w14:paraId="52B7771B" w14:textId="77777777" w:rsidR="00402CED" w:rsidRPr="002D74AC" w:rsidRDefault="00402CED" w:rsidP="00402CED">
      <w:pPr>
        <w:rPr>
          <w:rFonts w:asciiTheme="minorHAnsi" w:hAnsiTheme="minorHAnsi" w:cstheme="minorHAnsi"/>
          <w:b/>
          <w:color w:val="00B0F0"/>
          <w:sz w:val="20"/>
          <w:szCs w:val="20"/>
          <w:lang w:val="cs-CZ"/>
        </w:rPr>
      </w:pPr>
    </w:p>
    <w:p w14:paraId="63612D29" w14:textId="77777777" w:rsidR="00402CED" w:rsidRPr="002D74AC" w:rsidRDefault="00402CED" w:rsidP="00402CED">
      <w:pPr>
        <w:rPr>
          <w:rFonts w:asciiTheme="minorHAnsi" w:hAnsiTheme="minorHAnsi" w:cstheme="minorHAnsi"/>
          <w:b/>
          <w:color w:val="00B0F0"/>
          <w:sz w:val="20"/>
          <w:szCs w:val="20"/>
          <w:lang w:val="cs-CZ"/>
        </w:rPr>
      </w:pPr>
      <w:r w:rsidRPr="002D74AC">
        <w:rPr>
          <w:rFonts w:asciiTheme="minorHAnsi" w:hAnsiTheme="minorHAnsi" w:cstheme="minorHAnsi"/>
          <w:b/>
          <w:color w:val="00B0F0"/>
          <w:sz w:val="20"/>
          <w:szCs w:val="20"/>
          <w:lang w:val="cs-CZ"/>
        </w:rPr>
        <w:t>POJISTNÉ PRODUKTY</w:t>
      </w:r>
    </w:p>
    <w:p w14:paraId="220E5C62" w14:textId="77777777" w:rsidR="00402CED" w:rsidRPr="002D74AC" w:rsidRDefault="00402CED" w:rsidP="004E5571">
      <w:pPr>
        <w:numPr>
          <w:ilvl w:val="0"/>
          <w:numId w:val="36"/>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 poskytuje Odborné služby Omezené entitě, a jeho Nejbližší rodinní příslušníci by neměli mít pojistné produkty u těchto Omezených entit, pokud tyto produkty nejsou v souladu s běžnými obchodními podmínkami. Pokud pojistné produkty mají investiční prvek, může dojít ke vzniku pochybnosti o nezávislosti, proto by záležitost měla být před zahájením prací na zakázce projednána s Ředitelem nezávislost.</w:t>
      </w:r>
    </w:p>
    <w:p w14:paraId="1BFAD0F4"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002EE0B5"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Povinné osoby ve vztahu k SEC Omezené entitě</w:t>
      </w:r>
    </w:p>
    <w:p w14:paraId="216F3ED9" w14:textId="77777777" w:rsidR="00402CED" w:rsidRPr="002D74AC" w:rsidRDefault="00402CED" w:rsidP="004E5571">
      <w:pPr>
        <w:numPr>
          <w:ilvl w:val="0"/>
          <w:numId w:val="36"/>
        </w:numPr>
        <w:spacing w:before="120"/>
        <w:rPr>
          <w:rFonts w:asciiTheme="minorHAnsi" w:hAnsiTheme="minorHAnsi" w:cstheme="minorHAnsi"/>
          <w:b/>
          <w:color w:val="auto"/>
          <w:sz w:val="20"/>
          <w:szCs w:val="20"/>
          <w:u w:val="single"/>
          <w:lang w:val="cs-CZ"/>
        </w:rPr>
      </w:pPr>
      <w:r w:rsidRPr="002D74AC">
        <w:rPr>
          <w:rFonts w:asciiTheme="minorHAnsi" w:hAnsiTheme="minorHAnsi" w:cstheme="minorHAnsi"/>
          <w:color w:val="auto"/>
          <w:sz w:val="20"/>
          <w:szCs w:val="20"/>
          <w:lang w:val="cs-CZ"/>
        </w:rPr>
        <w:lastRenderedPageBreak/>
        <w:t xml:space="preserve">Odborný personál, kterým jsou Povinné osoby ve vztahu k SEC Omezené entitě, a jejich Nejbližší rodinní příslušníci by neměli získat individuální pojistnou smlouvu od SEC Omezené entity. Fyzická osoba si může ponechat pojistnou smlouvu, pokud (1) byla získána před tím, než se tato Povinná osoba stala Povinnou osobou ve vztahu k SEC Omezené entitě, (2) nebyly uskutečněny žádné významné změny pojistné smlouvy fyzickou osobou poté, co se stala Povinnou osobou, a (3) pravděpodobnost, že se SEC Omezená entita stane insolventní, je malá.  </w:t>
      </w:r>
    </w:p>
    <w:p w14:paraId="43CABC10" w14:textId="77777777" w:rsidR="00402CED" w:rsidRPr="002D74AC" w:rsidRDefault="00402CED" w:rsidP="00402CED">
      <w:pPr>
        <w:rPr>
          <w:rFonts w:asciiTheme="minorHAnsi" w:hAnsiTheme="minorHAnsi" w:cstheme="minorHAnsi"/>
          <w:b/>
          <w:color w:val="002060"/>
          <w:sz w:val="20"/>
          <w:szCs w:val="20"/>
          <w:lang w:val="cs-CZ"/>
        </w:rPr>
      </w:pPr>
    </w:p>
    <w:p w14:paraId="539D80A3" w14:textId="77777777" w:rsidR="00402CED" w:rsidRPr="002D74AC" w:rsidRDefault="00402CED" w:rsidP="00402CED">
      <w:pPr>
        <w:rPr>
          <w:rFonts w:asciiTheme="minorHAnsi" w:hAnsiTheme="minorHAnsi" w:cstheme="minorHAnsi"/>
          <w:b/>
          <w:color w:val="00B0F0"/>
          <w:sz w:val="20"/>
          <w:szCs w:val="20"/>
          <w:u w:val="single"/>
          <w:lang w:val="cs-CZ"/>
        </w:rPr>
      </w:pPr>
      <w:r w:rsidRPr="002D74AC">
        <w:rPr>
          <w:rFonts w:asciiTheme="minorHAnsi" w:hAnsiTheme="minorHAnsi" w:cstheme="minorHAnsi"/>
          <w:b/>
          <w:color w:val="00B0F0"/>
          <w:sz w:val="20"/>
          <w:szCs w:val="20"/>
          <w:lang w:val="cs-CZ"/>
        </w:rPr>
        <w:t xml:space="preserve">POZICE STATUTÁRNÍHO ORGÁNU/VEDOUCÍCH PRACOVNÍKŮ </w:t>
      </w:r>
    </w:p>
    <w:p w14:paraId="5C5CCA59" w14:textId="77777777" w:rsidR="00402CED" w:rsidRPr="002D74AC" w:rsidRDefault="00402CED" w:rsidP="004E5571">
      <w:pPr>
        <w:numPr>
          <w:ilvl w:val="0"/>
          <w:numId w:val="36"/>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by neměl vykonávat činnost jako vedoucí pracovník nebo člen představenstva nebo podobného vedoucího či řídícího orgánu Omezené entity.   </w:t>
      </w:r>
    </w:p>
    <w:p w14:paraId="6ECBB011" w14:textId="77777777" w:rsidR="00402CED" w:rsidRPr="002D74AC" w:rsidRDefault="00402CED" w:rsidP="00402CED">
      <w:pPr>
        <w:rPr>
          <w:rFonts w:asciiTheme="minorHAnsi" w:hAnsiTheme="minorHAnsi" w:cstheme="minorHAnsi"/>
          <w:b/>
          <w:color w:val="002060"/>
          <w:sz w:val="20"/>
          <w:szCs w:val="20"/>
          <w:lang w:val="cs-CZ"/>
        </w:rPr>
      </w:pPr>
    </w:p>
    <w:p w14:paraId="172E600F" w14:textId="77777777" w:rsidR="00402CED" w:rsidRPr="002D74AC" w:rsidRDefault="00402CED" w:rsidP="00402CED">
      <w:pPr>
        <w:rPr>
          <w:rFonts w:asciiTheme="minorHAnsi" w:hAnsiTheme="minorHAnsi" w:cstheme="minorHAnsi"/>
          <w:b/>
          <w:color w:val="00B0F0"/>
          <w:sz w:val="20"/>
          <w:szCs w:val="20"/>
          <w:lang w:val="cs-CZ"/>
        </w:rPr>
      </w:pPr>
      <w:r w:rsidRPr="002D74AC">
        <w:rPr>
          <w:rFonts w:asciiTheme="minorHAnsi" w:hAnsiTheme="minorHAnsi" w:cstheme="minorHAnsi"/>
          <w:b/>
          <w:color w:val="00B0F0"/>
          <w:sz w:val="20"/>
          <w:szCs w:val="20"/>
          <w:lang w:val="cs-CZ"/>
        </w:rPr>
        <w:t xml:space="preserve">PRACOVNÍ POMĚR </w:t>
      </w:r>
    </w:p>
    <w:p w14:paraId="6927D7DE" w14:textId="77777777" w:rsidR="00402CED" w:rsidRPr="002D74AC" w:rsidRDefault="00402CED" w:rsidP="004E5571">
      <w:pPr>
        <w:numPr>
          <w:ilvl w:val="0"/>
          <w:numId w:val="38"/>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 během období pokrytého zprávou auditora (1) vykonával činnost jako Vedoucí pracovník nebo Statutární orgán Omezené entity, nebo (2) byl zaměstnán takovou entitou na pozici mající významný vliv na přípravu účetních záznamů nebo účetních závěrek Omezené entity, by se neměl stát členem Auditního týmu pro takovou Omezenou entitu.   </w:t>
      </w:r>
    </w:p>
    <w:p w14:paraId="3891573C" w14:textId="77777777" w:rsidR="00402CED" w:rsidRPr="002D74AC" w:rsidRDefault="00402CED" w:rsidP="00402CED">
      <w:pPr>
        <w:spacing w:before="120"/>
        <w:ind w:left="360"/>
        <w:rPr>
          <w:rFonts w:asciiTheme="minorHAnsi" w:hAnsiTheme="minorHAnsi" w:cstheme="minorHAnsi"/>
          <w:sz w:val="20"/>
          <w:szCs w:val="20"/>
          <w:lang w:val="cs-CZ"/>
        </w:rPr>
      </w:pPr>
    </w:p>
    <w:p w14:paraId="3ACC6EBE"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členové Auditního týmu</w:t>
      </w:r>
    </w:p>
    <w:p w14:paraId="4FC12F9C" w14:textId="77777777" w:rsidR="00402CED" w:rsidRPr="002D74AC" w:rsidRDefault="00402CED" w:rsidP="004E5571">
      <w:pPr>
        <w:numPr>
          <w:ilvl w:val="0"/>
          <w:numId w:val="37"/>
        </w:numPr>
        <w:spacing w:before="120"/>
        <w:rPr>
          <w:rFonts w:asciiTheme="minorHAnsi" w:hAnsiTheme="minorHAnsi" w:cstheme="minorHAnsi"/>
          <w:b/>
          <w:i/>
          <w:color w:val="auto"/>
          <w:sz w:val="20"/>
          <w:szCs w:val="20"/>
          <w:lang w:val="cs-CZ"/>
        </w:rPr>
      </w:pPr>
      <w:r w:rsidRPr="002D74AC">
        <w:rPr>
          <w:rFonts w:asciiTheme="minorHAnsi" w:hAnsiTheme="minorHAnsi" w:cstheme="minorHAnsi"/>
          <w:color w:val="auto"/>
          <w:sz w:val="20"/>
          <w:szCs w:val="20"/>
          <w:lang w:val="cs-CZ"/>
        </w:rPr>
        <w:t>Odborný personál, kterým jsou členové Auditového týmu ve vztahu k Omezené entitě, by neměl být zaměstnancem takové Omezené entity.</w:t>
      </w:r>
    </w:p>
    <w:p w14:paraId="414C638A" w14:textId="77777777" w:rsidR="00402CED" w:rsidRPr="002D74AC" w:rsidRDefault="00402CED" w:rsidP="00402CED">
      <w:pPr>
        <w:spacing w:before="120"/>
        <w:ind w:left="360"/>
        <w:rPr>
          <w:rFonts w:asciiTheme="minorHAnsi" w:hAnsiTheme="minorHAnsi" w:cstheme="minorHAnsi"/>
          <w:b/>
          <w:i/>
          <w:sz w:val="20"/>
          <w:szCs w:val="20"/>
          <w:lang w:val="cs-CZ"/>
        </w:rPr>
      </w:pPr>
      <w:r w:rsidRPr="002D74AC">
        <w:rPr>
          <w:rFonts w:asciiTheme="minorHAnsi" w:hAnsiTheme="minorHAnsi" w:cstheme="minorHAnsi"/>
          <w:sz w:val="20"/>
          <w:szCs w:val="20"/>
          <w:lang w:val="cs-CZ"/>
        </w:rPr>
        <w:t xml:space="preserve"> </w:t>
      </w:r>
    </w:p>
    <w:p w14:paraId="2A93863E"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veškerý Odborný personál ve vztahu k SEC Omezené entitě</w:t>
      </w:r>
    </w:p>
    <w:p w14:paraId="7891BB95" w14:textId="77777777" w:rsidR="00402CED" w:rsidRPr="002D74AC" w:rsidRDefault="00402CED" w:rsidP="004E5571">
      <w:pPr>
        <w:numPr>
          <w:ilvl w:val="0"/>
          <w:numId w:val="39"/>
        </w:numPr>
        <w:spacing w:before="120"/>
        <w:rPr>
          <w:rFonts w:asciiTheme="minorHAnsi" w:hAnsiTheme="minorHAnsi" w:cstheme="minorHAnsi"/>
          <w:b/>
          <w:i/>
          <w:color w:val="auto"/>
          <w:sz w:val="20"/>
          <w:szCs w:val="20"/>
          <w:lang w:val="cs-CZ"/>
        </w:rPr>
      </w:pPr>
      <w:r w:rsidRPr="002D74AC">
        <w:rPr>
          <w:rFonts w:asciiTheme="minorHAnsi" w:hAnsiTheme="minorHAnsi" w:cstheme="minorHAnsi"/>
          <w:color w:val="auto"/>
          <w:sz w:val="20"/>
          <w:szCs w:val="20"/>
          <w:lang w:val="cs-CZ"/>
        </w:rPr>
        <w:t xml:space="preserve">Odborný personál má zákaz vykonávat činnost jako zaměstnanec SEC Omezené entity, ať trvale nebo dočasně, a přitom být zároveň zaměstnancem Členské firmy.  </w:t>
      </w:r>
    </w:p>
    <w:p w14:paraId="09D632C7" w14:textId="77777777" w:rsidR="00402CED" w:rsidRPr="002D74AC" w:rsidRDefault="00402CED" w:rsidP="004E5571">
      <w:pPr>
        <w:numPr>
          <w:ilvl w:val="0"/>
          <w:numId w:val="3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Pokud člen Odborného personálu vstoupí do SEC Omezené entity v účetní funkci nebo ve funkci kontroly finančního reportingu (</w:t>
      </w:r>
      <w:proofErr w:type="spellStart"/>
      <w:r w:rsidRPr="002D74AC">
        <w:rPr>
          <w:rFonts w:asciiTheme="minorHAnsi" w:hAnsiTheme="minorHAnsi" w:cstheme="minorHAnsi"/>
          <w:color w:val="auto"/>
          <w:sz w:val="20"/>
          <w:szCs w:val="20"/>
          <w:lang w:val="cs-CZ"/>
        </w:rPr>
        <w:t>Accounting</w:t>
      </w:r>
      <w:proofErr w:type="spellEnd"/>
      <w:r w:rsidRPr="002D74AC">
        <w:rPr>
          <w:rFonts w:asciiTheme="minorHAnsi" w:hAnsiTheme="minorHAnsi" w:cstheme="minorHAnsi"/>
          <w:color w:val="auto"/>
          <w:sz w:val="20"/>
          <w:szCs w:val="20"/>
          <w:lang w:val="cs-CZ"/>
        </w:rPr>
        <w:t xml:space="preserve"> Role </w:t>
      </w:r>
      <w:proofErr w:type="spellStart"/>
      <w:r w:rsidRPr="002D74AC">
        <w:rPr>
          <w:rFonts w:asciiTheme="minorHAnsi" w:hAnsiTheme="minorHAnsi" w:cstheme="minorHAnsi"/>
          <w:color w:val="auto"/>
          <w:sz w:val="20"/>
          <w:szCs w:val="20"/>
          <w:lang w:val="cs-CZ"/>
        </w:rPr>
        <w:t>or</w:t>
      </w:r>
      <w:proofErr w:type="spellEnd"/>
      <w:r w:rsidRPr="002D74AC">
        <w:rPr>
          <w:rFonts w:asciiTheme="minorHAnsi" w:hAnsiTheme="minorHAnsi" w:cstheme="minorHAnsi"/>
          <w:color w:val="auto"/>
          <w:sz w:val="20"/>
          <w:szCs w:val="20"/>
          <w:lang w:val="cs-CZ"/>
        </w:rPr>
        <w:t xml:space="preserve"> </w:t>
      </w:r>
      <w:proofErr w:type="spellStart"/>
      <w:r w:rsidRPr="002D74AC">
        <w:rPr>
          <w:rFonts w:asciiTheme="minorHAnsi" w:hAnsiTheme="minorHAnsi" w:cstheme="minorHAnsi"/>
          <w:color w:val="auto"/>
          <w:sz w:val="20"/>
          <w:szCs w:val="20"/>
          <w:lang w:val="cs-CZ"/>
        </w:rPr>
        <w:t>Financial</w:t>
      </w:r>
      <w:proofErr w:type="spellEnd"/>
      <w:r w:rsidRPr="002D74AC">
        <w:rPr>
          <w:rFonts w:asciiTheme="minorHAnsi" w:hAnsiTheme="minorHAnsi" w:cstheme="minorHAnsi"/>
          <w:color w:val="auto"/>
          <w:sz w:val="20"/>
          <w:szCs w:val="20"/>
          <w:lang w:val="cs-CZ"/>
        </w:rPr>
        <w:t xml:space="preserve"> Reporting </w:t>
      </w:r>
      <w:proofErr w:type="spellStart"/>
      <w:r w:rsidRPr="002D74AC">
        <w:rPr>
          <w:rFonts w:asciiTheme="minorHAnsi" w:hAnsiTheme="minorHAnsi" w:cstheme="minorHAnsi"/>
          <w:color w:val="auto"/>
          <w:sz w:val="20"/>
          <w:szCs w:val="20"/>
          <w:lang w:val="cs-CZ"/>
        </w:rPr>
        <w:t>Oversight</w:t>
      </w:r>
      <w:proofErr w:type="spellEnd"/>
      <w:r w:rsidRPr="002D74AC">
        <w:rPr>
          <w:rFonts w:asciiTheme="minorHAnsi" w:hAnsiTheme="minorHAnsi" w:cstheme="minorHAnsi"/>
          <w:color w:val="auto"/>
          <w:sz w:val="20"/>
          <w:szCs w:val="20"/>
          <w:lang w:val="cs-CZ"/>
        </w:rPr>
        <w:t xml:space="preserve"> Role), může dojít k porušení nezávislosti (viz odstavce 3.19 – 3.21 DPM 1420).</w:t>
      </w:r>
    </w:p>
    <w:p w14:paraId="7966A247" w14:textId="77777777" w:rsidR="00402CED" w:rsidRPr="002D74AC" w:rsidRDefault="00402CED" w:rsidP="004E5571">
      <w:pPr>
        <w:numPr>
          <w:ilvl w:val="0"/>
          <w:numId w:val="3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 vykonával činnost jako vedoucí pracovník, statutární orgán nebo zaměstnanec SEC Omezené entity, má zákaz účastnit se nebo být v pozici mající vliv na audit účetních závěrek SEC Omezené entity pokrývajících jakékoliv období, během kterého  byla fyzická osoba zaměstnancem SEC Omezené entity nebo s ní byla spojena.  </w:t>
      </w:r>
    </w:p>
    <w:p w14:paraId="716C8184"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6AB18B61"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Povinné osoby ve vztahu k SEC Omezené entitě</w:t>
      </w:r>
    </w:p>
    <w:p w14:paraId="383CEDC4" w14:textId="77777777" w:rsidR="00402CED" w:rsidRPr="002D74AC" w:rsidRDefault="00402CED" w:rsidP="004E5571">
      <w:pPr>
        <w:numPr>
          <w:ilvl w:val="0"/>
          <w:numId w:val="3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Povinné osoby ve vztahu k SEC Omezené entitě, by měl neprodleně informovat Ředitele nezávislosti, že byla zahájena jednání o pracovním poměru se SEC Omezenou entitou.</w:t>
      </w:r>
    </w:p>
    <w:p w14:paraId="147A56C4"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345F5985" w14:textId="77777777" w:rsidR="00402CED" w:rsidRPr="002D74AC" w:rsidRDefault="00402CED" w:rsidP="00402CED">
      <w:pPr>
        <w:rPr>
          <w:rFonts w:asciiTheme="minorHAnsi" w:hAnsiTheme="minorHAnsi" w:cstheme="minorHAnsi"/>
          <w:b/>
          <w:color w:val="00B0F0"/>
          <w:sz w:val="20"/>
          <w:szCs w:val="20"/>
          <w:lang w:val="cs-CZ"/>
        </w:rPr>
      </w:pPr>
      <w:r w:rsidRPr="002D74AC">
        <w:rPr>
          <w:rFonts w:asciiTheme="minorHAnsi" w:hAnsiTheme="minorHAnsi" w:cstheme="minorHAnsi"/>
          <w:b/>
          <w:color w:val="00B0F0"/>
          <w:sz w:val="20"/>
          <w:szCs w:val="20"/>
          <w:lang w:val="cs-CZ"/>
        </w:rPr>
        <w:t xml:space="preserve">PRACOVNÍ POMĚR PŘÍBUZNÉ OSOBY NEBO JINÝCH OSOB </w:t>
      </w:r>
    </w:p>
    <w:p w14:paraId="48FA259F" w14:textId="77777777" w:rsidR="00402CED" w:rsidRPr="002D74AC" w:rsidRDefault="00402CED" w:rsidP="004E5571">
      <w:pPr>
        <w:numPr>
          <w:ilvl w:val="0"/>
          <w:numId w:val="39"/>
        </w:numPr>
        <w:spacing w:before="120"/>
        <w:rPr>
          <w:rFonts w:asciiTheme="minorHAnsi" w:hAnsiTheme="minorHAnsi" w:cstheme="minorHAnsi"/>
          <w:b/>
          <w:i/>
          <w:color w:val="auto"/>
          <w:sz w:val="20"/>
          <w:szCs w:val="20"/>
          <w:lang w:val="cs-CZ"/>
        </w:rPr>
      </w:pPr>
      <w:r w:rsidRPr="002D74AC">
        <w:rPr>
          <w:rFonts w:asciiTheme="minorHAnsi" w:hAnsiTheme="minorHAnsi" w:cstheme="minorHAnsi"/>
          <w:color w:val="auto"/>
          <w:sz w:val="20"/>
          <w:szCs w:val="20"/>
          <w:lang w:val="cs-CZ"/>
        </w:rPr>
        <w:t>Odborný personál je odpovědný za (1) identifikaci jakéhokoliv osobního či příbuzenského vztahu, který by mohl ohrozit nezávislost, jelikož fyzická osoba je Statutárním orgánem, Vedoucím pracovníkem nebo zaměstnancem Omezené entity na pozici mající významný vliv na přípravu účetních záznamů nebo účetních závěrek Omezené entity, a (2) projednání věci s Partnerem pro klientský servis odpovědným za Zakázku nebo s Ředitelem nezávislosti.</w:t>
      </w:r>
    </w:p>
    <w:p w14:paraId="3F822A97" w14:textId="77777777" w:rsidR="00402CED" w:rsidRPr="002D74AC" w:rsidRDefault="00402CED" w:rsidP="004E5571">
      <w:pPr>
        <w:numPr>
          <w:ilvl w:val="0"/>
          <w:numId w:val="3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Odborným personálem by neměli být členové Auditního týmu, pokud Nejbližší rodinný příslušník Odborného personálu je Statutární orgán, Vedoucí pracovník nebo zaměstnanec Omezené entity na pozici mající významný vliv na přípravu účetních záznamů nebo účetních závěrek Omezené entity nebo pokud byl na takové pozici v průběhu jakéhokoliv období pokrytého Zakázkou nebo účetní závěrkou. </w:t>
      </w:r>
    </w:p>
    <w:p w14:paraId="7FA8B6EC" w14:textId="77777777" w:rsidR="00402CED" w:rsidRPr="002D74AC" w:rsidRDefault="00402CED" w:rsidP="004E5571">
      <w:pPr>
        <w:numPr>
          <w:ilvl w:val="0"/>
          <w:numId w:val="3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lastRenderedPageBreak/>
        <w:t>Odborný personál by se neměl stát Povinnou osobou ve vztahu k SEC Omezené entitě, pokud je Nejbližší rodinný příslušník nebo Blízký rodinný příslušník člena Odborného personálu v účetní funkci nebo ve funkci kontroly finančního reportingu u SEC Omezené entity, nebo byl v takové pozici během jakéhokoliv období pokrytého auditem, vzhledem k němuž je Povinná osoba Povinnou osobou ve vztahu k této SEC Omezené entitě.</w:t>
      </w:r>
    </w:p>
    <w:p w14:paraId="067E744C"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3C404520" w14:textId="77777777" w:rsidR="00402CED" w:rsidRPr="002D74AC" w:rsidRDefault="00402CED" w:rsidP="00402CED">
      <w:pPr>
        <w:rPr>
          <w:rFonts w:asciiTheme="minorHAnsi" w:hAnsiTheme="minorHAnsi" w:cstheme="minorHAns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členové Auditního týmu</w:t>
      </w:r>
    </w:p>
    <w:p w14:paraId="08A8BB57" w14:textId="77777777" w:rsidR="00402CED" w:rsidRPr="002D74AC" w:rsidRDefault="00402CED" w:rsidP="004E5571">
      <w:pPr>
        <w:numPr>
          <w:ilvl w:val="0"/>
          <w:numId w:val="39"/>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přiřazený k Auditnímu týmu (1) identifikuje situace, v nichž Blízcí rodinní příslušníci nebo jiné osoby, s nimiž má člen Odborného personálu blízký vztah, působí jako Statutární orgán, Vedoucí pracovník nebo zaměstnanec Omezené entity na pozici mající významný vliv na přípravu účetních záznamů nebo účetních závěrek Omezené entity a (2) projedná věc s vedoucím Partnerem pro klientský servis odpovědným za Zakázku nebo s Ředitelem nezávislosti.</w:t>
      </w:r>
    </w:p>
    <w:p w14:paraId="4C279C7F"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26AB8E34" w14:textId="77777777" w:rsidR="00402CED" w:rsidRPr="002D74AC" w:rsidRDefault="00402CED" w:rsidP="00402CED">
      <w:pPr>
        <w:rPr>
          <w:rFonts w:asciiTheme="minorHAnsi" w:hAnsiTheme="minorHAnsi" w:cstheme="minorHAnsi"/>
          <w:b/>
          <w:color w:val="00B0F0"/>
          <w:sz w:val="20"/>
          <w:szCs w:val="20"/>
          <w:lang w:val="cs-CZ"/>
        </w:rPr>
      </w:pPr>
      <w:r w:rsidRPr="002D74AC">
        <w:rPr>
          <w:rFonts w:asciiTheme="minorHAnsi" w:hAnsiTheme="minorHAnsi" w:cstheme="minorHAnsi"/>
          <w:b/>
          <w:color w:val="00B0F0"/>
          <w:sz w:val="20"/>
          <w:szCs w:val="20"/>
          <w:lang w:val="cs-CZ"/>
        </w:rPr>
        <w:t>DARY A POHOSTINNOST</w:t>
      </w:r>
    </w:p>
    <w:p w14:paraId="1E7B211B" w14:textId="77777777" w:rsidR="00402CED" w:rsidRPr="002D74AC" w:rsidRDefault="00402CED" w:rsidP="004E5571">
      <w:pPr>
        <w:numPr>
          <w:ilvl w:val="0"/>
          <w:numId w:val="4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 pracuje na jakékoliv zakázce pro Omezenou entitu, by neměl přijímat dary nebo pohostinnost od této Omezené entity nebo jejího vedení či od SEC Omezené entity nebo osob v rozhodovací působnosti spojených se SEC Omezenou entitou, jako jsou Vedoucí pracovníci, Statutární orgány nebo významní podílníci, pokud hodnota daného daru či pohostinnosti není zanedbatelná nebo bezvýznamná.</w:t>
      </w:r>
    </w:p>
    <w:p w14:paraId="74B1D5D5" w14:textId="77777777" w:rsidR="00402CED" w:rsidRPr="002D74AC" w:rsidRDefault="00402CED" w:rsidP="00402CED">
      <w:pPr>
        <w:spacing w:before="120"/>
        <w:ind w:left="360"/>
        <w:rPr>
          <w:rFonts w:asciiTheme="minorHAnsi" w:hAnsiTheme="minorHAnsi" w:cstheme="minorHAnsi"/>
          <w:color w:val="auto"/>
          <w:sz w:val="20"/>
          <w:szCs w:val="20"/>
          <w:lang w:val="cs-CZ"/>
        </w:rPr>
      </w:pPr>
    </w:p>
    <w:p w14:paraId="65654217" w14:textId="77777777" w:rsidR="00402CED" w:rsidRPr="002D74AC" w:rsidRDefault="00402CED" w:rsidP="00402CED">
      <w:pPr>
        <w:rPr>
          <w:rFonts w:asciiTheme="minorHAnsi" w:hAnsiTheme="minorHAnsi" w:cstheme="minorHAnsi"/>
          <w:b/>
          <w:color w:val="00B0F0"/>
          <w:sz w:val="20"/>
          <w:szCs w:val="20"/>
          <w:lang w:val="cs-CZ"/>
        </w:rPr>
      </w:pPr>
      <w:r w:rsidRPr="002D74AC">
        <w:rPr>
          <w:rFonts w:asciiTheme="minorHAnsi" w:hAnsiTheme="minorHAnsi" w:cstheme="minorHAnsi"/>
          <w:b/>
          <w:color w:val="00B0F0"/>
          <w:sz w:val="20"/>
          <w:szCs w:val="20"/>
          <w:lang w:val="cs-CZ"/>
        </w:rPr>
        <w:t>OBCHODNÍ VZTAHY</w:t>
      </w:r>
    </w:p>
    <w:p w14:paraId="78A553FA" w14:textId="77777777" w:rsidR="00402CED" w:rsidRPr="002D74AC" w:rsidRDefault="00402CED" w:rsidP="004E5571">
      <w:pPr>
        <w:numPr>
          <w:ilvl w:val="0"/>
          <w:numId w:val="4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vykonávající práci na jakékoliv Zakázce pro Omezenou entitu a jejich Nejbližší rodinní příslušníci by neměli mít dodavatelský vztah s Omezenou entitou nebo jejím vedením, pokud nejsou splněny všechny následující podmínky:</w:t>
      </w:r>
    </w:p>
    <w:p w14:paraId="7993A609" w14:textId="77777777" w:rsidR="00402CED" w:rsidRPr="002D74AC" w:rsidRDefault="00402CED" w:rsidP="004E5571">
      <w:pPr>
        <w:numPr>
          <w:ilvl w:val="1"/>
          <w:numId w:val="46"/>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vztah je spotřebitelský v běžném chodu podnikání Omezené entity nebo jejího vedení, pokud jde o produkty a služby;</w:t>
      </w:r>
    </w:p>
    <w:p w14:paraId="3055B02A" w14:textId="77777777" w:rsidR="00402CED" w:rsidRPr="002D74AC" w:rsidRDefault="00402CED" w:rsidP="004E5571">
      <w:pPr>
        <w:numPr>
          <w:ilvl w:val="1"/>
          <w:numId w:val="46"/>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vztah a jeho podmínky, ceny a další požadavky jsou podobné podmínkám, cenám a dalším požadavkům, které získávají jiní zákazníci od Omezené entity nebo jejího vedení za podobných podmínek</w:t>
      </w:r>
      <w:r w:rsidRPr="002D74AC">
        <w:rPr>
          <w:rFonts w:asciiTheme="minorHAnsi" w:hAnsiTheme="minorHAnsi" w:cstheme="minorHAnsi"/>
          <w:bCs/>
          <w:color w:val="auto"/>
          <w:sz w:val="20"/>
          <w:szCs w:val="20"/>
          <w:lang w:val="cs-CZ"/>
        </w:rPr>
        <w:t>;</w:t>
      </w:r>
    </w:p>
    <w:p w14:paraId="62540FB3" w14:textId="77777777" w:rsidR="00402CED" w:rsidRPr="002D74AC" w:rsidRDefault="00402CED" w:rsidP="004E5571">
      <w:pPr>
        <w:numPr>
          <w:ilvl w:val="1"/>
          <w:numId w:val="46"/>
        </w:numPr>
        <w:spacing w:before="120"/>
        <w:rPr>
          <w:rFonts w:asciiTheme="minorHAnsi" w:hAnsiTheme="minorHAnsi" w:cstheme="minorHAnsi"/>
          <w:color w:val="auto"/>
          <w:sz w:val="20"/>
          <w:szCs w:val="20"/>
          <w:lang w:val="cs-CZ"/>
        </w:rPr>
      </w:pPr>
      <w:r w:rsidRPr="002D74AC">
        <w:rPr>
          <w:rFonts w:asciiTheme="minorHAnsi" w:hAnsiTheme="minorHAnsi" w:cstheme="minorHAnsi"/>
          <w:bCs/>
          <w:color w:val="auto"/>
          <w:sz w:val="20"/>
          <w:szCs w:val="20"/>
          <w:lang w:val="cs-CZ"/>
        </w:rPr>
        <w:t>vztah nevede k tomu, že se spotřebitel stane hlavním klientem Omezené entity nebo jejího vedení, a to takovým způsobem, že příslušná množství jsou významná pro kteroukoliv ze stran; a</w:t>
      </w:r>
    </w:p>
    <w:p w14:paraId="4DEB3B11" w14:textId="77777777" w:rsidR="00402CED" w:rsidRPr="002D74AC" w:rsidRDefault="00402CED" w:rsidP="004E5571">
      <w:pPr>
        <w:numPr>
          <w:ilvl w:val="1"/>
          <w:numId w:val="46"/>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neexistuje dohoda, ať písemná nebo ústní, že pokračování v poskytování Odborných služeb nebo jejich prodloužení Omezené entitě nebo jejímu vedení je na tomto vztahu závislé. </w:t>
      </w:r>
    </w:p>
    <w:p w14:paraId="5445CA60" w14:textId="77777777" w:rsidR="00402CED" w:rsidRPr="002D74AC" w:rsidRDefault="00402CED" w:rsidP="004E5571">
      <w:pPr>
        <w:numPr>
          <w:ilvl w:val="0"/>
          <w:numId w:val="4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by se neměl stát členy Auditního týmu pro Omezenou entitu, jestliže má blízký obchodní vztah s touto Omezenou entitou nebo jejím vedením, pokud jakýkoliv finanční zájem vyplývající z tohoto vztahu není nepodstatný a vztah není pro takovou fyzickou osobu nevýznamný. Pokud obchodní vztah je mezi Nejbližším rodinným příslušníkem člena Auditního týmu a Omezenou entitou nebo jejím vedením, měla by být provedena analýza ohrožení a bezpečnosti. Jako taková by pak měla být zvážena konzultace s Ředitelem nezávislosti.</w:t>
      </w:r>
    </w:p>
    <w:p w14:paraId="14719E7E" w14:textId="77777777" w:rsidR="00402CED" w:rsidRPr="002D74AC" w:rsidRDefault="00402CED" w:rsidP="00402CED">
      <w:pPr>
        <w:spacing w:before="120"/>
        <w:rPr>
          <w:rFonts w:asciiTheme="minorHAnsi" w:hAnsiTheme="minorHAnsi" w:cstheme="minorHAnsi"/>
          <w:b/>
          <w:i/>
          <w:color w:val="00B0F0"/>
          <w:sz w:val="20"/>
          <w:szCs w:val="20"/>
          <w:lang w:val="cs-CZ"/>
        </w:rPr>
      </w:pPr>
    </w:p>
    <w:p w14:paraId="65DA048A" w14:textId="77777777" w:rsidR="00402CED" w:rsidRPr="002D74AC" w:rsidRDefault="00402CED" w:rsidP="00402CED">
      <w:pPr>
        <w:spacing w:before="120"/>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členové Auditního Týmu</w:t>
      </w:r>
    </w:p>
    <w:p w14:paraId="77ED07E2" w14:textId="77777777" w:rsidR="00402CED" w:rsidRPr="002D74AC" w:rsidRDefault="00402CED" w:rsidP="004E5571">
      <w:pPr>
        <w:numPr>
          <w:ilvl w:val="0"/>
          <w:numId w:val="40"/>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Odborný personál, kterým jsou členové Auditního týmu pro tuto Omezenou entitu, a jejich Nejbližší rodinní příslušníci by neměli mít podíl ve  veřejně obchodované společnosti s malým množstvím vlastníků (5 a méně), pokud má v takové společnosti podíl Omezená entita nebo její vedení, nebo jakákoliv její skupina, pokud:</w:t>
      </w:r>
    </w:p>
    <w:p w14:paraId="5B545C91" w14:textId="77777777" w:rsidR="00402CED" w:rsidRPr="002D74AC" w:rsidRDefault="00402CED" w:rsidP="004E5571">
      <w:pPr>
        <w:numPr>
          <w:ilvl w:val="1"/>
          <w:numId w:val="47"/>
        </w:numPr>
        <w:tabs>
          <w:tab w:val="left" w:pos="360"/>
        </w:tabs>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lastRenderedPageBreak/>
        <w:t>vztah není jasně nevýznamný pro Členskou firmu, DTTL a její Členské firmy, členy Auditního týmu a Nejbližší rodinné příslušníky a Omezenou entitu;</w:t>
      </w:r>
    </w:p>
    <w:p w14:paraId="4E6FFD11" w14:textId="77777777" w:rsidR="00402CED" w:rsidRPr="002D74AC" w:rsidRDefault="00402CED" w:rsidP="004E5571">
      <w:pPr>
        <w:numPr>
          <w:ilvl w:val="1"/>
          <w:numId w:val="47"/>
        </w:numPr>
        <w:tabs>
          <w:tab w:val="left" w:pos="360"/>
        </w:tabs>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držený podíl není nevýznamný pro investory nebo skupinu investorů; a </w:t>
      </w:r>
    </w:p>
    <w:p w14:paraId="394C5F93" w14:textId="77777777" w:rsidR="00402CED" w:rsidRPr="002D74AC" w:rsidRDefault="00402CED" w:rsidP="004E5571">
      <w:pPr>
        <w:numPr>
          <w:ilvl w:val="1"/>
          <w:numId w:val="47"/>
        </w:numPr>
        <w:tabs>
          <w:tab w:val="left" w:pos="360"/>
        </w:tabs>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podíl neumožňuje investorovi nebo skupině investorů ovládat tuto úzce drženou společnost.</w:t>
      </w:r>
    </w:p>
    <w:p w14:paraId="41FB618B" w14:textId="77777777" w:rsidR="00402CED" w:rsidRPr="002D74AC" w:rsidRDefault="00402CED" w:rsidP="00402CED">
      <w:pPr>
        <w:tabs>
          <w:tab w:val="left" w:pos="360"/>
          <w:tab w:val="num" w:pos="1440"/>
        </w:tabs>
        <w:spacing w:before="120"/>
        <w:ind w:left="1080"/>
        <w:rPr>
          <w:rFonts w:asciiTheme="minorHAnsi" w:hAnsiTheme="minorHAnsi" w:cstheme="minorHAnsi"/>
          <w:color w:val="auto"/>
          <w:sz w:val="20"/>
          <w:szCs w:val="20"/>
          <w:lang w:val="cs-CZ"/>
        </w:rPr>
      </w:pPr>
    </w:p>
    <w:p w14:paraId="63D9F4D9" w14:textId="77777777" w:rsidR="00402CED" w:rsidRPr="002D74AC" w:rsidRDefault="00402CED" w:rsidP="00402CED">
      <w:pPr>
        <w:rPr>
          <w:rFonts w:asciiTheme="minorHAnsi" w:hAnsiTheme="minorHAnsi" w:cstheme="minorHAnsi"/>
          <w:b/>
          <w:i/>
          <w:color w:val="00B0F0"/>
          <w:sz w:val="20"/>
          <w:szCs w:val="20"/>
          <w:lang w:val="cs-CZ"/>
        </w:rPr>
      </w:pPr>
      <w:r w:rsidRPr="002D74AC">
        <w:rPr>
          <w:rFonts w:asciiTheme="minorHAnsi" w:hAnsiTheme="minorHAnsi" w:cstheme="minorHAnsi"/>
          <w:b/>
          <w:i/>
          <w:color w:val="00B0F0"/>
          <w:sz w:val="20"/>
          <w:szCs w:val="20"/>
          <w:lang w:val="cs-CZ"/>
        </w:rPr>
        <w:t>Postupy platné pro Odborný personál, kterým jsou Povinné osoby ve vztahu k SEC Omezené entitě</w:t>
      </w:r>
    </w:p>
    <w:p w14:paraId="3B93237E" w14:textId="77777777" w:rsidR="00402CED" w:rsidRPr="002D74AC" w:rsidRDefault="00402CED" w:rsidP="004E5571">
      <w:pPr>
        <w:numPr>
          <w:ilvl w:val="0"/>
          <w:numId w:val="41"/>
        </w:numPr>
        <w:spacing w:before="120"/>
        <w:rPr>
          <w:rFonts w:asciiTheme="minorHAnsi" w:hAnsiTheme="minorHAnsi" w:cstheme="minorHAnsi"/>
          <w:color w:val="auto"/>
          <w:sz w:val="20"/>
          <w:szCs w:val="20"/>
          <w:lang w:val="cs-CZ"/>
        </w:rPr>
      </w:pPr>
      <w:r w:rsidRPr="002D74AC">
        <w:rPr>
          <w:rFonts w:asciiTheme="minorHAnsi" w:hAnsiTheme="minorHAnsi" w:cstheme="minorHAnsi"/>
          <w:color w:val="auto"/>
          <w:sz w:val="20"/>
          <w:szCs w:val="20"/>
          <w:lang w:val="cs-CZ"/>
        </w:rPr>
        <w:t xml:space="preserve">Odborný personál, kterým jsou Povinné osoby ve vztahu k SEC Omezené entitě, by neměl mít jakýkoliv přímý nebo významný nepřímý tržní obchodní vztah s touto SEC Omezenou entitou nebo osobami v rozhodovací působnosti s ní spojenými, jako jsou Vedoucí pracovníci, Statutární orgány nebo významní podílníci.  </w:t>
      </w:r>
    </w:p>
    <w:p w14:paraId="16C55984" w14:textId="77777777" w:rsidR="00402CED" w:rsidRPr="002D74AC" w:rsidRDefault="00402CED" w:rsidP="00402CED">
      <w:pPr>
        <w:rPr>
          <w:rFonts w:asciiTheme="minorHAnsi" w:hAnsiTheme="minorHAnsi" w:cstheme="minorHAnsi"/>
          <w:sz w:val="20"/>
          <w:szCs w:val="20"/>
          <w:lang w:val="cs-CZ"/>
        </w:rPr>
      </w:pPr>
    </w:p>
    <w:p w14:paraId="2C07CE08" w14:textId="77777777" w:rsidR="00402CED" w:rsidRPr="002D74AC" w:rsidRDefault="00402CED" w:rsidP="00402CED">
      <w:pPr>
        <w:rPr>
          <w:rFonts w:asciiTheme="minorHAnsi" w:hAnsiTheme="minorHAnsi" w:cstheme="minorHAnsi"/>
          <w:color w:val="auto"/>
          <w:sz w:val="20"/>
          <w:szCs w:val="20"/>
          <w:lang w:val="cs-CZ"/>
        </w:rPr>
      </w:pPr>
    </w:p>
    <w:p w14:paraId="4277E1C5" w14:textId="77777777" w:rsidR="00402CED" w:rsidRPr="002D74AC" w:rsidRDefault="00402CED" w:rsidP="00402CED">
      <w:pPr>
        <w:rPr>
          <w:rFonts w:asciiTheme="minorHAnsi" w:hAnsiTheme="minorHAnsi" w:cstheme="minorHAnsi"/>
          <w:sz w:val="20"/>
          <w:szCs w:val="20"/>
          <w:lang w:val="cs-CZ"/>
        </w:rPr>
      </w:pPr>
    </w:p>
    <w:p w14:paraId="0C1D2CBE" w14:textId="77777777" w:rsidR="00402CED" w:rsidRPr="002D74AC" w:rsidRDefault="00402CED" w:rsidP="00402CED">
      <w:pPr>
        <w:rPr>
          <w:rFonts w:asciiTheme="minorHAnsi" w:hAnsiTheme="minorHAnsi" w:cstheme="minorHAnsi"/>
          <w:color w:val="auto"/>
          <w:sz w:val="20"/>
          <w:szCs w:val="20"/>
          <w:lang w:val="cs-CZ"/>
        </w:rPr>
      </w:pPr>
    </w:p>
    <w:p w14:paraId="1874E79E" w14:textId="3AADC509" w:rsidR="00F06CE7" w:rsidRDefault="00F06CE7">
      <w:pPr>
        <w:rPr>
          <w:rFonts w:asciiTheme="minorHAnsi" w:hAnsiTheme="minorHAnsi" w:cstheme="minorHAnsi"/>
          <w:color w:val="auto"/>
          <w:sz w:val="20"/>
          <w:szCs w:val="20"/>
          <w:lang w:val="cs-CZ"/>
        </w:rPr>
      </w:pPr>
      <w:r>
        <w:rPr>
          <w:rFonts w:asciiTheme="minorHAnsi" w:hAnsiTheme="minorHAnsi" w:cstheme="minorHAnsi"/>
          <w:color w:val="auto"/>
          <w:sz w:val="20"/>
          <w:szCs w:val="20"/>
          <w:lang w:val="cs-CZ"/>
        </w:rPr>
        <w:br w:type="page"/>
      </w:r>
    </w:p>
    <w:p w14:paraId="376CCBE7" w14:textId="0A043747" w:rsidR="008F327A" w:rsidRDefault="00F06CE7">
      <w:pPr>
        <w:rPr>
          <w:rFonts w:asciiTheme="minorHAnsi" w:hAnsiTheme="minorHAnsi" w:cstheme="minorHAnsi"/>
          <w:color w:val="auto"/>
          <w:sz w:val="20"/>
          <w:szCs w:val="20"/>
          <w:lang w:val="cs-CZ"/>
        </w:rPr>
      </w:pPr>
      <w:r>
        <w:rPr>
          <w:rFonts w:asciiTheme="minorHAnsi" w:hAnsiTheme="minorHAnsi" w:cstheme="minorHAnsi"/>
          <w:color w:val="auto"/>
          <w:sz w:val="20"/>
          <w:szCs w:val="20"/>
          <w:lang w:val="cs-CZ"/>
        </w:rPr>
        <w:lastRenderedPageBreak/>
        <w:t>Příloha D</w:t>
      </w:r>
    </w:p>
    <w:p w14:paraId="570535F7" w14:textId="77777777" w:rsidR="00F06CE7" w:rsidRDefault="00F06CE7">
      <w:pPr>
        <w:rPr>
          <w:rFonts w:asciiTheme="minorHAnsi" w:hAnsiTheme="minorHAnsi" w:cstheme="minorHAnsi"/>
          <w:color w:val="auto"/>
          <w:sz w:val="20"/>
          <w:szCs w:val="20"/>
          <w:lang w:val="cs-CZ"/>
        </w:rPr>
      </w:pPr>
    </w:p>
    <w:p w14:paraId="1666CDCA" w14:textId="77777777" w:rsidR="00F06CE7" w:rsidRPr="00E45F7F" w:rsidRDefault="00F06CE7">
      <w:pPr>
        <w:rPr>
          <w:rFonts w:asciiTheme="minorHAnsi" w:hAnsiTheme="minorHAnsi" w:cstheme="minorHAnsi"/>
          <w:color w:val="auto"/>
          <w:sz w:val="20"/>
          <w:szCs w:val="20"/>
        </w:rPr>
      </w:pPr>
    </w:p>
    <w:sectPr w:rsidR="00F06CE7" w:rsidRPr="00E45F7F" w:rsidSect="00E92A16">
      <w:headerReference w:type="default" r:id="rId16"/>
      <w:footerReference w:type="default" r:id="rId17"/>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DDAD" w14:textId="77777777" w:rsidR="00E92A16" w:rsidRDefault="00E92A16">
      <w:r>
        <w:separator/>
      </w:r>
    </w:p>
  </w:endnote>
  <w:endnote w:type="continuationSeparator" w:id="0">
    <w:p w14:paraId="0952A8B2" w14:textId="77777777" w:rsidR="00E92A16" w:rsidRDefault="00E92A16">
      <w:r>
        <w:continuationSeparator/>
      </w:r>
    </w:p>
  </w:endnote>
  <w:endnote w:type="continuationNotice" w:id="1">
    <w:p w14:paraId="0051A178" w14:textId="77777777" w:rsidR="00E92A16" w:rsidRDefault="00E92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auto"/>
        <w:sz w:val="18"/>
      </w:rPr>
      <w:id w:val="1638613905"/>
      <w:docPartObj>
        <w:docPartGallery w:val="Page Numbers (Bottom of Page)"/>
        <w:docPartUnique/>
      </w:docPartObj>
    </w:sdtPr>
    <w:sdtEndPr>
      <w:rPr>
        <w:noProof/>
      </w:rPr>
    </w:sdtEndPr>
    <w:sdtContent>
      <w:p w14:paraId="7F30F466" w14:textId="4B4CD9A1" w:rsidR="00C52D51" w:rsidRPr="00045002" w:rsidRDefault="00C52D51">
        <w:pPr>
          <w:pStyle w:val="Zpat"/>
          <w:jc w:val="right"/>
          <w:rPr>
            <w:rFonts w:ascii="Verdana" w:hAnsi="Verdana"/>
            <w:color w:val="auto"/>
            <w:sz w:val="18"/>
          </w:rPr>
        </w:pPr>
        <w:r w:rsidRPr="00045002">
          <w:rPr>
            <w:rFonts w:ascii="Verdana" w:hAnsi="Verdana"/>
            <w:color w:val="auto"/>
            <w:sz w:val="18"/>
          </w:rPr>
          <w:fldChar w:fldCharType="begin"/>
        </w:r>
        <w:r w:rsidRPr="00045002">
          <w:rPr>
            <w:rFonts w:ascii="Verdana" w:hAnsi="Verdana"/>
            <w:color w:val="auto"/>
            <w:sz w:val="18"/>
          </w:rPr>
          <w:instrText xml:space="preserve"> PAGE   \* MERGEFORMAT </w:instrText>
        </w:r>
        <w:r w:rsidRPr="00045002">
          <w:rPr>
            <w:rFonts w:ascii="Verdana" w:hAnsi="Verdana"/>
            <w:color w:val="auto"/>
            <w:sz w:val="18"/>
          </w:rPr>
          <w:fldChar w:fldCharType="separate"/>
        </w:r>
        <w:r w:rsidR="000F421E">
          <w:rPr>
            <w:rFonts w:ascii="Verdana" w:hAnsi="Verdana"/>
            <w:noProof/>
            <w:color w:val="auto"/>
            <w:sz w:val="18"/>
          </w:rPr>
          <w:t>4</w:t>
        </w:r>
        <w:r w:rsidRPr="00045002">
          <w:rPr>
            <w:rFonts w:ascii="Verdana" w:hAnsi="Verdana"/>
            <w:noProof/>
            <w:color w:val="auto"/>
            <w:sz w:val="18"/>
          </w:rPr>
          <w:fldChar w:fldCharType="end"/>
        </w:r>
      </w:p>
    </w:sdtContent>
  </w:sdt>
  <w:p w14:paraId="646EDD37" w14:textId="77777777" w:rsidR="00C52D51" w:rsidRDefault="00C52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532D" w14:textId="77777777" w:rsidR="00E92A16" w:rsidRDefault="00E92A16">
      <w:r>
        <w:separator/>
      </w:r>
    </w:p>
  </w:footnote>
  <w:footnote w:type="continuationSeparator" w:id="0">
    <w:p w14:paraId="4299BB0F" w14:textId="77777777" w:rsidR="00E92A16" w:rsidRDefault="00E92A16">
      <w:r>
        <w:continuationSeparator/>
      </w:r>
    </w:p>
  </w:footnote>
  <w:footnote w:type="continuationNotice" w:id="1">
    <w:p w14:paraId="7E4BB6B0" w14:textId="77777777" w:rsidR="00E92A16" w:rsidRDefault="00E92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28F8" w14:textId="402924DD" w:rsidR="00C52D51" w:rsidRPr="008D0C0D" w:rsidRDefault="00C52D51" w:rsidP="000D1FDC">
    <w:pPr>
      <w:pStyle w:val="Nzev"/>
      <w:spacing w:before="0" w:after="0"/>
      <w:rPr>
        <w:i w:val="0"/>
        <w:lang w:val="cs-CZ"/>
      </w:rPr>
    </w:pPr>
  </w:p>
  <w:p w14:paraId="16F9CA5E" w14:textId="77777777" w:rsidR="00C52D51" w:rsidRPr="008D0C0D" w:rsidRDefault="00C52D51">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734"/>
    <w:multiLevelType w:val="hybridMultilevel"/>
    <w:tmpl w:val="23DC18F4"/>
    <w:lvl w:ilvl="0" w:tplc="0405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A2F27"/>
    <w:multiLevelType w:val="hybridMultilevel"/>
    <w:tmpl w:val="57C0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C33"/>
    <w:multiLevelType w:val="hybridMultilevel"/>
    <w:tmpl w:val="8D8E0F3A"/>
    <w:lvl w:ilvl="0" w:tplc="A96AC0C0">
      <w:start w:val="1"/>
      <w:numFmt w:val="lowerLetter"/>
      <w:lvlText w:val="(%1)"/>
      <w:lvlJc w:val="right"/>
      <w:pPr>
        <w:tabs>
          <w:tab w:val="num" w:pos="2160"/>
        </w:tabs>
        <w:ind w:left="2160" w:hanging="18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7458"/>
    <w:multiLevelType w:val="hybridMultilevel"/>
    <w:tmpl w:val="FD80D5CC"/>
    <w:lvl w:ilvl="0" w:tplc="9684EF5E">
      <w:start w:val="1"/>
      <w:numFmt w:val="upp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D054D"/>
    <w:multiLevelType w:val="hybridMultilevel"/>
    <w:tmpl w:val="E19C9EB8"/>
    <w:lvl w:ilvl="0" w:tplc="68FAD1B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A7CD4"/>
    <w:multiLevelType w:val="hybridMultilevel"/>
    <w:tmpl w:val="29062F7C"/>
    <w:lvl w:ilvl="0" w:tplc="288C0C2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A4CC9"/>
    <w:multiLevelType w:val="hybridMultilevel"/>
    <w:tmpl w:val="72F8115A"/>
    <w:lvl w:ilvl="0" w:tplc="E98C4B30">
      <w:start w:val="1"/>
      <w:numFmt w:val="bullet"/>
      <w:lvlText w:val=""/>
      <w:lvlJc w:val="left"/>
      <w:pPr>
        <w:ind w:left="720" w:hanging="360"/>
      </w:pPr>
      <w:rPr>
        <w:rFonts w:ascii="Symbol" w:hAnsi="Symbol" w:hint="default"/>
      </w:rPr>
    </w:lvl>
    <w:lvl w:ilvl="1" w:tplc="F7BEDB66">
      <w:start w:val="1"/>
      <w:numFmt w:val="bullet"/>
      <w:lvlText w:val="o"/>
      <w:lvlJc w:val="left"/>
      <w:pPr>
        <w:ind w:left="1440" w:hanging="360"/>
      </w:pPr>
      <w:rPr>
        <w:rFonts w:ascii="Courier New" w:hAnsi="Courier New" w:hint="default"/>
      </w:rPr>
    </w:lvl>
    <w:lvl w:ilvl="2" w:tplc="99BADBEC">
      <w:start w:val="1"/>
      <w:numFmt w:val="bullet"/>
      <w:lvlText w:val=""/>
      <w:lvlJc w:val="left"/>
      <w:pPr>
        <w:ind w:left="2160" w:hanging="360"/>
      </w:pPr>
      <w:rPr>
        <w:rFonts w:ascii="Wingdings" w:hAnsi="Wingdings" w:hint="default"/>
      </w:rPr>
    </w:lvl>
    <w:lvl w:ilvl="3" w:tplc="7722D964">
      <w:start w:val="1"/>
      <w:numFmt w:val="bullet"/>
      <w:lvlText w:val=""/>
      <w:lvlJc w:val="left"/>
      <w:pPr>
        <w:ind w:left="2880" w:hanging="360"/>
      </w:pPr>
      <w:rPr>
        <w:rFonts w:ascii="Symbol" w:hAnsi="Symbol" w:hint="default"/>
      </w:rPr>
    </w:lvl>
    <w:lvl w:ilvl="4" w:tplc="505C6300">
      <w:start w:val="1"/>
      <w:numFmt w:val="bullet"/>
      <w:lvlText w:val="o"/>
      <w:lvlJc w:val="left"/>
      <w:pPr>
        <w:ind w:left="3600" w:hanging="360"/>
      </w:pPr>
      <w:rPr>
        <w:rFonts w:ascii="Courier New" w:hAnsi="Courier New" w:hint="default"/>
      </w:rPr>
    </w:lvl>
    <w:lvl w:ilvl="5" w:tplc="625CF21C">
      <w:start w:val="1"/>
      <w:numFmt w:val="bullet"/>
      <w:lvlText w:val=""/>
      <w:lvlJc w:val="left"/>
      <w:pPr>
        <w:ind w:left="4320" w:hanging="360"/>
      </w:pPr>
      <w:rPr>
        <w:rFonts w:ascii="Wingdings" w:hAnsi="Wingdings" w:hint="default"/>
      </w:rPr>
    </w:lvl>
    <w:lvl w:ilvl="6" w:tplc="A956E566">
      <w:start w:val="1"/>
      <w:numFmt w:val="bullet"/>
      <w:lvlText w:val=""/>
      <w:lvlJc w:val="left"/>
      <w:pPr>
        <w:ind w:left="5040" w:hanging="360"/>
      </w:pPr>
      <w:rPr>
        <w:rFonts w:ascii="Symbol" w:hAnsi="Symbol" w:hint="default"/>
      </w:rPr>
    </w:lvl>
    <w:lvl w:ilvl="7" w:tplc="0A8277DA">
      <w:start w:val="1"/>
      <w:numFmt w:val="bullet"/>
      <w:lvlText w:val="o"/>
      <w:lvlJc w:val="left"/>
      <w:pPr>
        <w:ind w:left="5760" w:hanging="360"/>
      </w:pPr>
      <w:rPr>
        <w:rFonts w:ascii="Courier New" w:hAnsi="Courier New" w:hint="default"/>
      </w:rPr>
    </w:lvl>
    <w:lvl w:ilvl="8" w:tplc="583457E4">
      <w:start w:val="1"/>
      <w:numFmt w:val="bullet"/>
      <w:lvlText w:val=""/>
      <w:lvlJc w:val="left"/>
      <w:pPr>
        <w:ind w:left="6480" w:hanging="360"/>
      </w:pPr>
      <w:rPr>
        <w:rFonts w:ascii="Wingdings" w:hAnsi="Wingdings" w:hint="default"/>
      </w:rPr>
    </w:lvl>
  </w:abstractNum>
  <w:abstractNum w:abstractNumId="7" w15:restartNumberingAfterBreak="0">
    <w:nsid w:val="1A252ED2"/>
    <w:multiLevelType w:val="hybridMultilevel"/>
    <w:tmpl w:val="5928B2E6"/>
    <w:lvl w:ilvl="0" w:tplc="3A146110">
      <w:start w:val="1"/>
      <w:numFmt w:val="upperLetter"/>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1CA463CF"/>
    <w:multiLevelType w:val="hybridMultilevel"/>
    <w:tmpl w:val="01627A6E"/>
    <w:lvl w:ilvl="0" w:tplc="288C0C2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8D3DC2"/>
    <w:multiLevelType w:val="hybridMultilevel"/>
    <w:tmpl w:val="1C4A95BE"/>
    <w:lvl w:ilvl="0" w:tplc="288C0C2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926989"/>
    <w:multiLevelType w:val="singleLevel"/>
    <w:tmpl w:val="DE529FBA"/>
    <w:lvl w:ilvl="0">
      <w:start w:val="1"/>
      <w:numFmt w:val="upperLetter"/>
      <w:lvlText w:val="%1."/>
      <w:lvlJc w:val="left"/>
      <w:pPr>
        <w:tabs>
          <w:tab w:val="num" w:pos="1079"/>
        </w:tabs>
        <w:ind w:left="1079" w:hanging="360"/>
      </w:pPr>
      <w:rPr>
        <w:rFonts w:hint="default"/>
      </w:rPr>
    </w:lvl>
  </w:abstractNum>
  <w:abstractNum w:abstractNumId="11" w15:restartNumberingAfterBreak="0">
    <w:nsid w:val="24534244"/>
    <w:multiLevelType w:val="hybridMultilevel"/>
    <w:tmpl w:val="34AC1B20"/>
    <w:lvl w:ilvl="0" w:tplc="FA02C126">
      <w:start w:val="1"/>
      <w:numFmt w:val="upperLetter"/>
      <w:lvlText w:val="%1."/>
      <w:lvlJc w:val="left"/>
      <w:pPr>
        <w:tabs>
          <w:tab w:val="num" w:pos="360"/>
        </w:tabs>
        <w:ind w:left="360" w:hanging="360"/>
      </w:pPr>
      <w:rPr>
        <w:rFonts w:hint="default"/>
      </w:rPr>
    </w:lvl>
    <w:lvl w:ilvl="1" w:tplc="1286217A">
      <w:start w:val="1"/>
      <w:numFmt w:val="lowerRoman"/>
      <w:lvlText w:val="(%2)"/>
      <w:lvlJc w:val="left"/>
      <w:pPr>
        <w:ind w:left="1232" w:hanging="720"/>
      </w:pPr>
      <w:rPr>
        <w:rFonts w:hint="default"/>
      </w:r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12" w15:restartNumberingAfterBreak="0">
    <w:nsid w:val="24FE6E79"/>
    <w:multiLevelType w:val="singleLevel"/>
    <w:tmpl w:val="B41AC9C8"/>
    <w:lvl w:ilvl="0">
      <w:start w:val="1"/>
      <w:numFmt w:val="upperLetter"/>
      <w:lvlText w:val="%1."/>
      <w:lvlJc w:val="left"/>
      <w:pPr>
        <w:tabs>
          <w:tab w:val="num" w:pos="1004"/>
        </w:tabs>
        <w:ind w:left="1004" w:hanging="360"/>
      </w:pPr>
      <w:rPr>
        <w:rFonts w:hint="default"/>
      </w:rPr>
    </w:lvl>
  </w:abstractNum>
  <w:abstractNum w:abstractNumId="13" w15:restartNumberingAfterBreak="0">
    <w:nsid w:val="265E2182"/>
    <w:multiLevelType w:val="hybridMultilevel"/>
    <w:tmpl w:val="7B341168"/>
    <w:lvl w:ilvl="0" w:tplc="288C0C2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423241"/>
    <w:multiLevelType w:val="hybridMultilevel"/>
    <w:tmpl w:val="15584F12"/>
    <w:lvl w:ilvl="0" w:tplc="288C0C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96BFC"/>
    <w:multiLevelType w:val="singleLevel"/>
    <w:tmpl w:val="E9668CD2"/>
    <w:lvl w:ilvl="0">
      <w:start w:val="1"/>
      <w:numFmt w:val="upperLetter"/>
      <w:lvlText w:val="%1."/>
      <w:lvlJc w:val="left"/>
      <w:pPr>
        <w:tabs>
          <w:tab w:val="num" w:pos="1079"/>
        </w:tabs>
        <w:ind w:left="1079" w:hanging="360"/>
      </w:pPr>
      <w:rPr>
        <w:rFonts w:hint="default"/>
      </w:rPr>
    </w:lvl>
  </w:abstractNum>
  <w:abstractNum w:abstractNumId="16" w15:restartNumberingAfterBreak="0">
    <w:nsid w:val="327A2643"/>
    <w:multiLevelType w:val="singleLevel"/>
    <w:tmpl w:val="268ACFE0"/>
    <w:lvl w:ilvl="0">
      <w:start w:val="1"/>
      <w:numFmt w:val="upperLetter"/>
      <w:lvlText w:val="%1."/>
      <w:lvlJc w:val="left"/>
      <w:pPr>
        <w:tabs>
          <w:tab w:val="num" w:pos="360"/>
        </w:tabs>
        <w:ind w:left="360" w:hanging="360"/>
      </w:pPr>
      <w:rPr>
        <w:rFonts w:hint="default"/>
      </w:rPr>
    </w:lvl>
  </w:abstractNum>
  <w:abstractNum w:abstractNumId="17" w15:restartNumberingAfterBreak="0">
    <w:nsid w:val="3280142F"/>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6D74BD"/>
    <w:multiLevelType w:val="hybridMultilevel"/>
    <w:tmpl w:val="02FA9F22"/>
    <w:lvl w:ilvl="0" w:tplc="80802428">
      <w:start w:val="1"/>
      <w:numFmt w:val="bullet"/>
      <w:lvlText w:val=""/>
      <w:lvlJc w:val="left"/>
      <w:pPr>
        <w:ind w:left="720" w:hanging="360"/>
      </w:pPr>
      <w:rPr>
        <w:rFonts w:ascii="Symbol" w:hAnsi="Symbol" w:hint="default"/>
      </w:rPr>
    </w:lvl>
    <w:lvl w:ilvl="1" w:tplc="866C69B6">
      <w:start w:val="1"/>
      <w:numFmt w:val="bullet"/>
      <w:lvlText w:val="o"/>
      <w:lvlJc w:val="left"/>
      <w:pPr>
        <w:ind w:left="1440" w:hanging="360"/>
      </w:pPr>
      <w:rPr>
        <w:rFonts w:ascii="Courier New" w:hAnsi="Courier New" w:hint="default"/>
      </w:rPr>
    </w:lvl>
    <w:lvl w:ilvl="2" w:tplc="DC80B454">
      <w:start w:val="1"/>
      <w:numFmt w:val="bullet"/>
      <w:lvlText w:val=""/>
      <w:lvlJc w:val="left"/>
      <w:pPr>
        <w:ind w:left="2160" w:hanging="360"/>
      </w:pPr>
      <w:rPr>
        <w:rFonts w:ascii="Wingdings" w:hAnsi="Wingdings" w:hint="default"/>
      </w:rPr>
    </w:lvl>
    <w:lvl w:ilvl="3" w:tplc="91CE32CE">
      <w:start w:val="1"/>
      <w:numFmt w:val="bullet"/>
      <w:lvlText w:val=""/>
      <w:lvlJc w:val="left"/>
      <w:pPr>
        <w:ind w:left="2880" w:hanging="360"/>
      </w:pPr>
      <w:rPr>
        <w:rFonts w:ascii="Symbol" w:hAnsi="Symbol" w:hint="default"/>
      </w:rPr>
    </w:lvl>
    <w:lvl w:ilvl="4" w:tplc="9A6235C8">
      <w:start w:val="1"/>
      <w:numFmt w:val="bullet"/>
      <w:lvlText w:val="o"/>
      <w:lvlJc w:val="left"/>
      <w:pPr>
        <w:ind w:left="3600" w:hanging="360"/>
      </w:pPr>
      <w:rPr>
        <w:rFonts w:ascii="Courier New" w:hAnsi="Courier New" w:hint="default"/>
      </w:rPr>
    </w:lvl>
    <w:lvl w:ilvl="5" w:tplc="BA446260">
      <w:start w:val="1"/>
      <w:numFmt w:val="bullet"/>
      <w:lvlText w:val=""/>
      <w:lvlJc w:val="left"/>
      <w:pPr>
        <w:ind w:left="4320" w:hanging="360"/>
      </w:pPr>
      <w:rPr>
        <w:rFonts w:ascii="Wingdings" w:hAnsi="Wingdings" w:hint="default"/>
      </w:rPr>
    </w:lvl>
    <w:lvl w:ilvl="6" w:tplc="533EFEDE">
      <w:start w:val="1"/>
      <w:numFmt w:val="bullet"/>
      <w:lvlText w:val=""/>
      <w:lvlJc w:val="left"/>
      <w:pPr>
        <w:ind w:left="5040" w:hanging="360"/>
      </w:pPr>
      <w:rPr>
        <w:rFonts w:ascii="Symbol" w:hAnsi="Symbol" w:hint="default"/>
      </w:rPr>
    </w:lvl>
    <w:lvl w:ilvl="7" w:tplc="108081A0">
      <w:start w:val="1"/>
      <w:numFmt w:val="bullet"/>
      <w:lvlText w:val="o"/>
      <w:lvlJc w:val="left"/>
      <w:pPr>
        <w:ind w:left="5760" w:hanging="360"/>
      </w:pPr>
      <w:rPr>
        <w:rFonts w:ascii="Courier New" w:hAnsi="Courier New" w:hint="default"/>
      </w:rPr>
    </w:lvl>
    <w:lvl w:ilvl="8" w:tplc="7A2E98D8">
      <w:start w:val="1"/>
      <w:numFmt w:val="bullet"/>
      <w:lvlText w:val=""/>
      <w:lvlJc w:val="left"/>
      <w:pPr>
        <w:ind w:left="6480" w:hanging="360"/>
      </w:pPr>
      <w:rPr>
        <w:rFonts w:ascii="Wingdings" w:hAnsi="Wingdings" w:hint="default"/>
      </w:rPr>
    </w:lvl>
  </w:abstractNum>
  <w:abstractNum w:abstractNumId="19" w15:restartNumberingAfterBreak="0">
    <w:nsid w:val="34293D69"/>
    <w:multiLevelType w:val="hybridMultilevel"/>
    <w:tmpl w:val="5660F6D0"/>
    <w:lvl w:ilvl="0" w:tplc="9B18967A">
      <w:start w:val="1"/>
      <w:numFmt w:val="lowerLetter"/>
      <w:lvlText w:val="(%1)"/>
      <w:lvlJc w:val="left"/>
      <w:pPr>
        <w:tabs>
          <w:tab w:val="num" w:pos="1140"/>
        </w:tabs>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6529BD"/>
    <w:multiLevelType w:val="hybridMultilevel"/>
    <w:tmpl w:val="5EFE98E2"/>
    <w:lvl w:ilvl="0" w:tplc="288C0C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0A005E"/>
    <w:multiLevelType w:val="hybridMultilevel"/>
    <w:tmpl w:val="6706AA56"/>
    <w:lvl w:ilvl="0" w:tplc="0405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4627EB"/>
    <w:multiLevelType w:val="hybridMultilevel"/>
    <w:tmpl w:val="69F44298"/>
    <w:lvl w:ilvl="0" w:tplc="288C0C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9D1B80"/>
    <w:multiLevelType w:val="hybridMultilevel"/>
    <w:tmpl w:val="79948F9E"/>
    <w:lvl w:ilvl="0" w:tplc="288C0C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8098F2"/>
    <w:multiLevelType w:val="hybridMultilevel"/>
    <w:tmpl w:val="E00239DE"/>
    <w:lvl w:ilvl="0" w:tplc="78B073BC">
      <w:start w:val="1"/>
      <w:numFmt w:val="bullet"/>
      <w:lvlText w:val=""/>
      <w:lvlJc w:val="left"/>
      <w:pPr>
        <w:ind w:left="720" w:hanging="360"/>
      </w:pPr>
      <w:rPr>
        <w:rFonts w:ascii="Symbol" w:hAnsi="Symbol" w:hint="default"/>
      </w:rPr>
    </w:lvl>
    <w:lvl w:ilvl="1" w:tplc="6EA64BC2">
      <w:start w:val="1"/>
      <w:numFmt w:val="bullet"/>
      <w:lvlText w:val="o"/>
      <w:lvlJc w:val="left"/>
      <w:pPr>
        <w:ind w:left="1440" w:hanging="360"/>
      </w:pPr>
      <w:rPr>
        <w:rFonts w:ascii="Courier New" w:hAnsi="Courier New" w:hint="default"/>
      </w:rPr>
    </w:lvl>
    <w:lvl w:ilvl="2" w:tplc="AB44C62A">
      <w:start w:val="1"/>
      <w:numFmt w:val="bullet"/>
      <w:lvlText w:val=""/>
      <w:lvlJc w:val="left"/>
      <w:pPr>
        <w:ind w:left="2160" w:hanging="360"/>
      </w:pPr>
      <w:rPr>
        <w:rFonts w:ascii="Wingdings" w:hAnsi="Wingdings" w:hint="default"/>
      </w:rPr>
    </w:lvl>
    <w:lvl w:ilvl="3" w:tplc="C152E184">
      <w:start w:val="1"/>
      <w:numFmt w:val="bullet"/>
      <w:lvlText w:val=""/>
      <w:lvlJc w:val="left"/>
      <w:pPr>
        <w:ind w:left="2880" w:hanging="360"/>
      </w:pPr>
      <w:rPr>
        <w:rFonts w:ascii="Symbol" w:hAnsi="Symbol" w:hint="default"/>
      </w:rPr>
    </w:lvl>
    <w:lvl w:ilvl="4" w:tplc="39CEDCA0">
      <w:start w:val="1"/>
      <w:numFmt w:val="bullet"/>
      <w:lvlText w:val="o"/>
      <w:lvlJc w:val="left"/>
      <w:pPr>
        <w:ind w:left="3600" w:hanging="360"/>
      </w:pPr>
      <w:rPr>
        <w:rFonts w:ascii="Courier New" w:hAnsi="Courier New" w:hint="default"/>
      </w:rPr>
    </w:lvl>
    <w:lvl w:ilvl="5" w:tplc="8738E894">
      <w:start w:val="1"/>
      <w:numFmt w:val="bullet"/>
      <w:lvlText w:val=""/>
      <w:lvlJc w:val="left"/>
      <w:pPr>
        <w:ind w:left="4320" w:hanging="360"/>
      </w:pPr>
      <w:rPr>
        <w:rFonts w:ascii="Wingdings" w:hAnsi="Wingdings" w:hint="default"/>
      </w:rPr>
    </w:lvl>
    <w:lvl w:ilvl="6" w:tplc="1CC63BB0">
      <w:start w:val="1"/>
      <w:numFmt w:val="bullet"/>
      <w:lvlText w:val=""/>
      <w:lvlJc w:val="left"/>
      <w:pPr>
        <w:ind w:left="5040" w:hanging="360"/>
      </w:pPr>
      <w:rPr>
        <w:rFonts w:ascii="Symbol" w:hAnsi="Symbol" w:hint="default"/>
      </w:rPr>
    </w:lvl>
    <w:lvl w:ilvl="7" w:tplc="5B809636">
      <w:start w:val="1"/>
      <w:numFmt w:val="bullet"/>
      <w:lvlText w:val="o"/>
      <w:lvlJc w:val="left"/>
      <w:pPr>
        <w:ind w:left="5760" w:hanging="360"/>
      </w:pPr>
      <w:rPr>
        <w:rFonts w:ascii="Courier New" w:hAnsi="Courier New" w:hint="default"/>
      </w:rPr>
    </w:lvl>
    <w:lvl w:ilvl="8" w:tplc="34C0F9FE">
      <w:start w:val="1"/>
      <w:numFmt w:val="bullet"/>
      <w:lvlText w:val=""/>
      <w:lvlJc w:val="left"/>
      <w:pPr>
        <w:ind w:left="6480" w:hanging="360"/>
      </w:pPr>
      <w:rPr>
        <w:rFonts w:ascii="Wingdings" w:hAnsi="Wingdings" w:hint="default"/>
      </w:rPr>
    </w:lvl>
  </w:abstractNum>
  <w:abstractNum w:abstractNumId="26" w15:restartNumberingAfterBreak="0">
    <w:nsid w:val="492D0AB0"/>
    <w:multiLevelType w:val="hybridMultilevel"/>
    <w:tmpl w:val="75B04384"/>
    <w:lvl w:ilvl="0" w:tplc="58CAD436">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653BEC"/>
    <w:multiLevelType w:val="hybridMultilevel"/>
    <w:tmpl w:val="0104414E"/>
    <w:lvl w:ilvl="0" w:tplc="288C0C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180E5E"/>
    <w:multiLevelType w:val="hybridMultilevel"/>
    <w:tmpl w:val="4C48C9BA"/>
    <w:lvl w:ilvl="0" w:tplc="288C0C2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DB5A8C"/>
    <w:multiLevelType w:val="hybridMultilevel"/>
    <w:tmpl w:val="F48AED84"/>
    <w:lvl w:ilvl="0" w:tplc="7960F2A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F35FC"/>
    <w:multiLevelType w:val="multilevel"/>
    <w:tmpl w:val="2AC2DA06"/>
    <w:lvl w:ilvl="0">
      <w:start w:val="1"/>
      <w:numFmt w:val="decimal"/>
      <w:pStyle w:val="Level1"/>
      <w:lvlText w:val="%1.0"/>
      <w:lvlJc w:val="left"/>
      <w:pPr>
        <w:tabs>
          <w:tab w:val="num" w:pos="432"/>
        </w:tabs>
        <w:ind w:left="432" w:hanging="432"/>
      </w:pPr>
    </w:lvl>
    <w:lvl w:ilvl="1">
      <w:start w:val="1"/>
      <w:numFmt w:val="decimal"/>
      <w:pStyle w:val="Level2"/>
      <w:lvlText w:val="%1.%2"/>
      <w:lvlJc w:val="left"/>
      <w:pPr>
        <w:tabs>
          <w:tab w:val="num" w:pos="576"/>
        </w:tabs>
        <w:ind w:left="576" w:hanging="576"/>
      </w:pPr>
      <w:rPr>
        <w:rFonts w:hint="default"/>
      </w:rPr>
    </w:lvl>
    <w:lvl w:ilvl="2">
      <w:start w:val="1"/>
      <w:numFmt w:val="decimal"/>
      <w:pStyle w:val="Level3"/>
      <w:lvlText w:val="%1.%2.%3"/>
      <w:lvlJc w:val="left"/>
      <w:pPr>
        <w:tabs>
          <w:tab w:val="num" w:pos="720"/>
        </w:tabs>
        <w:ind w:left="720" w:hanging="720"/>
      </w:pPr>
      <w:rPr>
        <w:rFonts w:hint="default"/>
      </w:rPr>
    </w:lvl>
    <w:lvl w:ilvl="3">
      <w:start w:val="1"/>
      <w:numFmt w:val="decimal"/>
      <w:pStyle w:val="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2B2D15"/>
    <w:multiLevelType w:val="singleLevel"/>
    <w:tmpl w:val="7D6C1D92"/>
    <w:lvl w:ilvl="0">
      <w:start w:val="1"/>
      <w:numFmt w:val="upperLetter"/>
      <w:lvlText w:val="%1."/>
      <w:lvlJc w:val="left"/>
      <w:pPr>
        <w:tabs>
          <w:tab w:val="num" w:pos="928"/>
        </w:tabs>
        <w:ind w:left="928" w:hanging="360"/>
      </w:pPr>
      <w:rPr>
        <w:rFonts w:hint="default"/>
      </w:rPr>
    </w:lvl>
  </w:abstractNum>
  <w:abstractNum w:abstractNumId="32" w15:restartNumberingAfterBreak="0">
    <w:nsid w:val="55C233ED"/>
    <w:multiLevelType w:val="hybridMultilevel"/>
    <w:tmpl w:val="8CA06D3A"/>
    <w:lvl w:ilvl="0" w:tplc="73867DA6">
      <w:start w:val="1"/>
      <w:numFmt w:val="upperLetter"/>
      <w:lvlText w:val="(%1)"/>
      <w:lvlJc w:val="left"/>
      <w:pPr>
        <w:tabs>
          <w:tab w:val="num" w:pos="-360"/>
        </w:tabs>
        <w:ind w:left="-360" w:hanging="360"/>
      </w:pPr>
      <w:rPr>
        <w:rFonts w:hint="default"/>
      </w:rPr>
    </w:lvl>
    <w:lvl w:ilvl="1" w:tplc="8D86C464">
      <w:start w:val="1"/>
      <w:numFmt w:val="lowerLetter"/>
      <w:lvlText w:val="(%2)"/>
      <w:lvlJc w:val="left"/>
      <w:pPr>
        <w:tabs>
          <w:tab w:val="num" w:pos="720"/>
        </w:tabs>
        <w:ind w:left="720" w:hanging="720"/>
      </w:pPr>
      <w:rPr>
        <w:rFonts w:hint="default"/>
      </w:rPr>
    </w:lvl>
    <w:lvl w:ilvl="2" w:tplc="E05CDB80">
      <w:start w:val="1"/>
      <w:numFmt w:val="lowerLetter"/>
      <w:lvlText w:val="(%3)"/>
      <w:lvlJc w:val="left"/>
      <w:pPr>
        <w:tabs>
          <w:tab w:val="num" w:pos="1260"/>
        </w:tabs>
        <w:ind w:left="1260" w:hanging="360"/>
      </w:pPr>
      <w:rPr>
        <w:rFonts w:asciiTheme="minorHAnsi" w:eastAsia="Calibri" w:hAnsiTheme="minorHAnsi" w:cstheme="minorHAnsi" w:hint="default"/>
      </w:rPr>
    </w:lvl>
    <w:lvl w:ilvl="3" w:tplc="C41AC2E0">
      <w:start w:val="1"/>
      <w:numFmt w:val="upperLetter"/>
      <w:lvlText w:val="%4."/>
      <w:lvlJc w:val="left"/>
      <w:pPr>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597534C5"/>
    <w:multiLevelType w:val="hybridMultilevel"/>
    <w:tmpl w:val="7750A5C6"/>
    <w:lvl w:ilvl="0" w:tplc="73867DA6">
      <w:start w:val="1"/>
      <w:numFmt w:val="upperLetter"/>
      <w:lvlText w:val="(%1)"/>
      <w:lvlJc w:val="left"/>
      <w:pPr>
        <w:tabs>
          <w:tab w:val="num" w:pos="-360"/>
        </w:tabs>
        <w:ind w:left="-360" w:hanging="360"/>
      </w:pPr>
      <w:rPr>
        <w:rFonts w:hint="default"/>
      </w:rPr>
    </w:lvl>
    <w:lvl w:ilvl="1" w:tplc="673CE176">
      <w:start w:val="1"/>
      <w:numFmt w:val="upperLetter"/>
      <w:lvlText w:val="%2."/>
      <w:lvlJc w:val="left"/>
      <w:pPr>
        <w:ind w:left="1440" w:hanging="360"/>
      </w:pPr>
      <w:rPr>
        <w:rFonts w:hint="default"/>
      </w:rPr>
    </w:lvl>
    <w:lvl w:ilvl="2" w:tplc="357C53BC">
      <w:start w:val="1"/>
      <w:numFmt w:val="lowerLetter"/>
      <w:lvlText w:val="(%3)"/>
      <w:lvlJc w:val="right"/>
      <w:pPr>
        <w:tabs>
          <w:tab w:val="num" w:pos="2160"/>
        </w:tabs>
        <w:ind w:left="2160" w:hanging="180"/>
      </w:pPr>
      <w:rPr>
        <w:rFonts w:ascii="Verdana" w:eastAsia="Times New Roman" w:hAnsi="Verdana" w:cs="Times New Roman"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6B0039"/>
    <w:multiLevelType w:val="singleLevel"/>
    <w:tmpl w:val="58CAD436"/>
    <w:lvl w:ilvl="0">
      <w:start w:val="1"/>
      <w:numFmt w:val="lowerLetter"/>
      <w:lvlText w:val="(%1)"/>
      <w:lvlJc w:val="left"/>
      <w:pPr>
        <w:tabs>
          <w:tab w:val="num" w:pos="1140"/>
        </w:tabs>
        <w:ind w:left="1140" w:hanging="360"/>
      </w:pPr>
      <w:rPr>
        <w:rFonts w:hint="default"/>
      </w:rPr>
    </w:lvl>
  </w:abstractNum>
  <w:abstractNum w:abstractNumId="35" w15:restartNumberingAfterBreak="0">
    <w:nsid w:val="5B730D4B"/>
    <w:multiLevelType w:val="hybridMultilevel"/>
    <w:tmpl w:val="2752DDD4"/>
    <w:lvl w:ilvl="0" w:tplc="288C0C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1F4AAB"/>
    <w:multiLevelType w:val="singleLevel"/>
    <w:tmpl w:val="58CAD436"/>
    <w:lvl w:ilvl="0">
      <w:start w:val="1"/>
      <w:numFmt w:val="lowerLetter"/>
      <w:lvlText w:val="(%1)"/>
      <w:lvlJc w:val="left"/>
      <w:pPr>
        <w:tabs>
          <w:tab w:val="num" w:pos="1140"/>
        </w:tabs>
        <w:ind w:left="1140" w:hanging="360"/>
      </w:pPr>
      <w:rPr>
        <w:rFonts w:hint="default"/>
      </w:rPr>
    </w:lvl>
  </w:abstractNum>
  <w:abstractNum w:abstractNumId="37" w15:restartNumberingAfterBreak="0">
    <w:nsid w:val="5D6D77E3"/>
    <w:multiLevelType w:val="hybridMultilevel"/>
    <w:tmpl w:val="018CD5D4"/>
    <w:lvl w:ilvl="0" w:tplc="288C0C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D8B6C3B"/>
    <w:multiLevelType w:val="hybridMultilevel"/>
    <w:tmpl w:val="DC02D73A"/>
    <w:lvl w:ilvl="0" w:tplc="288C0C2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B65ED3"/>
    <w:multiLevelType w:val="hybridMultilevel"/>
    <w:tmpl w:val="39025190"/>
    <w:lvl w:ilvl="0" w:tplc="0405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EE0B60"/>
    <w:multiLevelType w:val="hybridMultilevel"/>
    <w:tmpl w:val="D2766F6A"/>
    <w:lvl w:ilvl="0" w:tplc="8766DE22">
      <w:start w:val="1"/>
      <w:numFmt w:val="low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93CC5FD8">
      <w:start w:val="1"/>
      <w:numFmt w:val="none"/>
      <w:lvlText w:val="(a)"/>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6068E0"/>
    <w:multiLevelType w:val="singleLevel"/>
    <w:tmpl w:val="502E78B4"/>
    <w:lvl w:ilvl="0">
      <w:start w:val="2000"/>
      <w:numFmt w:val="decimal"/>
      <w:pStyle w:val="Nadpis5"/>
      <w:lvlText w:val="%1"/>
      <w:lvlJc w:val="left"/>
      <w:pPr>
        <w:tabs>
          <w:tab w:val="num" w:pos="2160"/>
        </w:tabs>
        <w:ind w:left="2160" w:hanging="1440"/>
      </w:pPr>
      <w:rPr>
        <w:rFonts w:hint="default"/>
      </w:rPr>
    </w:lvl>
  </w:abstractNum>
  <w:abstractNum w:abstractNumId="42" w15:restartNumberingAfterBreak="0">
    <w:nsid w:val="62AF21C5"/>
    <w:multiLevelType w:val="singleLevel"/>
    <w:tmpl w:val="58CAD436"/>
    <w:lvl w:ilvl="0">
      <w:start w:val="1"/>
      <w:numFmt w:val="lowerLetter"/>
      <w:lvlText w:val="(%1)"/>
      <w:lvlJc w:val="left"/>
      <w:pPr>
        <w:tabs>
          <w:tab w:val="num" w:pos="1140"/>
        </w:tabs>
        <w:ind w:left="1140" w:hanging="360"/>
      </w:pPr>
      <w:rPr>
        <w:rFonts w:hint="default"/>
      </w:rPr>
    </w:lvl>
  </w:abstractNum>
  <w:abstractNum w:abstractNumId="43" w15:restartNumberingAfterBreak="0">
    <w:nsid w:val="644F0889"/>
    <w:multiLevelType w:val="hybridMultilevel"/>
    <w:tmpl w:val="09DA6324"/>
    <w:lvl w:ilvl="0" w:tplc="288C0C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8C17F3B"/>
    <w:multiLevelType w:val="hybridMultilevel"/>
    <w:tmpl w:val="CCD0DD10"/>
    <w:lvl w:ilvl="0" w:tplc="47168898">
      <w:start w:val="1"/>
      <w:numFmt w:val="upperLetter"/>
      <w:lvlText w:val="%1."/>
      <w:lvlJc w:val="left"/>
      <w:pPr>
        <w:tabs>
          <w:tab w:val="num" w:pos="-360"/>
        </w:tabs>
        <w:ind w:left="-360" w:hanging="360"/>
      </w:pPr>
      <w:rPr>
        <w:rFonts w:ascii="Verdana" w:hAnsi="Verdana" w:cs="Times New Roman" w:hint="default"/>
        <w:sz w:val="19"/>
        <w:szCs w:val="19"/>
      </w:rPr>
    </w:lvl>
    <w:lvl w:ilvl="1" w:tplc="8D86C464">
      <w:start w:val="1"/>
      <w:numFmt w:val="lowerLetter"/>
      <w:lvlText w:val="(%2)"/>
      <w:lvlJc w:val="left"/>
      <w:pPr>
        <w:tabs>
          <w:tab w:val="num" w:pos="720"/>
        </w:tabs>
        <w:ind w:left="720" w:hanging="720"/>
      </w:pPr>
      <w:rPr>
        <w:rFonts w:hint="default"/>
      </w:rPr>
    </w:lvl>
    <w:lvl w:ilvl="2" w:tplc="75B64A60">
      <w:start w:val="1"/>
      <w:numFmt w:val="lowerLetter"/>
      <w:lvlText w:val="(%3)"/>
      <w:lvlJc w:val="left"/>
      <w:pPr>
        <w:tabs>
          <w:tab w:val="num" w:pos="1260"/>
        </w:tabs>
        <w:ind w:left="1260" w:hanging="360"/>
      </w:pPr>
      <w:rPr>
        <w:rFonts w:ascii="Times New Roman" w:eastAsia="Calibri" w:hAnsi="Times New Roman" w:cs="Times New Roman"/>
      </w:rPr>
    </w:lvl>
    <w:lvl w:ilvl="3" w:tplc="C41AC2E0">
      <w:start w:val="1"/>
      <w:numFmt w:val="upperLetter"/>
      <w:lvlText w:val="%4."/>
      <w:lvlJc w:val="left"/>
      <w:pPr>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6A323B4B"/>
    <w:multiLevelType w:val="multilevel"/>
    <w:tmpl w:val="D58C1768"/>
    <w:lvl w:ilvl="0">
      <w:start w:val="1"/>
      <w:numFmt w:val="decimal"/>
      <w:pStyle w:val="listnumbered"/>
      <w:lvlText w:val="%1."/>
      <w:lvlJc w:val="left"/>
      <w:pPr>
        <w:tabs>
          <w:tab w:val="num" w:pos="397"/>
        </w:tabs>
        <w:ind w:left="397" w:hanging="39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B9A6597"/>
    <w:multiLevelType w:val="hybridMultilevel"/>
    <w:tmpl w:val="A294A8BA"/>
    <w:lvl w:ilvl="0" w:tplc="957AD93E">
      <w:start w:val="1"/>
      <w:numFmt w:val="bullet"/>
      <w:lvlText w:val=""/>
      <w:lvlJc w:val="left"/>
      <w:pPr>
        <w:ind w:left="720" w:hanging="360"/>
      </w:pPr>
      <w:rPr>
        <w:rFonts w:ascii="Symbol" w:hAnsi="Symbol" w:hint="default"/>
      </w:rPr>
    </w:lvl>
    <w:lvl w:ilvl="1" w:tplc="DFA08CC2">
      <w:start w:val="1"/>
      <w:numFmt w:val="bullet"/>
      <w:lvlText w:val="o"/>
      <w:lvlJc w:val="left"/>
      <w:pPr>
        <w:ind w:left="1440" w:hanging="360"/>
      </w:pPr>
      <w:rPr>
        <w:rFonts w:ascii="Courier New" w:hAnsi="Courier New" w:hint="default"/>
      </w:rPr>
    </w:lvl>
    <w:lvl w:ilvl="2" w:tplc="70B89ED6">
      <w:start w:val="1"/>
      <w:numFmt w:val="bullet"/>
      <w:lvlText w:val=""/>
      <w:lvlJc w:val="left"/>
      <w:pPr>
        <w:ind w:left="2160" w:hanging="360"/>
      </w:pPr>
      <w:rPr>
        <w:rFonts w:ascii="Wingdings" w:hAnsi="Wingdings" w:hint="default"/>
      </w:rPr>
    </w:lvl>
    <w:lvl w:ilvl="3" w:tplc="0AAEF0D8">
      <w:start w:val="1"/>
      <w:numFmt w:val="bullet"/>
      <w:lvlText w:val=""/>
      <w:lvlJc w:val="left"/>
      <w:pPr>
        <w:ind w:left="2880" w:hanging="360"/>
      </w:pPr>
      <w:rPr>
        <w:rFonts w:ascii="Symbol" w:hAnsi="Symbol" w:hint="default"/>
      </w:rPr>
    </w:lvl>
    <w:lvl w:ilvl="4" w:tplc="23642AA6">
      <w:start w:val="1"/>
      <w:numFmt w:val="bullet"/>
      <w:lvlText w:val="o"/>
      <w:lvlJc w:val="left"/>
      <w:pPr>
        <w:ind w:left="3600" w:hanging="360"/>
      </w:pPr>
      <w:rPr>
        <w:rFonts w:ascii="Courier New" w:hAnsi="Courier New" w:hint="default"/>
      </w:rPr>
    </w:lvl>
    <w:lvl w:ilvl="5" w:tplc="6AE2C354">
      <w:start w:val="1"/>
      <w:numFmt w:val="bullet"/>
      <w:lvlText w:val=""/>
      <w:lvlJc w:val="left"/>
      <w:pPr>
        <w:ind w:left="4320" w:hanging="360"/>
      </w:pPr>
      <w:rPr>
        <w:rFonts w:ascii="Wingdings" w:hAnsi="Wingdings" w:hint="default"/>
      </w:rPr>
    </w:lvl>
    <w:lvl w:ilvl="6" w:tplc="0308C28E">
      <w:start w:val="1"/>
      <w:numFmt w:val="bullet"/>
      <w:lvlText w:val=""/>
      <w:lvlJc w:val="left"/>
      <w:pPr>
        <w:ind w:left="5040" w:hanging="360"/>
      </w:pPr>
      <w:rPr>
        <w:rFonts w:ascii="Symbol" w:hAnsi="Symbol" w:hint="default"/>
      </w:rPr>
    </w:lvl>
    <w:lvl w:ilvl="7" w:tplc="3D80B50C">
      <w:start w:val="1"/>
      <w:numFmt w:val="bullet"/>
      <w:lvlText w:val="o"/>
      <w:lvlJc w:val="left"/>
      <w:pPr>
        <w:ind w:left="5760" w:hanging="360"/>
      </w:pPr>
      <w:rPr>
        <w:rFonts w:ascii="Courier New" w:hAnsi="Courier New" w:hint="default"/>
      </w:rPr>
    </w:lvl>
    <w:lvl w:ilvl="8" w:tplc="2EF26B0C">
      <w:start w:val="1"/>
      <w:numFmt w:val="bullet"/>
      <w:lvlText w:val=""/>
      <w:lvlJc w:val="left"/>
      <w:pPr>
        <w:ind w:left="6480" w:hanging="360"/>
      </w:pPr>
      <w:rPr>
        <w:rFonts w:ascii="Wingdings" w:hAnsi="Wingdings" w:hint="default"/>
      </w:rPr>
    </w:lvl>
  </w:abstractNum>
  <w:abstractNum w:abstractNumId="47" w15:restartNumberingAfterBreak="0">
    <w:nsid w:val="6EDB128F"/>
    <w:multiLevelType w:val="hybridMultilevel"/>
    <w:tmpl w:val="654EFEBA"/>
    <w:lvl w:ilvl="0" w:tplc="09F2D47A">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15156B"/>
    <w:multiLevelType w:val="hybridMultilevel"/>
    <w:tmpl w:val="563A8B14"/>
    <w:lvl w:ilvl="0" w:tplc="288C0C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D6B3604"/>
    <w:multiLevelType w:val="hybridMultilevel"/>
    <w:tmpl w:val="4FBEC5E6"/>
    <w:lvl w:ilvl="0" w:tplc="288C0C2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E7F3123"/>
    <w:multiLevelType w:val="singleLevel"/>
    <w:tmpl w:val="AD74E23A"/>
    <w:lvl w:ilvl="0">
      <w:start w:val="1"/>
      <w:numFmt w:val="upperLetter"/>
      <w:lvlText w:val="%1."/>
      <w:lvlJc w:val="left"/>
      <w:pPr>
        <w:tabs>
          <w:tab w:val="num" w:pos="360"/>
        </w:tabs>
        <w:ind w:left="360" w:hanging="360"/>
      </w:pPr>
      <w:rPr>
        <w:rFonts w:hint="default"/>
      </w:rPr>
    </w:lvl>
  </w:abstractNum>
  <w:num w:numId="1" w16cid:durableId="548490987">
    <w:abstractNumId w:val="6"/>
  </w:num>
  <w:num w:numId="2" w16cid:durableId="879244630">
    <w:abstractNumId w:val="25"/>
  </w:num>
  <w:num w:numId="3" w16cid:durableId="1875652673">
    <w:abstractNumId w:val="18"/>
  </w:num>
  <w:num w:numId="4" w16cid:durableId="774398292">
    <w:abstractNumId w:val="46"/>
  </w:num>
  <w:num w:numId="5" w16cid:durableId="1882087070">
    <w:abstractNumId w:val="41"/>
  </w:num>
  <w:num w:numId="6" w16cid:durableId="1839927650">
    <w:abstractNumId w:val="17"/>
  </w:num>
  <w:num w:numId="7" w16cid:durableId="1673877643">
    <w:abstractNumId w:val="12"/>
  </w:num>
  <w:num w:numId="8" w16cid:durableId="312684722">
    <w:abstractNumId w:val="31"/>
  </w:num>
  <w:num w:numId="9" w16cid:durableId="1370179591">
    <w:abstractNumId w:val="34"/>
  </w:num>
  <w:num w:numId="10" w16cid:durableId="1429737719">
    <w:abstractNumId w:val="15"/>
  </w:num>
  <w:num w:numId="11" w16cid:durableId="1507936521">
    <w:abstractNumId w:val="50"/>
  </w:num>
  <w:num w:numId="12" w16cid:durableId="356003944">
    <w:abstractNumId w:val="16"/>
  </w:num>
  <w:num w:numId="13" w16cid:durableId="1353606308">
    <w:abstractNumId w:val="10"/>
  </w:num>
  <w:num w:numId="14" w16cid:durableId="945889142">
    <w:abstractNumId w:val="30"/>
  </w:num>
  <w:num w:numId="15" w16cid:durableId="229536740">
    <w:abstractNumId w:val="40"/>
  </w:num>
  <w:num w:numId="16" w16cid:durableId="1756247384">
    <w:abstractNumId w:val="3"/>
  </w:num>
  <w:num w:numId="17" w16cid:durableId="499659193">
    <w:abstractNumId w:val="32"/>
  </w:num>
  <w:num w:numId="18" w16cid:durableId="656036195">
    <w:abstractNumId w:val="33"/>
  </w:num>
  <w:num w:numId="19" w16cid:durableId="2031293027">
    <w:abstractNumId w:val="7"/>
  </w:num>
  <w:num w:numId="20" w16cid:durableId="527186234">
    <w:abstractNumId w:val="47"/>
  </w:num>
  <w:num w:numId="21" w16cid:durableId="676545804">
    <w:abstractNumId w:val="45"/>
  </w:num>
  <w:num w:numId="22" w16cid:durableId="1726417217">
    <w:abstractNumId w:val="11"/>
  </w:num>
  <w:num w:numId="23" w16cid:durableId="135531313">
    <w:abstractNumId w:val="19"/>
  </w:num>
  <w:num w:numId="24" w16cid:durableId="1080174576">
    <w:abstractNumId w:val="42"/>
  </w:num>
  <w:num w:numId="25" w16cid:durableId="1052846818">
    <w:abstractNumId w:val="36"/>
  </w:num>
  <w:num w:numId="26" w16cid:durableId="1173228509">
    <w:abstractNumId w:val="2"/>
  </w:num>
  <w:num w:numId="27" w16cid:durableId="1929390467">
    <w:abstractNumId w:val="4"/>
  </w:num>
  <w:num w:numId="28" w16cid:durableId="131793250">
    <w:abstractNumId w:val="44"/>
  </w:num>
  <w:num w:numId="29" w16cid:durableId="191070165">
    <w:abstractNumId w:val="14"/>
  </w:num>
  <w:num w:numId="30" w16cid:durableId="1233151351">
    <w:abstractNumId w:val="8"/>
  </w:num>
  <w:num w:numId="31" w16cid:durableId="1463840873">
    <w:abstractNumId w:val="13"/>
  </w:num>
  <w:num w:numId="32" w16cid:durableId="508906293">
    <w:abstractNumId w:val="49"/>
  </w:num>
  <w:num w:numId="33" w16cid:durableId="1512376240">
    <w:abstractNumId w:val="48"/>
  </w:num>
  <w:num w:numId="34" w16cid:durableId="383723921">
    <w:abstractNumId w:val="35"/>
  </w:num>
  <w:num w:numId="35" w16cid:durableId="376859732">
    <w:abstractNumId w:val="22"/>
  </w:num>
  <w:num w:numId="36" w16cid:durableId="171527564">
    <w:abstractNumId w:val="20"/>
  </w:num>
  <w:num w:numId="37" w16cid:durableId="765810764">
    <w:abstractNumId w:val="27"/>
  </w:num>
  <w:num w:numId="38" w16cid:durableId="2049984216">
    <w:abstractNumId w:val="37"/>
  </w:num>
  <w:num w:numId="39" w16cid:durableId="1069231450">
    <w:abstractNumId w:val="43"/>
  </w:num>
  <w:num w:numId="40" w16cid:durableId="1207983647">
    <w:abstractNumId w:val="28"/>
  </w:num>
  <w:num w:numId="41" w16cid:durableId="675158325">
    <w:abstractNumId w:val="23"/>
  </w:num>
  <w:num w:numId="42" w16cid:durableId="1921521175">
    <w:abstractNumId w:val="38"/>
  </w:num>
  <w:num w:numId="43" w16cid:durableId="695082910">
    <w:abstractNumId w:val="0"/>
  </w:num>
  <w:num w:numId="44" w16cid:durableId="646279861">
    <w:abstractNumId w:val="39"/>
  </w:num>
  <w:num w:numId="45" w16cid:durableId="592982713">
    <w:abstractNumId w:val="21"/>
  </w:num>
  <w:num w:numId="46" w16cid:durableId="806244562">
    <w:abstractNumId w:val="9"/>
  </w:num>
  <w:num w:numId="47" w16cid:durableId="147596513">
    <w:abstractNumId w:val="5"/>
  </w:num>
  <w:num w:numId="48" w16cid:durableId="801730597">
    <w:abstractNumId w:val="26"/>
  </w:num>
  <w:num w:numId="49" w16cid:durableId="440952121">
    <w:abstractNumId w:val="24"/>
  </w:num>
  <w:num w:numId="50" w16cid:durableId="1094012816">
    <w:abstractNumId w:val="1"/>
  </w:num>
  <w:num w:numId="51" w16cid:durableId="66193376">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de-AT" w:vendorID="64" w:dllVersion="0" w:nlCheck="1" w:checkStyle="0"/>
  <w:activeWritingStyle w:appName="MSWord" w:lang="cs-CZ"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0A"/>
    <w:rsid w:val="00000B6E"/>
    <w:rsid w:val="00000BA6"/>
    <w:rsid w:val="00005030"/>
    <w:rsid w:val="000125CE"/>
    <w:rsid w:val="00013FB9"/>
    <w:rsid w:val="0001540A"/>
    <w:rsid w:val="00021B45"/>
    <w:rsid w:val="00022A6A"/>
    <w:rsid w:val="00023BDF"/>
    <w:rsid w:val="000244D8"/>
    <w:rsid w:val="000277A1"/>
    <w:rsid w:val="00030E1E"/>
    <w:rsid w:val="000321CD"/>
    <w:rsid w:val="000419A6"/>
    <w:rsid w:val="00041AEB"/>
    <w:rsid w:val="000428FD"/>
    <w:rsid w:val="00044995"/>
    <w:rsid w:val="00045002"/>
    <w:rsid w:val="00046009"/>
    <w:rsid w:val="00046DAD"/>
    <w:rsid w:val="000470C5"/>
    <w:rsid w:val="0005013F"/>
    <w:rsid w:val="0005131D"/>
    <w:rsid w:val="0006005C"/>
    <w:rsid w:val="00064A94"/>
    <w:rsid w:val="0006585F"/>
    <w:rsid w:val="00076672"/>
    <w:rsid w:val="000772A3"/>
    <w:rsid w:val="000804FF"/>
    <w:rsid w:val="00080D37"/>
    <w:rsid w:val="00085872"/>
    <w:rsid w:val="00093269"/>
    <w:rsid w:val="000A2609"/>
    <w:rsid w:val="000A3BF4"/>
    <w:rsid w:val="000A3F1F"/>
    <w:rsid w:val="000A51E2"/>
    <w:rsid w:val="000A7177"/>
    <w:rsid w:val="000A7E2B"/>
    <w:rsid w:val="000B419D"/>
    <w:rsid w:val="000B60A1"/>
    <w:rsid w:val="000C1FA9"/>
    <w:rsid w:val="000C279E"/>
    <w:rsid w:val="000C3B33"/>
    <w:rsid w:val="000C4AE5"/>
    <w:rsid w:val="000C58B3"/>
    <w:rsid w:val="000D1FDC"/>
    <w:rsid w:val="000D2C44"/>
    <w:rsid w:val="000D2EEB"/>
    <w:rsid w:val="000D7BC8"/>
    <w:rsid w:val="000E1001"/>
    <w:rsid w:val="000E70D1"/>
    <w:rsid w:val="000F2DE4"/>
    <w:rsid w:val="000F421E"/>
    <w:rsid w:val="0010578C"/>
    <w:rsid w:val="00105867"/>
    <w:rsid w:val="001067B4"/>
    <w:rsid w:val="00107425"/>
    <w:rsid w:val="00111356"/>
    <w:rsid w:val="00113463"/>
    <w:rsid w:val="0011446F"/>
    <w:rsid w:val="00120022"/>
    <w:rsid w:val="00121DCF"/>
    <w:rsid w:val="001237E0"/>
    <w:rsid w:val="0012455A"/>
    <w:rsid w:val="00124905"/>
    <w:rsid w:val="00126866"/>
    <w:rsid w:val="00126B06"/>
    <w:rsid w:val="00127489"/>
    <w:rsid w:val="00127B13"/>
    <w:rsid w:val="0013284D"/>
    <w:rsid w:val="00133CEF"/>
    <w:rsid w:val="00140014"/>
    <w:rsid w:val="00141885"/>
    <w:rsid w:val="00147D33"/>
    <w:rsid w:val="0016156B"/>
    <w:rsid w:val="00162A45"/>
    <w:rsid w:val="001650B2"/>
    <w:rsid w:val="001666A4"/>
    <w:rsid w:val="0017366F"/>
    <w:rsid w:val="00177FA4"/>
    <w:rsid w:val="00190BAB"/>
    <w:rsid w:val="001A0BC2"/>
    <w:rsid w:val="001A2C6F"/>
    <w:rsid w:val="001A4911"/>
    <w:rsid w:val="001A5709"/>
    <w:rsid w:val="001A58FA"/>
    <w:rsid w:val="001B073D"/>
    <w:rsid w:val="001B30EB"/>
    <w:rsid w:val="001C521D"/>
    <w:rsid w:val="001C5B38"/>
    <w:rsid w:val="001C7E6E"/>
    <w:rsid w:val="001D3259"/>
    <w:rsid w:val="001D4315"/>
    <w:rsid w:val="001D6987"/>
    <w:rsid w:val="001D7049"/>
    <w:rsid w:val="001E1192"/>
    <w:rsid w:val="001E12F6"/>
    <w:rsid w:val="001E5AB8"/>
    <w:rsid w:val="001F38A3"/>
    <w:rsid w:val="001F64A9"/>
    <w:rsid w:val="001F6EE3"/>
    <w:rsid w:val="00201BED"/>
    <w:rsid w:val="00203398"/>
    <w:rsid w:val="00205A59"/>
    <w:rsid w:val="002101A4"/>
    <w:rsid w:val="002106B3"/>
    <w:rsid w:val="00213AE7"/>
    <w:rsid w:val="00217235"/>
    <w:rsid w:val="002210F4"/>
    <w:rsid w:val="00222C00"/>
    <w:rsid w:val="002248DD"/>
    <w:rsid w:val="00227DF1"/>
    <w:rsid w:val="00236A6B"/>
    <w:rsid w:val="0024059B"/>
    <w:rsid w:val="002431CA"/>
    <w:rsid w:val="00243C70"/>
    <w:rsid w:val="0024407F"/>
    <w:rsid w:val="002453D6"/>
    <w:rsid w:val="00246AF2"/>
    <w:rsid w:val="002552EB"/>
    <w:rsid w:val="002576A7"/>
    <w:rsid w:val="00257737"/>
    <w:rsid w:val="00271BC4"/>
    <w:rsid w:val="00275695"/>
    <w:rsid w:val="00277B08"/>
    <w:rsid w:val="00280EC0"/>
    <w:rsid w:val="00281644"/>
    <w:rsid w:val="00282A09"/>
    <w:rsid w:val="00284F78"/>
    <w:rsid w:val="00284FCC"/>
    <w:rsid w:val="00287AE8"/>
    <w:rsid w:val="0029083F"/>
    <w:rsid w:val="00290F75"/>
    <w:rsid w:val="002939F8"/>
    <w:rsid w:val="00295904"/>
    <w:rsid w:val="00296AC4"/>
    <w:rsid w:val="002A111D"/>
    <w:rsid w:val="002A2E45"/>
    <w:rsid w:val="002B3C3A"/>
    <w:rsid w:val="002B42CF"/>
    <w:rsid w:val="002B4FBC"/>
    <w:rsid w:val="002C03CB"/>
    <w:rsid w:val="002C0D12"/>
    <w:rsid w:val="002C1FEE"/>
    <w:rsid w:val="002C79E3"/>
    <w:rsid w:val="002D1467"/>
    <w:rsid w:val="002D1ED9"/>
    <w:rsid w:val="002D3BC4"/>
    <w:rsid w:val="002D4556"/>
    <w:rsid w:val="002D74AC"/>
    <w:rsid w:val="002E2774"/>
    <w:rsid w:val="002E5057"/>
    <w:rsid w:val="002E52B1"/>
    <w:rsid w:val="002E555A"/>
    <w:rsid w:val="002F0C00"/>
    <w:rsid w:val="002F2B00"/>
    <w:rsid w:val="002F3A14"/>
    <w:rsid w:val="00304E79"/>
    <w:rsid w:val="003073AE"/>
    <w:rsid w:val="00313A31"/>
    <w:rsid w:val="00315D96"/>
    <w:rsid w:val="00330C78"/>
    <w:rsid w:val="003329A0"/>
    <w:rsid w:val="00333A25"/>
    <w:rsid w:val="0033645D"/>
    <w:rsid w:val="00337A8B"/>
    <w:rsid w:val="0034268A"/>
    <w:rsid w:val="003464D3"/>
    <w:rsid w:val="00346951"/>
    <w:rsid w:val="00350739"/>
    <w:rsid w:val="00351578"/>
    <w:rsid w:val="00352244"/>
    <w:rsid w:val="003565EF"/>
    <w:rsid w:val="003603D3"/>
    <w:rsid w:val="003608E2"/>
    <w:rsid w:val="00360BB8"/>
    <w:rsid w:val="00372B82"/>
    <w:rsid w:val="0037675A"/>
    <w:rsid w:val="00382BE8"/>
    <w:rsid w:val="00384E67"/>
    <w:rsid w:val="003874C4"/>
    <w:rsid w:val="00393787"/>
    <w:rsid w:val="003969B3"/>
    <w:rsid w:val="003974C6"/>
    <w:rsid w:val="003A0F8E"/>
    <w:rsid w:val="003A1067"/>
    <w:rsid w:val="003A241E"/>
    <w:rsid w:val="003A257C"/>
    <w:rsid w:val="003A3A79"/>
    <w:rsid w:val="003A5C28"/>
    <w:rsid w:val="003B232A"/>
    <w:rsid w:val="003B3FBC"/>
    <w:rsid w:val="003C07AF"/>
    <w:rsid w:val="003C36E3"/>
    <w:rsid w:val="003D0F2C"/>
    <w:rsid w:val="003D3F25"/>
    <w:rsid w:val="003D4238"/>
    <w:rsid w:val="003D6195"/>
    <w:rsid w:val="003D6B74"/>
    <w:rsid w:val="003E2273"/>
    <w:rsid w:val="003E7446"/>
    <w:rsid w:val="003F0423"/>
    <w:rsid w:val="003F281D"/>
    <w:rsid w:val="003F3BCC"/>
    <w:rsid w:val="003F46CF"/>
    <w:rsid w:val="003F4F79"/>
    <w:rsid w:val="003F5BED"/>
    <w:rsid w:val="003F5CFC"/>
    <w:rsid w:val="003F7ACD"/>
    <w:rsid w:val="00402CED"/>
    <w:rsid w:val="004069D2"/>
    <w:rsid w:val="004070CC"/>
    <w:rsid w:val="004071FC"/>
    <w:rsid w:val="00412FFC"/>
    <w:rsid w:val="0041449D"/>
    <w:rsid w:val="004167B5"/>
    <w:rsid w:val="00422EDF"/>
    <w:rsid w:val="004245F5"/>
    <w:rsid w:val="0042755B"/>
    <w:rsid w:val="004315B7"/>
    <w:rsid w:val="00435619"/>
    <w:rsid w:val="004369F7"/>
    <w:rsid w:val="00436A7D"/>
    <w:rsid w:val="00436E64"/>
    <w:rsid w:val="004403D4"/>
    <w:rsid w:val="004421D9"/>
    <w:rsid w:val="00443ECB"/>
    <w:rsid w:val="004445B4"/>
    <w:rsid w:val="0044491F"/>
    <w:rsid w:val="0044549E"/>
    <w:rsid w:val="00457196"/>
    <w:rsid w:val="00461805"/>
    <w:rsid w:val="0046391D"/>
    <w:rsid w:val="00475074"/>
    <w:rsid w:val="00476CAE"/>
    <w:rsid w:val="004814C8"/>
    <w:rsid w:val="00481B17"/>
    <w:rsid w:val="00486916"/>
    <w:rsid w:val="00490933"/>
    <w:rsid w:val="0049218F"/>
    <w:rsid w:val="00497526"/>
    <w:rsid w:val="004979EB"/>
    <w:rsid w:val="00497BD5"/>
    <w:rsid w:val="004A3D37"/>
    <w:rsid w:val="004A4194"/>
    <w:rsid w:val="004A5660"/>
    <w:rsid w:val="004C140C"/>
    <w:rsid w:val="004C4471"/>
    <w:rsid w:val="004C508B"/>
    <w:rsid w:val="004C5D9E"/>
    <w:rsid w:val="004D3075"/>
    <w:rsid w:val="004D5D4F"/>
    <w:rsid w:val="004E1280"/>
    <w:rsid w:val="004E27ED"/>
    <w:rsid w:val="004E32B3"/>
    <w:rsid w:val="004E5571"/>
    <w:rsid w:val="004E738A"/>
    <w:rsid w:val="004E7A11"/>
    <w:rsid w:val="004F2ACE"/>
    <w:rsid w:val="004F4692"/>
    <w:rsid w:val="00500B3D"/>
    <w:rsid w:val="00500D80"/>
    <w:rsid w:val="005016FE"/>
    <w:rsid w:val="00502342"/>
    <w:rsid w:val="0050613B"/>
    <w:rsid w:val="005065DE"/>
    <w:rsid w:val="00512584"/>
    <w:rsid w:val="00513326"/>
    <w:rsid w:val="005165AA"/>
    <w:rsid w:val="00517940"/>
    <w:rsid w:val="00520BA7"/>
    <w:rsid w:val="00521A08"/>
    <w:rsid w:val="00522555"/>
    <w:rsid w:val="0052303B"/>
    <w:rsid w:val="005234EE"/>
    <w:rsid w:val="00534DD4"/>
    <w:rsid w:val="0054176E"/>
    <w:rsid w:val="00541B1C"/>
    <w:rsid w:val="00556722"/>
    <w:rsid w:val="0056043F"/>
    <w:rsid w:val="00561B5C"/>
    <w:rsid w:val="0056274F"/>
    <w:rsid w:val="0056507F"/>
    <w:rsid w:val="00566014"/>
    <w:rsid w:val="0057515A"/>
    <w:rsid w:val="00577019"/>
    <w:rsid w:val="005839D3"/>
    <w:rsid w:val="005871E2"/>
    <w:rsid w:val="005879EB"/>
    <w:rsid w:val="00596C8F"/>
    <w:rsid w:val="005972F5"/>
    <w:rsid w:val="005A1D10"/>
    <w:rsid w:val="005A1E55"/>
    <w:rsid w:val="005A4DE6"/>
    <w:rsid w:val="005A67F0"/>
    <w:rsid w:val="005B1EC1"/>
    <w:rsid w:val="005B3B76"/>
    <w:rsid w:val="005B4EE7"/>
    <w:rsid w:val="005C2699"/>
    <w:rsid w:val="005C7455"/>
    <w:rsid w:val="005D0955"/>
    <w:rsid w:val="005D5D6F"/>
    <w:rsid w:val="005E50E3"/>
    <w:rsid w:val="005F014E"/>
    <w:rsid w:val="005F043D"/>
    <w:rsid w:val="005F0828"/>
    <w:rsid w:val="005F3797"/>
    <w:rsid w:val="005F64DE"/>
    <w:rsid w:val="005F7245"/>
    <w:rsid w:val="005F7598"/>
    <w:rsid w:val="00605340"/>
    <w:rsid w:val="0061277D"/>
    <w:rsid w:val="00614F6A"/>
    <w:rsid w:val="00616799"/>
    <w:rsid w:val="006256D6"/>
    <w:rsid w:val="00630024"/>
    <w:rsid w:val="00633C94"/>
    <w:rsid w:val="0063724D"/>
    <w:rsid w:val="00644B09"/>
    <w:rsid w:val="00645B0E"/>
    <w:rsid w:val="00645EC3"/>
    <w:rsid w:val="006468C6"/>
    <w:rsid w:val="00647779"/>
    <w:rsid w:val="00661A9E"/>
    <w:rsid w:val="00661D43"/>
    <w:rsid w:val="00664ADB"/>
    <w:rsid w:val="00673B68"/>
    <w:rsid w:val="00676107"/>
    <w:rsid w:val="006774BF"/>
    <w:rsid w:val="006810FA"/>
    <w:rsid w:val="00684729"/>
    <w:rsid w:val="00686132"/>
    <w:rsid w:val="00687452"/>
    <w:rsid w:val="0068778C"/>
    <w:rsid w:val="0069071E"/>
    <w:rsid w:val="006957AC"/>
    <w:rsid w:val="006A2CB8"/>
    <w:rsid w:val="006A702C"/>
    <w:rsid w:val="006B0CB1"/>
    <w:rsid w:val="006B44F0"/>
    <w:rsid w:val="006C29A7"/>
    <w:rsid w:val="006C4DC7"/>
    <w:rsid w:val="006C5D46"/>
    <w:rsid w:val="006C6A71"/>
    <w:rsid w:val="006D1707"/>
    <w:rsid w:val="006D3CAF"/>
    <w:rsid w:val="006D5D11"/>
    <w:rsid w:val="006D632B"/>
    <w:rsid w:val="006D6C1E"/>
    <w:rsid w:val="006D740A"/>
    <w:rsid w:val="006E45C0"/>
    <w:rsid w:val="006E7488"/>
    <w:rsid w:val="006F2A0C"/>
    <w:rsid w:val="0070389A"/>
    <w:rsid w:val="0070429F"/>
    <w:rsid w:val="00704B1B"/>
    <w:rsid w:val="00704BD2"/>
    <w:rsid w:val="00707710"/>
    <w:rsid w:val="00710065"/>
    <w:rsid w:val="0071189B"/>
    <w:rsid w:val="00711B94"/>
    <w:rsid w:val="00711CDC"/>
    <w:rsid w:val="0071416B"/>
    <w:rsid w:val="0071511F"/>
    <w:rsid w:val="0071551C"/>
    <w:rsid w:val="007216D1"/>
    <w:rsid w:val="00732BFF"/>
    <w:rsid w:val="00733ECE"/>
    <w:rsid w:val="00734641"/>
    <w:rsid w:val="007349C0"/>
    <w:rsid w:val="00737A32"/>
    <w:rsid w:val="00737A50"/>
    <w:rsid w:val="00742755"/>
    <w:rsid w:val="00743CB6"/>
    <w:rsid w:val="00745AB6"/>
    <w:rsid w:val="007505EB"/>
    <w:rsid w:val="00756778"/>
    <w:rsid w:val="0076552A"/>
    <w:rsid w:val="00767574"/>
    <w:rsid w:val="007743AB"/>
    <w:rsid w:val="00783017"/>
    <w:rsid w:val="00786729"/>
    <w:rsid w:val="00791851"/>
    <w:rsid w:val="00794973"/>
    <w:rsid w:val="007A5ACF"/>
    <w:rsid w:val="007B60B9"/>
    <w:rsid w:val="007D1BA2"/>
    <w:rsid w:val="007D62CE"/>
    <w:rsid w:val="007D74CE"/>
    <w:rsid w:val="007E0D8C"/>
    <w:rsid w:val="007E1237"/>
    <w:rsid w:val="007E24AC"/>
    <w:rsid w:val="007E7536"/>
    <w:rsid w:val="007F0903"/>
    <w:rsid w:val="007F5CA0"/>
    <w:rsid w:val="007F7EC7"/>
    <w:rsid w:val="00801B6F"/>
    <w:rsid w:val="00802550"/>
    <w:rsid w:val="00803461"/>
    <w:rsid w:val="00804308"/>
    <w:rsid w:val="008104BB"/>
    <w:rsid w:val="008138E5"/>
    <w:rsid w:val="008142E7"/>
    <w:rsid w:val="00814391"/>
    <w:rsid w:val="00815EFE"/>
    <w:rsid w:val="00817CFD"/>
    <w:rsid w:val="00817DCD"/>
    <w:rsid w:val="008223BB"/>
    <w:rsid w:val="00822571"/>
    <w:rsid w:val="0082553B"/>
    <w:rsid w:val="00825B7E"/>
    <w:rsid w:val="0083257D"/>
    <w:rsid w:val="00836BE6"/>
    <w:rsid w:val="00841F76"/>
    <w:rsid w:val="00851367"/>
    <w:rsid w:val="00864480"/>
    <w:rsid w:val="00867705"/>
    <w:rsid w:val="008718D6"/>
    <w:rsid w:val="00874018"/>
    <w:rsid w:val="0087628D"/>
    <w:rsid w:val="008777A6"/>
    <w:rsid w:val="00880D8C"/>
    <w:rsid w:val="00881F86"/>
    <w:rsid w:val="008844E6"/>
    <w:rsid w:val="008853D2"/>
    <w:rsid w:val="00893DE2"/>
    <w:rsid w:val="0089534D"/>
    <w:rsid w:val="008A34B7"/>
    <w:rsid w:val="008A5241"/>
    <w:rsid w:val="008B28D9"/>
    <w:rsid w:val="008B29CF"/>
    <w:rsid w:val="008B2B3E"/>
    <w:rsid w:val="008B33E3"/>
    <w:rsid w:val="008B47FC"/>
    <w:rsid w:val="008B5CFE"/>
    <w:rsid w:val="008B79F8"/>
    <w:rsid w:val="008B7FE4"/>
    <w:rsid w:val="008C2911"/>
    <w:rsid w:val="008C337C"/>
    <w:rsid w:val="008C60A1"/>
    <w:rsid w:val="008C7968"/>
    <w:rsid w:val="008D0C0D"/>
    <w:rsid w:val="008D1D65"/>
    <w:rsid w:val="008D3042"/>
    <w:rsid w:val="008D3193"/>
    <w:rsid w:val="008D4418"/>
    <w:rsid w:val="008D7C2C"/>
    <w:rsid w:val="008E004E"/>
    <w:rsid w:val="008F327A"/>
    <w:rsid w:val="008F60B7"/>
    <w:rsid w:val="008F6BC3"/>
    <w:rsid w:val="008F7E0D"/>
    <w:rsid w:val="00910D11"/>
    <w:rsid w:val="009201CE"/>
    <w:rsid w:val="009232F2"/>
    <w:rsid w:val="00925843"/>
    <w:rsid w:val="00936C3B"/>
    <w:rsid w:val="0093777C"/>
    <w:rsid w:val="00944311"/>
    <w:rsid w:val="0094509A"/>
    <w:rsid w:val="00947167"/>
    <w:rsid w:val="009525F3"/>
    <w:rsid w:val="0095282B"/>
    <w:rsid w:val="00952F9A"/>
    <w:rsid w:val="00956658"/>
    <w:rsid w:val="00963050"/>
    <w:rsid w:val="00966F50"/>
    <w:rsid w:val="00967B7E"/>
    <w:rsid w:val="00967FFE"/>
    <w:rsid w:val="009719D4"/>
    <w:rsid w:val="00982BA0"/>
    <w:rsid w:val="00983F42"/>
    <w:rsid w:val="00995B91"/>
    <w:rsid w:val="009A3063"/>
    <w:rsid w:val="009B0C58"/>
    <w:rsid w:val="009B1EBE"/>
    <w:rsid w:val="009B5158"/>
    <w:rsid w:val="009B5732"/>
    <w:rsid w:val="009B686F"/>
    <w:rsid w:val="009C3535"/>
    <w:rsid w:val="009C4A91"/>
    <w:rsid w:val="009D19C1"/>
    <w:rsid w:val="009D2493"/>
    <w:rsid w:val="009D2CA6"/>
    <w:rsid w:val="009D4526"/>
    <w:rsid w:val="009D5E49"/>
    <w:rsid w:val="009D63B3"/>
    <w:rsid w:val="009D6427"/>
    <w:rsid w:val="009D6660"/>
    <w:rsid w:val="009E0BF9"/>
    <w:rsid w:val="009E2C57"/>
    <w:rsid w:val="009E4BE2"/>
    <w:rsid w:val="009F02B1"/>
    <w:rsid w:val="009F3B98"/>
    <w:rsid w:val="009F74CA"/>
    <w:rsid w:val="00A03F74"/>
    <w:rsid w:val="00A15FDD"/>
    <w:rsid w:val="00A16608"/>
    <w:rsid w:val="00A16984"/>
    <w:rsid w:val="00A17818"/>
    <w:rsid w:val="00A17FA6"/>
    <w:rsid w:val="00A20E9C"/>
    <w:rsid w:val="00A21452"/>
    <w:rsid w:val="00A21836"/>
    <w:rsid w:val="00A24282"/>
    <w:rsid w:val="00A258E9"/>
    <w:rsid w:val="00A26D04"/>
    <w:rsid w:val="00A30783"/>
    <w:rsid w:val="00A35B28"/>
    <w:rsid w:val="00A40949"/>
    <w:rsid w:val="00A45A15"/>
    <w:rsid w:val="00A470B5"/>
    <w:rsid w:val="00A526B7"/>
    <w:rsid w:val="00A651FA"/>
    <w:rsid w:val="00A73005"/>
    <w:rsid w:val="00A73CB3"/>
    <w:rsid w:val="00A761EC"/>
    <w:rsid w:val="00A83CBE"/>
    <w:rsid w:val="00A864A7"/>
    <w:rsid w:val="00A874D0"/>
    <w:rsid w:val="00A8759A"/>
    <w:rsid w:val="00A905A6"/>
    <w:rsid w:val="00A92B13"/>
    <w:rsid w:val="00A92C1C"/>
    <w:rsid w:val="00A93728"/>
    <w:rsid w:val="00AA001B"/>
    <w:rsid w:val="00AA029C"/>
    <w:rsid w:val="00AA1A5C"/>
    <w:rsid w:val="00AA3867"/>
    <w:rsid w:val="00AA3D09"/>
    <w:rsid w:val="00AA5125"/>
    <w:rsid w:val="00AA7767"/>
    <w:rsid w:val="00AB1802"/>
    <w:rsid w:val="00AB22BF"/>
    <w:rsid w:val="00AB299F"/>
    <w:rsid w:val="00AB44EB"/>
    <w:rsid w:val="00AC0881"/>
    <w:rsid w:val="00AC278E"/>
    <w:rsid w:val="00AC5F0C"/>
    <w:rsid w:val="00AC7DFE"/>
    <w:rsid w:val="00AD0300"/>
    <w:rsid w:val="00AE253A"/>
    <w:rsid w:val="00AE41B2"/>
    <w:rsid w:val="00AE587A"/>
    <w:rsid w:val="00AE79D4"/>
    <w:rsid w:val="00AF05A8"/>
    <w:rsid w:val="00AF1B9D"/>
    <w:rsid w:val="00AF5BCD"/>
    <w:rsid w:val="00AF61E8"/>
    <w:rsid w:val="00AF6E78"/>
    <w:rsid w:val="00AF7E7A"/>
    <w:rsid w:val="00B000F6"/>
    <w:rsid w:val="00B01F4D"/>
    <w:rsid w:val="00B057D0"/>
    <w:rsid w:val="00B10BED"/>
    <w:rsid w:val="00B12CAF"/>
    <w:rsid w:val="00B13BF8"/>
    <w:rsid w:val="00B13F5B"/>
    <w:rsid w:val="00B23B67"/>
    <w:rsid w:val="00B275B9"/>
    <w:rsid w:val="00B301A1"/>
    <w:rsid w:val="00B31AF9"/>
    <w:rsid w:val="00B34102"/>
    <w:rsid w:val="00B5112B"/>
    <w:rsid w:val="00B56E7E"/>
    <w:rsid w:val="00B617C1"/>
    <w:rsid w:val="00B81AAC"/>
    <w:rsid w:val="00B8538F"/>
    <w:rsid w:val="00B911A4"/>
    <w:rsid w:val="00B9142D"/>
    <w:rsid w:val="00BA56D0"/>
    <w:rsid w:val="00BA6BEB"/>
    <w:rsid w:val="00BB6B1B"/>
    <w:rsid w:val="00BC550E"/>
    <w:rsid w:val="00BD1829"/>
    <w:rsid w:val="00BD210A"/>
    <w:rsid w:val="00BD227E"/>
    <w:rsid w:val="00BD30D4"/>
    <w:rsid w:val="00BE05D9"/>
    <w:rsid w:val="00BE2385"/>
    <w:rsid w:val="00BE2415"/>
    <w:rsid w:val="00BE3448"/>
    <w:rsid w:val="00BE7948"/>
    <w:rsid w:val="00BF09D1"/>
    <w:rsid w:val="00BF331C"/>
    <w:rsid w:val="00C021A7"/>
    <w:rsid w:val="00C04ED5"/>
    <w:rsid w:val="00C053C3"/>
    <w:rsid w:val="00C061B1"/>
    <w:rsid w:val="00C07BD6"/>
    <w:rsid w:val="00C11836"/>
    <w:rsid w:val="00C12AA5"/>
    <w:rsid w:val="00C13A92"/>
    <w:rsid w:val="00C1614E"/>
    <w:rsid w:val="00C215D1"/>
    <w:rsid w:val="00C24FEE"/>
    <w:rsid w:val="00C314E9"/>
    <w:rsid w:val="00C31604"/>
    <w:rsid w:val="00C370CE"/>
    <w:rsid w:val="00C52D51"/>
    <w:rsid w:val="00C53206"/>
    <w:rsid w:val="00C54C4E"/>
    <w:rsid w:val="00C566F8"/>
    <w:rsid w:val="00C56E57"/>
    <w:rsid w:val="00C57377"/>
    <w:rsid w:val="00C62ECF"/>
    <w:rsid w:val="00C63161"/>
    <w:rsid w:val="00C75C59"/>
    <w:rsid w:val="00C7702E"/>
    <w:rsid w:val="00C77116"/>
    <w:rsid w:val="00C8502F"/>
    <w:rsid w:val="00C8749C"/>
    <w:rsid w:val="00C87A8C"/>
    <w:rsid w:val="00CA51DC"/>
    <w:rsid w:val="00CA6F5D"/>
    <w:rsid w:val="00CB0547"/>
    <w:rsid w:val="00CB0A42"/>
    <w:rsid w:val="00CC3534"/>
    <w:rsid w:val="00CC41FF"/>
    <w:rsid w:val="00CC4EB3"/>
    <w:rsid w:val="00CC6BBA"/>
    <w:rsid w:val="00CC6C43"/>
    <w:rsid w:val="00CC7078"/>
    <w:rsid w:val="00CD0CF5"/>
    <w:rsid w:val="00CD1682"/>
    <w:rsid w:val="00CE3138"/>
    <w:rsid w:val="00CE34B1"/>
    <w:rsid w:val="00CF0E79"/>
    <w:rsid w:val="00CF2AED"/>
    <w:rsid w:val="00CF4C33"/>
    <w:rsid w:val="00CF4CC1"/>
    <w:rsid w:val="00CF5F0D"/>
    <w:rsid w:val="00CF6E65"/>
    <w:rsid w:val="00CF798C"/>
    <w:rsid w:val="00CF7ACB"/>
    <w:rsid w:val="00D023A4"/>
    <w:rsid w:val="00D02C0B"/>
    <w:rsid w:val="00D035E7"/>
    <w:rsid w:val="00D06903"/>
    <w:rsid w:val="00D06E24"/>
    <w:rsid w:val="00D072F8"/>
    <w:rsid w:val="00D11146"/>
    <w:rsid w:val="00D170C2"/>
    <w:rsid w:val="00D25F38"/>
    <w:rsid w:val="00D2668D"/>
    <w:rsid w:val="00D32B49"/>
    <w:rsid w:val="00D34783"/>
    <w:rsid w:val="00D3481E"/>
    <w:rsid w:val="00D3788E"/>
    <w:rsid w:val="00D37CFC"/>
    <w:rsid w:val="00D4198C"/>
    <w:rsid w:val="00D41AA1"/>
    <w:rsid w:val="00D43C8D"/>
    <w:rsid w:val="00D45B59"/>
    <w:rsid w:val="00D462EE"/>
    <w:rsid w:val="00D53733"/>
    <w:rsid w:val="00D54545"/>
    <w:rsid w:val="00D57AB3"/>
    <w:rsid w:val="00D57F0F"/>
    <w:rsid w:val="00D620D5"/>
    <w:rsid w:val="00D72872"/>
    <w:rsid w:val="00D72D00"/>
    <w:rsid w:val="00D776E6"/>
    <w:rsid w:val="00D81227"/>
    <w:rsid w:val="00D813A0"/>
    <w:rsid w:val="00D84DEB"/>
    <w:rsid w:val="00D96395"/>
    <w:rsid w:val="00DA06AA"/>
    <w:rsid w:val="00DA53D6"/>
    <w:rsid w:val="00DA6AF8"/>
    <w:rsid w:val="00DD1178"/>
    <w:rsid w:val="00DD2AA7"/>
    <w:rsid w:val="00DD3F15"/>
    <w:rsid w:val="00DD7D49"/>
    <w:rsid w:val="00DE38B8"/>
    <w:rsid w:val="00DE48E7"/>
    <w:rsid w:val="00DE5CE9"/>
    <w:rsid w:val="00DF0FDC"/>
    <w:rsid w:val="00DF3BA3"/>
    <w:rsid w:val="00DF4F17"/>
    <w:rsid w:val="00DF5F9E"/>
    <w:rsid w:val="00E00F47"/>
    <w:rsid w:val="00E01B73"/>
    <w:rsid w:val="00E0492D"/>
    <w:rsid w:val="00E10216"/>
    <w:rsid w:val="00E137CA"/>
    <w:rsid w:val="00E147FF"/>
    <w:rsid w:val="00E15B16"/>
    <w:rsid w:val="00E1799C"/>
    <w:rsid w:val="00E20933"/>
    <w:rsid w:val="00E20BA7"/>
    <w:rsid w:val="00E21398"/>
    <w:rsid w:val="00E25D31"/>
    <w:rsid w:val="00E3056D"/>
    <w:rsid w:val="00E3109E"/>
    <w:rsid w:val="00E325F8"/>
    <w:rsid w:val="00E33424"/>
    <w:rsid w:val="00E3724A"/>
    <w:rsid w:val="00E425ED"/>
    <w:rsid w:val="00E45F7F"/>
    <w:rsid w:val="00E52499"/>
    <w:rsid w:val="00E53BF9"/>
    <w:rsid w:val="00E55D71"/>
    <w:rsid w:val="00E57054"/>
    <w:rsid w:val="00E578C7"/>
    <w:rsid w:val="00E63484"/>
    <w:rsid w:val="00E659DA"/>
    <w:rsid w:val="00E67EF6"/>
    <w:rsid w:val="00E70A3B"/>
    <w:rsid w:val="00E718F5"/>
    <w:rsid w:val="00E72E5A"/>
    <w:rsid w:val="00E8255C"/>
    <w:rsid w:val="00E825B1"/>
    <w:rsid w:val="00E87F49"/>
    <w:rsid w:val="00E90B61"/>
    <w:rsid w:val="00E92A16"/>
    <w:rsid w:val="00EA20C9"/>
    <w:rsid w:val="00EA5776"/>
    <w:rsid w:val="00EB158B"/>
    <w:rsid w:val="00EB33B6"/>
    <w:rsid w:val="00EB3719"/>
    <w:rsid w:val="00EB74C8"/>
    <w:rsid w:val="00EB7A17"/>
    <w:rsid w:val="00EC2226"/>
    <w:rsid w:val="00EC3F41"/>
    <w:rsid w:val="00EC4A98"/>
    <w:rsid w:val="00ED18BF"/>
    <w:rsid w:val="00EE12C9"/>
    <w:rsid w:val="00EE1FBF"/>
    <w:rsid w:val="00EE6836"/>
    <w:rsid w:val="00EF2855"/>
    <w:rsid w:val="00EF2F6C"/>
    <w:rsid w:val="00EF36E4"/>
    <w:rsid w:val="00EF6C60"/>
    <w:rsid w:val="00F060C2"/>
    <w:rsid w:val="00F065C6"/>
    <w:rsid w:val="00F06CE7"/>
    <w:rsid w:val="00F07585"/>
    <w:rsid w:val="00F07D6E"/>
    <w:rsid w:val="00F11966"/>
    <w:rsid w:val="00F13164"/>
    <w:rsid w:val="00F14A6C"/>
    <w:rsid w:val="00F1641C"/>
    <w:rsid w:val="00F1791F"/>
    <w:rsid w:val="00F20732"/>
    <w:rsid w:val="00F210AC"/>
    <w:rsid w:val="00F27DCE"/>
    <w:rsid w:val="00F309C4"/>
    <w:rsid w:val="00F322C0"/>
    <w:rsid w:val="00F53E41"/>
    <w:rsid w:val="00F543C7"/>
    <w:rsid w:val="00F55830"/>
    <w:rsid w:val="00F640D7"/>
    <w:rsid w:val="00F65AC7"/>
    <w:rsid w:val="00F70B04"/>
    <w:rsid w:val="00F86C11"/>
    <w:rsid w:val="00F90EC5"/>
    <w:rsid w:val="00F9192E"/>
    <w:rsid w:val="00F94ACE"/>
    <w:rsid w:val="00F96DC3"/>
    <w:rsid w:val="00F97EBF"/>
    <w:rsid w:val="00FA068C"/>
    <w:rsid w:val="00FA1FBA"/>
    <w:rsid w:val="00FA3DDC"/>
    <w:rsid w:val="00FB072D"/>
    <w:rsid w:val="00FB3408"/>
    <w:rsid w:val="00FB39E5"/>
    <w:rsid w:val="00FB4408"/>
    <w:rsid w:val="00FC09D2"/>
    <w:rsid w:val="00FC1F09"/>
    <w:rsid w:val="00FC3458"/>
    <w:rsid w:val="00FC6EB6"/>
    <w:rsid w:val="00FD005D"/>
    <w:rsid w:val="00FD02A8"/>
    <w:rsid w:val="00FD441A"/>
    <w:rsid w:val="00FE0DA9"/>
    <w:rsid w:val="00FE38E5"/>
    <w:rsid w:val="00FE4EF8"/>
    <w:rsid w:val="00FF50C5"/>
    <w:rsid w:val="00FF7357"/>
    <w:rsid w:val="039785F0"/>
    <w:rsid w:val="0425B58F"/>
    <w:rsid w:val="05C9E79B"/>
    <w:rsid w:val="08CE914E"/>
    <w:rsid w:val="0DE9D8AD"/>
    <w:rsid w:val="0E97C081"/>
    <w:rsid w:val="0F347810"/>
    <w:rsid w:val="114ECEAA"/>
    <w:rsid w:val="11A3BCD2"/>
    <w:rsid w:val="12DFB290"/>
    <w:rsid w:val="13B74BD0"/>
    <w:rsid w:val="15860E00"/>
    <w:rsid w:val="1A9D4722"/>
    <w:rsid w:val="1AED5EC3"/>
    <w:rsid w:val="1B477F9F"/>
    <w:rsid w:val="1BA93558"/>
    <w:rsid w:val="1E7440DF"/>
    <w:rsid w:val="23DB5D6B"/>
    <w:rsid w:val="23F8420D"/>
    <w:rsid w:val="27191AB3"/>
    <w:rsid w:val="2723D45D"/>
    <w:rsid w:val="28675B68"/>
    <w:rsid w:val="29062F61"/>
    <w:rsid w:val="2B79A5DE"/>
    <w:rsid w:val="2B8E6C8A"/>
    <w:rsid w:val="2CD4A29D"/>
    <w:rsid w:val="2D7A52EA"/>
    <w:rsid w:val="2F9AB395"/>
    <w:rsid w:val="3014B4F3"/>
    <w:rsid w:val="30728C9F"/>
    <w:rsid w:val="342A678A"/>
    <w:rsid w:val="3887DBF6"/>
    <w:rsid w:val="3A68B03F"/>
    <w:rsid w:val="3AF3D9CD"/>
    <w:rsid w:val="40B939C0"/>
    <w:rsid w:val="44004FEC"/>
    <w:rsid w:val="44F315C5"/>
    <w:rsid w:val="45227127"/>
    <w:rsid w:val="4A61D2BA"/>
    <w:rsid w:val="4B8DF50A"/>
    <w:rsid w:val="4BC23A9C"/>
    <w:rsid w:val="51D48BC4"/>
    <w:rsid w:val="53E5131D"/>
    <w:rsid w:val="550050E5"/>
    <w:rsid w:val="569C2146"/>
    <w:rsid w:val="571CB3DF"/>
    <w:rsid w:val="58042396"/>
    <w:rsid w:val="627A9AE4"/>
    <w:rsid w:val="6309792B"/>
    <w:rsid w:val="630B7264"/>
    <w:rsid w:val="631EB670"/>
    <w:rsid w:val="63C3D996"/>
    <w:rsid w:val="66A7FD6F"/>
    <w:rsid w:val="69E5864D"/>
    <w:rsid w:val="6A78CC2C"/>
    <w:rsid w:val="6B8D6B7F"/>
    <w:rsid w:val="6E671836"/>
    <w:rsid w:val="76C64F3F"/>
    <w:rsid w:val="76EBB340"/>
    <w:rsid w:val="76F5665C"/>
    <w:rsid w:val="78D390FD"/>
    <w:rsid w:val="78D5EBFB"/>
    <w:rsid w:val="7B081D1F"/>
    <w:rsid w:val="7CFE1427"/>
    <w:rsid w:val="7D29F8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61108"/>
  <w15:docId w15:val="{287E6228-612F-46C0-B7C7-0A7B165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6CE7"/>
    <w:rPr>
      <w:color w:val="0000FF"/>
      <w:sz w:val="24"/>
      <w:szCs w:val="24"/>
    </w:rPr>
  </w:style>
  <w:style w:type="paragraph" w:styleId="Nadpis1">
    <w:name w:val="heading 1"/>
    <w:basedOn w:val="Normln"/>
    <w:next w:val="Normln"/>
    <w:link w:val="Nadpis1Char"/>
    <w:uiPriority w:val="9"/>
    <w:qFormat/>
    <w:rsid w:val="002B42CF"/>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uiPriority w:val="9"/>
    <w:semiHidden/>
    <w:unhideWhenUsed/>
    <w:qFormat/>
    <w:rsid w:val="00AA029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qFormat/>
    <w:rsid w:val="00E25D31"/>
    <w:pPr>
      <w:keepNext/>
      <w:numPr>
        <w:numId w:val="5"/>
      </w:numPr>
      <w:outlineLvl w:val="4"/>
    </w:pPr>
    <w:rPr>
      <w:b/>
      <w:color w:val="auto"/>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ody text,bt"/>
    <w:basedOn w:val="Normln"/>
    <w:rsid w:val="00E25D31"/>
    <w:pPr>
      <w:jc w:val="center"/>
    </w:pPr>
    <w:rPr>
      <w:b/>
      <w:color w:val="auto"/>
      <w:szCs w:val="20"/>
    </w:rPr>
  </w:style>
  <w:style w:type="paragraph" w:styleId="Zkladntextodsazen">
    <w:name w:val="Body Text Indent"/>
    <w:basedOn w:val="Normln"/>
    <w:link w:val="ZkladntextodsazenChar"/>
    <w:rsid w:val="00E25D31"/>
    <w:pPr>
      <w:ind w:left="2880" w:hanging="720"/>
    </w:pPr>
    <w:rPr>
      <w:b/>
      <w:color w:val="auto"/>
      <w:szCs w:val="20"/>
    </w:rPr>
  </w:style>
  <w:style w:type="paragraph" w:styleId="Nzev">
    <w:name w:val="Title"/>
    <w:basedOn w:val="Normln"/>
    <w:qFormat/>
    <w:rsid w:val="00E25D31"/>
    <w:pPr>
      <w:spacing w:before="120" w:after="120"/>
      <w:ind w:firstLine="284"/>
      <w:jc w:val="center"/>
    </w:pPr>
    <w:rPr>
      <w:b/>
      <w:i/>
      <w:color w:val="auto"/>
      <w:sz w:val="32"/>
      <w:szCs w:val="20"/>
    </w:rPr>
  </w:style>
  <w:style w:type="paragraph" w:styleId="Podnadpis">
    <w:name w:val="Subtitle"/>
    <w:basedOn w:val="Normln"/>
    <w:qFormat/>
    <w:rsid w:val="00E25D31"/>
    <w:pPr>
      <w:spacing w:before="120" w:after="120"/>
      <w:ind w:firstLine="284"/>
      <w:jc w:val="center"/>
    </w:pPr>
    <w:rPr>
      <w:b/>
      <w:i/>
      <w:color w:val="auto"/>
      <w:sz w:val="32"/>
      <w:szCs w:val="20"/>
    </w:rPr>
  </w:style>
  <w:style w:type="paragraph" w:styleId="Zkladntextodsazen2">
    <w:name w:val="Body Text Indent 2"/>
    <w:basedOn w:val="Normln"/>
    <w:rsid w:val="00E25D31"/>
    <w:pPr>
      <w:spacing w:before="120" w:after="120"/>
      <w:ind w:left="720" w:hanging="76"/>
      <w:jc w:val="both"/>
    </w:pPr>
    <w:rPr>
      <w:color w:val="auto"/>
      <w:sz w:val="22"/>
      <w:szCs w:val="20"/>
    </w:rPr>
  </w:style>
  <w:style w:type="paragraph" w:styleId="Titulek">
    <w:name w:val="caption"/>
    <w:basedOn w:val="Normln"/>
    <w:next w:val="Normln"/>
    <w:qFormat/>
    <w:rsid w:val="00E25D31"/>
    <w:pPr>
      <w:spacing w:before="120" w:after="120"/>
      <w:jc w:val="center"/>
    </w:pPr>
    <w:rPr>
      <w:b/>
      <w:color w:val="auto"/>
      <w:sz w:val="28"/>
      <w:szCs w:val="20"/>
    </w:rPr>
  </w:style>
  <w:style w:type="paragraph" w:customStyle="1" w:styleId="Category">
    <w:name w:val="Category"/>
    <w:rsid w:val="00E25D31"/>
    <w:pPr>
      <w:widowControl w:val="0"/>
      <w:spacing w:before="240"/>
    </w:pPr>
    <w:rPr>
      <w:rFonts w:ascii="Arial" w:hAnsi="Arial"/>
      <w:b/>
      <w:snapToGrid w:val="0"/>
      <w:sz w:val="28"/>
      <w:lang w:val="en-AU"/>
    </w:rPr>
  </w:style>
  <w:style w:type="paragraph" w:customStyle="1" w:styleId="ParagraphCharChar">
    <w:name w:val="Paragraph Char Char"/>
    <w:basedOn w:val="Normln"/>
    <w:rsid w:val="00E25D31"/>
    <w:pPr>
      <w:spacing w:before="240"/>
      <w:ind w:left="576" w:hanging="576"/>
    </w:pPr>
    <w:rPr>
      <w:color w:val="auto"/>
      <w:szCs w:val="20"/>
    </w:rPr>
  </w:style>
  <w:style w:type="paragraph" w:styleId="Zkladntextodsazen3">
    <w:name w:val="Body Text Indent 3"/>
    <w:basedOn w:val="Normln"/>
    <w:rsid w:val="00E25D31"/>
    <w:pPr>
      <w:ind w:left="1440" w:hanging="720"/>
      <w:jc w:val="both"/>
    </w:pPr>
    <w:rPr>
      <w:color w:val="auto"/>
      <w:spacing w:val="-3"/>
      <w:szCs w:val="22"/>
      <w:lang w:val="en-GB"/>
    </w:rPr>
  </w:style>
  <w:style w:type="paragraph" w:styleId="Zkladntext2">
    <w:name w:val="Body Text 2"/>
    <w:basedOn w:val="Normln"/>
    <w:rsid w:val="00E25D31"/>
    <w:pPr>
      <w:jc w:val="both"/>
    </w:pPr>
    <w:rPr>
      <w:color w:val="auto"/>
    </w:rPr>
  </w:style>
  <w:style w:type="paragraph" w:styleId="Textbubliny">
    <w:name w:val="Balloon Text"/>
    <w:basedOn w:val="Normln"/>
    <w:semiHidden/>
    <w:rsid w:val="00BD210A"/>
    <w:rPr>
      <w:rFonts w:ascii="Tahoma" w:hAnsi="Tahoma" w:cs="Tahoma"/>
      <w:sz w:val="16"/>
      <w:szCs w:val="16"/>
    </w:rPr>
  </w:style>
  <w:style w:type="character" w:styleId="Odkaznakoment">
    <w:name w:val="annotation reference"/>
    <w:rsid w:val="00F27DCE"/>
    <w:rPr>
      <w:sz w:val="16"/>
      <w:szCs w:val="16"/>
    </w:rPr>
  </w:style>
  <w:style w:type="paragraph" w:styleId="Textkomente">
    <w:name w:val="annotation text"/>
    <w:basedOn w:val="Normln"/>
    <w:link w:val="TextkomenteChar"/>
    <w:rsid w:val="00F27DCE"/>
    <w:rPr>
      <w:sz w:val="20"/>
      <w:szCs w:val="20"/>
    </w:rPr>
  </w:style>
  <w:style w:type="paragraph" w:styleId="Pedmtkomente">
    <w:name w:val="annotation subject"/>
    <w:basedOn w:val="Textkomente"/>
    <w:next w:val="Textkomente"/>
    <w:semiHidden/>
    <w:rsid w:val="00F27DCE"/>
    <w:rPr>
      <w:b/>
      <w:bCs/>
    </w:rPr>
  </w:style>
  <w:style w:type="paragraph" w:customStyle="1" w:styleId="TableText">
    <w:name w:val="Table Text"/>
    <w:basedOn w:val="Normln"/>
    <w:rsid w:val="00687452"/>
    <w:pPr>
      <w:overflowPunct w:val="0"/>
      <w:autoSpaceDE w:val="0"/>
      <w:autoSpaceDN w:val="0"/>
      <w:adjustRightInd w:val="0"/>
      <w:textAlignment w:val="baseline"/>
    </w:pPr>
    <w:rPr>
      <w:color w:val="000000"/>
      <w:szCs w:val="20"/>
      <w:lang w:eastAsia="zh-CN"/>
    </w:rPr>
  </w:style>
  <w:style w:type="paragraph" w:customStyle="1" w:styleId="IndentedText">
    <w:name w:val="Indented Text"/>
    <w:basedOn w:val="Normln"/>
    <w:rsid w:val="0010578C"/>
    <w:pPr>
      <w:widowControl w:val="0"/>
      <w:autoSpaceDE w:val="0"/>
      <w:autoSpaceDN w:val="0"/>
      <w:adjustRightInd w:val="0"/>
      <w:spacing w:before="28" w:after="28"/>
      <w:ind w:left="576"/>
      <w:jc w:val="both"/>
    </w:pPr>
    <w:rPr>
      <w:rFonts w:ascii="Helvetica" w:hAnsi="Helvetica"/>
      <w:color w:val="auto"/>
      <w:sz w:val="20"/>
      <w:szCs w:val="20"/>
      <w:lang w:val="cs-CZ" w:eastAsia="cs-CZ"/>
    </w:rPr>
  </w:style>
  <w:style w:type="paragraph" w:customStyle="1" w:styleId="Level21">
    <w:name w:val="Level 2: 1."/>
    <w:basedOn w:val="Normln"/>
    <w:rsid w:val="0010578C"/>
    <w:pPr>
      <w:widowControl w:val="0"/>
      <w:autoSpaceDE w:val="0"/>
      <w:autoSpaceDN w:val="0"/>
      <w:adjustRightInd w:val="0"/>
      <w:spacing w:before="28" w:after="28"/>
      <w:ind w:left="936" w:hanging="360"/>
      <w:jc w:val="both"/>
    </w:pPr>
    <w:rPr>
      <w:rFonts w:ascii="Helvetica" w:hAnsi="Helvetica"/>
      <w:color w:val="auto"/>
      <w:sz w:val="20"/>
      <w:szCs w:val="20"/>
      <w:lang w:val="cs-CZ" w:eastAsia="cs-CZ"/>
    </w:rPr>
  </w:style>
  <w:style w:type="paragraph" w:customStyle="1" w:styleId="Level3">
    <w:name w:val="Level 3"/>
    <w:basedOn w:val="Normln"/>
    <w:rsid w:val="00C57377"/>
    <w:pPr>
      <w:numPr>
        <w:ilvl w:val="2"/>
        <w:numId w:val="14"/>
      </w:numPr>
      <w:overflowPunct w:val="0"/>
      <w:autoSpaceDE w:val="0"/>
      <w:autoSpaceDN w:val="0"/>
      <w:adjustRightInd w:val="0"/>
      <w:textAlignment w:val="baseline"/>
    </w:pPr>
    <w:rPr>
      <w:b/>
      <w:bCs/>
      <w:i/>
      <w:color w:val="auto"/>
      <w:sz w:val="20"/>
      <w:szCs w:val="20"/>
      <w:lang w:eastAsia="zh-CN"/>
    </w:rPr>
  </w:style>
  <w:style w:type="paragraph" w:customStyle="1" w:styleId="Level1">
    <w:name w:val="Level 1"/>
    <w:basedOn w:val="Normln"/>
    <w:rsid w:val="00C57377"/>
    <w:pPr>
      <w:numPr>
        <w:numId w:val="14"/>
      </w:numPr>
      <w:overflowPunct w:val="0"/>
      <w:autoSpaceDE w:val="0"/>
      <w:autoSpaceDN w:val="0"/>
      <w:adjustRightInd w:val="0"/>
      <w:textAlignment w:val="baseline"/>
      <w:outlineLvl w:val="0"/>
    </w:pPr>
    <w:rPr>
      <w:b/>
      <w:color w:val="000000"/>
      <w:sz w:val="20"/>
      <w:szCs w:val="20"/>
      <w:lang w:eastAsia="zh-CN"/>
    </w:rPr>
  </w:style>
  <w:style w:type="paragraph" w:customStyle="1" w:styleId="Level2">
    <w:name w:val="Level 2"/>
    <w:basedOn w:val="Normln"/>
    <w:link w:val="Level2Char"/>
    <w:rsid w:val="00C57377"/>
    <w:pPr>
      <w:numPr>
        <w:ilvl w:val="1"/>
        <w:numId w:val="14"/>
      </w:numPr>
      <w:overflowPunct w:val="0"/>
      <w:autoSpaceDE w:val="0"/>
      <w:autoSpaceDN w:val="0"/>
      <w:adjustRightInd w:val="0"/>
      <w:textAlignment w:val="baseline"/>
      <w:outlineLvl w:val="1"/>
    </w:pPr>
    <w:rPr>
      <w:b/>
      <w:i/>
      <w:color w:val="000000"/>
      <w:lang w:eastAsia="zh-CN"/>
    </w:rPr>
  </w:style>
  <w:style w:type="paragraph" w:customStyle="1" w:styleId="Level4">
    <w:name w:val="Level 4"/>
    <w:basedOn w:val="Normln"/>
    <w:rsid w:val="00C57377"/>
    <w:pPr>
      <w:numPr>
        <w:ilvl w:val="3"/>
        <w:numId w:val="14"/>
      </w:numPr>
      <w:overflowPunct w:val="0"/>
      <w:autoSpaceDE w:val="0"/>
      <w:autoSpaceDN w:val="0"/>
      <w:adjustRightInd w:val="0"/>
      <w:textAlignment w:val="baseline"/>
      <w:outlineLvl w:val="3"/>
    </w:pPr>
    <w:rPr>
      <w:b/>
      <w:i/>
      <w:color w:val="000000"/>
      <w:sz w:val="20"/>
      <w:szCs w:val="20"/>
      <w:lang w:eastAsia="zh-CN"/>
    </w:rPr>
  </w:style>
  <w:style w:type="character" w:styleId="Hypertextovodkaz">
    <w:name w:val="Hyperlink"/>
    <w:rsid w:val="00C57377"/>
    <w:rPr>
      <w:color w:val="0000FF"/>
      <w:spacing w:val="0"/>
      <w:sz w:val="20"/>
      <w:szCs w:val="24"/>
      <w:u w:val="single"/>
    </w:rPr>
  </w:style>
  <w:style w:type="character" w:customStyle="1" w:styleId="Level2Char">
    <w:name w:val="Level 2 Char"/>
    <w:link w:val="Level2"/>
    <w:rsid w:val="00C57377"/>
    <w:rPr>
      <w:b/>
      <w:i/>
      <w:color w:val="000000"/>
      <w:sz w:val="24"/>
      <w:szCs w:val="24"/>
      <w:lang w:eastAsia="zh-CN"/>
    </w:rPr>
  </w:style>
  <w:style w:type="paragraph" w:styleId="Odstavecseseznamem">
    <w:name w:val="List Paragraph"/>
    <w:aliases w:val="Bullet 1,Use Case List Paragraph,b1,Bullet for no #'s,B1,List Paragraph1"/>
    <w:basedOn w:val="Normln"/>
    <w:link w:val="OdstavecseseznamemChar"/>
    <w:uiPriority w:val="34"/>
    <w:qFormat/>
    <w:rsid w:val="00BE7948"/>
    <w:pPr>
      <w:ind w:left="720"/>
    </w:pPr>
  </w:style>
  <w:style w:type="paragraph" w:styleId="Zhlav">
    <w:name w:val="header"/>
    <w:basedOn w:val="Normln"/>
    <w:link w:val="ZhlavChar"/>
    <w:uiPriority w:val="99"/>
    <w:unhideWhenUsed/>
    <w:rsid w:val="000D1FDC"/>
    <w:pPr>
      <w:tabs>
        <w:tab w:val="center" w:pos="4680"/>
        <w:tab w:val="right" w:pos="9360"/>
      </w:tabs>
    </w:pPr>
  </w:style>
  <w:style w:type="character" w:customStyle="1" w:styleId="ZhlavChar">
    <w:name w:val="Záhlaví Char"/>
    <w:link w:val="Zhlav"/>
    <w:uiPriority w:val="99"/>
    <w:rsid w:val="000D1FDC"/>
    <w:rPr>
      <w:color w:val="0000FF"/>
      <w:sz w:val="24"/>
      <w:szCs w:val="24"/>
    </w:rPr>
  </w:style>
  <w:style w:type="paragraph" w:styleId="Zpat">
    <w:name w:val="footer"/>
    <w:basedOn w:val="Normln"/>
    <w:link w:val="ZpatChar"/>
    <w:uiPriority w:val="99"/>
    <w:unhideWhenUsed/>
    <w:rsid w:val="000D1FDC"/>
    <w:pPr>
      <w:tabs>
        <w:tab w:val="center" w:pos="4680"/>
        <w:tab w:val="right" w:pos="9360"/>
      </w:tabs>
    </w:pPr>
  </w:style>
  <w:style w:type="character" w:customStyle="1" w:styleId="ZpatChar">
    <w:name w:val="Zápatí Char"/>
    <w:link w:val="Zpat"/>
    <w:uiPriority w:val="99"/>
    <w:rsid w:val="000D1FDC"/>
    <w:rPr>
      <w:color w:val="0000FF"/>
      <w:sz w:val="24"/>
      <w:szCs w:val="24"/>
    </w:rPr>
  </w:style>
  <w:style w:type="paragraph" w:customStyle="1" w:styleId="Bul-2">
    <w:name w:val="Bul-2"/>
    <w:basedOn w:val="Normln"/>
    <w:rsid w:val="009525F3"/>
    <w:pPr>
      <w:spacing w:after="240"/>
      <w:ind w:left="1152" w:hanging="576"/>
      <w:jc w:val="both"/>
    </w:pPr>
    <w:rPr>
      <w:rFonts w:ascii="Helv" w:eastAsia="Calibri" w:hAnsi="Helv"/>
      <w:color w:val="auto"/>
    </w:rPr>
  </w:style>
  <w:style w:type="character" w:customStyle="1" w:styleId="Nadpis1Char">
    <w:name w:val="Nadpis 1 Char"/>
    <w:link w:val="Nadpis1"/>
    <w:uiPriority w:val="9"/>
    <w:rsid w:val="002B42CF"/>
    <w:rPr>
      <w:rFonts w:ascii="Cambria" w:hAnsi="Cambria"/>
      <w:b/>
      <w:bCs/>
      <w:color w:val="0000FF"/>
      <w:kern w:val="32"/>
      <w:sz w:val="32"/>
      <w:szCs w:val="32"/>
    </w:rPr>
  </w:style>
  <w:style w:type="character" w:customStyle="1" w:styleId="Nadpis3Char">
    <w:name w:val="Nadpis 3 Char"/>
    <w:basedOn w:val="Standardnpsmoodstavce"/>
    <w:link w:val="Nadpis3"/>
    <w:uiPriority w:val="9"/>
    <w:semiHidden/>
    <w:rsid w:val="00AA029C"/>
    <w:rPr>
      <w:rFonts w:asciiTheme="majorHAnsi" w:eastAsiaTheme="majorEastAsia" w:hAnsiTheme="majorHAnsi" w:cstheme="majorBidi"/>
      <w:b/>
      <w:bCs/>
      <w:color w:val="4F81BD" w:themeColor="accent1"/>
      <w:sz w:val="24"/>
      <w:szCs w:val="24"/>
    </w:rPr>
  </w:style>
  <w:style w:type="paragraph" w:customStyle="1" w:styleId="listnumbered">
    <w:name w:val="listnumbered"/>
    <w:basedOn w:val="Normln"/>
    <w:rsid w:val="00AA029C"/>
    <w:pPr>
      <w:numPr>
        <w:numId w:val="21"/>
      </w:numPr>
      <w:spacing w:before="120" w:after="120"/>
      <w:jc w:val="both"/>
    </w:pPr>
    <w:rPr>
      <w:rFonts w:ascii="Arial" w:hAnsi="Arial"/>
      <w:color w:val="000000"/>
      <w:sz w:val="20"/>
      <w:lang w:val="en-GB"/>
    </w:rPr>
  </w:style>
  <w:style w:type="character" w:customStyle="1" w:styleId="TextkomenteChar">
    <w:name w:val="Text komentáře Char"/>
    <w:basedOn w:val="Standardnpsmoodstavce"/>
    <w:link w:val="Textkomente"/>
    <w:rsid w:val="00AA029C"/>
    <w:rPr>
      <w:color w:val="0000FF"/>
    </w:rPr>
  </w:style>
  <w:style w:type="character" w:customStyle="1" w:styleId="OdstavecseseznamemChar">
    <w:name w:val="Odstavec se seznamem Char"/>
    <w:aliases w:val="Bullet 1 Char,Use Case List Paragraph Char,b1 Char,Bullet for no #'s Char,B1 Char,List Paragraph1 Char"/>
    <w:link w:val="Odstavecseseznamem"/>
    <w:uiPriority w:val="34"/>
    <w:rsid w:val="002A111D"/>
    <w:rPr>
      <w:color w:val="0000FF"/>
      <w:sz w:val="24"/>
      <w:szCs w:val="24"/>
    </w:rPr>
  </w:style>
  <w:style w:type="character" w:customStyle="1" w:styleId="ZkladntextodsazenChar">
    <w:name w:val="Základní text odsazený Char"/>
    <w:link w:val="Zkladntextodsazen"/>
    <w:rsid w:val="002F3A14"/>
    <w:rPr>
      <w:b/>
      <w:sz w:val="24"/>
    </w:rPr>
  </w:style>
  <w:style w:type="paragraph" w:styleId="Revize">
    <w:name w:val="Revision"/>
    <w:hidden/>
    <w:uiPriority w:val="99"/>
    <w:semiHidden/>
    <w:rsid w:val="00CA51DC"/>
    <w:rPr>
      <w:color w:val="0000FF"/>
      <w:sz w:val="24"/>
      <w:szCs w:val="24"/>
    </w:rPr>
  </w:style>
  <w:style w:type="paragraph" w:styleId="Textpoznpodarou">
    <w:name w:val="footnote text"/>
    <w:basedOn w:val="Normln"/>
    <w:link w:val="TextpoznpodarouChar"/>
    <w:rsid w:val="008F327A"/>
    <w:rPr>
      <w:sz w:val="16"/>
      <w:szCs w:val="20"/>
    </w:rPr>
  </w:style>
  <w:style w:type="character" w:customStyle="1" w:styleId="TextpoznpodarouChar">
    <w:name w:val="Text pozn. pod čarou Char"/>
    <w:basedOn w:val="Standardnpsmoodstavce"/>
    <w:link w:val="Textpoznpodarou"/>
    <w:rsid w:val="008F327A"/>
    <w:rPr>
      <w:color w:val="0000FF"/>
      <w:sz w:val="16"/>
    </w:rPr>
  </w:style>
  <w:style w:type="paragraph" w:customStyle="1" w:styleId="Topic1">
    <w:name w:val="Topic 1"/>
    <w:basedOn w:val="Normln"/>
    <w:rsid w:val="008F327A"/>
    <w:pPr>
      <w:spacing w:before="240"/>
    </w:pPr>
    <w:rPr>
      <w:rFonts w:ascii="Arial" w:hAnsi="Arial"/>
      <w:b/>
      <w:color w:val="auto"/>
      <w:szCs w:val="20"/>
    </w:rPr>
  </w:style>
  <w:style w:type="paragraph" w:customStyle="1" w:styleId="Numberslevel1">
    <w:name w:val="Numbers level 1"/>
    <w:basedOn w:val="Normln"/>
    <w:qFormat/>
    <w:rsid w:val="00C1614E"/>
    <w:pPr>
      <w:numPr>
        <w:numId w:val="49"/>
      </w:numPr>
      <w:spacing w:line="250" w:lineRule="atLeast"/>
      <w:ind w:left="720" w:hanging="720"/>
    </w:pPr>
    <w:rPr>
      <w:rFonts w:ascii="Arial" w:eastAsia="Arial" w:hAnsi="Arial"/>
      <w:b/>
      <w:color w:val="auto"/>
      <w:sz w:val="16"/>
      <w:szCs w:val="22"/>
      <w:lang w:val="en-GB"/>
    </w:rPr>
  </w:style>
  <w:style w:type="paragraph" w:customStyle="1" w:styleId="Numberslevel2">
    <w:name w:val="Numbers level 2"/>
    <w:basedOn w:val="Normln"/>
    <w:qFormat/>
    <w:rsid w:val="00C1614E"/>
    <w:pPr>
      <w:numPr>
        <w:ilvl w:val="1"/>
        <w:numId w:val="49"/>
      </w:numPr>
      <w:spacing w:line="250" w:lineRule="atLeast"/>
      <w:ind w:left="1440" w:hanging="720"/>
    </w:pPr>
    <w:rPr>
      <w:rFonts w:ascii="Arial" w:eastAsia="Arial" w:hAnsi="Arial"/>
      <w:color w:val="auto"/>
      <w:sz w:val="18"/>
      <w:szCs w:val="22"/>
      <w:lang w:val="en-GB"/>
    </w:rPr>
  </w:style>
  <w:style w:type="paragraph" w:customStyle="1" w:styleId="Numberslevel3">
    <w:name w:val="Numbers level 3"/>
    <w:basedOn w:val="Normln"/>
    <w:qFormat/>
    <w:rsid w:val="00C1614E"/>
    <w:pPr>
      <w:numPr>
        <w:ilvl w:val="2"/>
        <w:numId w:val="49"/>
      </w:numPr>
      <w:spacing w:line="250" w:lineRule="atLeast"/>
      <w:ind w:left="2160" w:hanging="720"/>
    </w:pPr>
    <w:rPr>
      <w:rFonts w:ascii="Arial" w:eastAsia="Arial" w:hAnsi="Arial"/>
      <w:color w:val="auto"/>
      <w:sz w:val="18"/>
      <w:szCs w:val="22"/>
      <w:lang w:val="en-GB"/>
    </w:rPr>
  </w:style>
  <w:style w:type="paragraph" w:customStyle="1" w:styleId="smlouvabodytext">
    <w:name w:val="smlouva body text"/>
    <w:basedOn w:val="Normln"/>
    <w:rsid w:val="006957AC"/>
    <w:pPr>
      <w:keepLines/>
      <w:tabs>
        <w:tab w:val="left" w:pos="851"/>
      </w:tabs>
      <w:spacing w:after="240" w:line="240" w:lineRule="atLeast"/>
      <w:jc w:val="both"/>
    </w:pPr>
    <w:rPr>
      <w:rFonts w:ascii="Verdana" w:eastAsia="Times" w:hAnsi="Verdana"/>
      <w:noProof/>
      <w:color w:val="auto"/>
      <w:sz w:val="18"/>
      <w:szCs w:val="18"/>
      <w:lang w:val="cs-CZ"/>
    </w:rPr>
  </w:style>
  <w:style w:type="character" w:styleId="Zmnka">
    <w:name w:val="Mention"/>
    <w:basedOn w:val="Standardnpsmoodstavce"/>
    <w:uiPriority w:val="99"/>
    <w:unhideWhenUsed/>
    <w:rsid w:val="00710065"/>
    <w:rPr>
      <w:color w:val="2B579A"/>
      <w:shd w:val="clear" w:color="auto" w:fill="E1DFDD"/>
    </w:rPr>
  </w:style>
  <w:style w:type="paragraph" w:customStyle="1" w:styleId="BodyText1">
    <w:name w:val="Body Text1"/>
    <w:qFormat/>
    <w:rsid w:val="004E5571"/>
    <w:rPr>
      <w:rFonts w:ascii="Arial" w:hAnsi="Arial"/>
      <w:color w:val="000000"/>
      <w:sz w:val="19"/>
      <w:szCs w:val="48"/>
      <w:lang w:val="cs-CZ"/>
    </w:rPr>
  </w:style>
  <w:style w:type="character" w:styleId="Nevyeenzmnka">
    <w:name w:val="Unresolved Mention"/>
    <w:basedOn w:val="Standardnpsmoodstavce"/>
    <w:uiPriority w:val="99"/>
    <w:semiHidden/>
    <w:unhideWhenUsed/>
    <w:rsid w:val="0034268A"/>
    <w:rPr>
      <w:color w:val="605E5C"/>
      <w:shd w:val="clear" w:color="auto" w:fill="E1DFDD"/>
    </w:rPr>
  </w:style>
  <w:style w:type="character" w:styleId="Sledovanodkaz">
    <w:name w:val="FollowedHyperlink"/>
    <w:basedOn w:val="Standardnpsmoodstavce"/>
    <w:uiPriority w:val="99"/>
    <w:semiHidden/>
    <w:unhideWhenUsed/>
    <w:rsid w:val="00A86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7395">
      <w:bodyDiv w:val="1"/>
      <w:marLeft w:val="0"/>
      <w:marRight w:val="0"/>
      <w:marTop w:val="0"/>
      <w:marBottom w:val="0"/>
      <w:divBdr>
        <w:top w:val="none" w:sz="0" w:space="0" w:color="auto"/>
        <w:left w:val="none" w:sz="0" w:space="0" w:color="auto"/>
        <w:bottom w:val="none" w:sz="0" w:space="0" w:color="auto"/>
        <w:right w:val="none" w:sz="0" w:space="0" w:color="auto"/>
      </w:divBdr>
    </w:div>
    <w:div w:id="16316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deloitte.com/ce/en/pages/about-deloitte/articles/deloitte-ce-privacy-statement-for-clien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qid=1401799946706&amp;uri=CELEX:32010D008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IncidentReportingDesk@deloitte.com" TargetMode="External"/><Relationship Id="rId5" Type="http://schemas.openxmlformats.org/officeDocument/2006/relationships/numbering" Target="numbering.xml"/><Relationship Id="rId15" Type="http://schemas.openxmlformats.org/officeDocument/2006/relationships/hyperlink" Target="https://smlouvy.gov.cz/smlouva/2569892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louvy.gov.cz/smlouva/17513607?backlink=4s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86CA369A2413479978C5BBDD57CDD8" ma:contentTypeVersion="12" ma:contentTypeDescription="Create a new document." ma:contentTypeScope="" ma:versionID="e9e2e29551b2b3db1783eb2f703f8284">
  <xsd:schema xmlns:xsd="http://www.w3.org/2001/XMLSchema" xmlns:xs="http://www.w3.org/2001/XMLSchema" xmlns:p="http://schemas.microsoft.com/office/2006/metadata/properties" xmlns:ns2="66434f01-f8f5-41b6-9b7a-902e7b4b817f" xmlns:ns3="382174b9-57b5-473b-b571-6ccaf0144f5b" targetNamespace="http://schemas.microsoft.com/office/2006/metadata/properties" ma:root="true" ma:fieldsID="ae7c386dfa6dbc26f8f77bdb002951f0" ns2:_="" ns3:_="">
    <xsd:import namespace="66434f01-f8f5-41b6-9b7a-902e7b4b817f"/>
    <xsd:import namespace="382174b9-57b5-473b-b571-6ccaf0144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4f01-f8f5-41b6-9b7a-902e7b4b8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74b9-57b5-473b-b571-6ccaf0144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C7092-C5DE-445B-B2F4-DF46572C48BB}">
  <ds:schemaRefs>
    <ds:schemaRef ds:uri="http://schemas.microsoft.com/sharepoint/v3/contenttype/forms"/>
  </ds:schemaRefs>
</ds:datastoreItem>
</file>

<file path=customXml/itemProps2.xml><?xml version="1.0" encoding="utf-8"?>
<ds:datastoreItem xmlns:ds="http://schemas.openxmlformats.org/officeDocument/2006/customXml" ds:itemID="{7E5A4002-C105-4637-A4DF-D245DC2DA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42EC5-383D-4653-8029-92B00CCA2F6E}">
  <ds:schemaRefs>
    <ds:schemaRef ds:uri="http://schemas.openxmlformats.org/officeDocument/2006/bibliography"/>
  </ds:schemaRefs>
</ds:datastoreItem>
</file>

<file path=customXml/itemProps4.xml><?xml version="1.0" encoding="utf-8"?>
<ds:datastoreItem xmlns:ds="http://schemas.openxmlformats.org/officeDocument/2006/customXml" ds:itemID="{85064C82-3269-4206-A87B-7AB1F08F4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4f01-f8f5-41b6-9b7a-902e7b4b817f"/>
    <ds:schemaRef ds:uri="382174b9-57b5-473b-b571-6ccaf0144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12763</Words>
  <Characters>75305</Characters>
  <Application>Microsoft Office Word</Application>
  <DocSecurity>0</DocSecurity>
  <Lines>627</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Appendix A</vt:lpstr>
      <vt:lpstr>Appendix A</vt:lpstr>
    </vt:vector>
  </TitlesOfParts>
  <Company>Deloitte &amp; Touche</Company>
  <LinksUpToDate>false</LinksUpToDate>
  <CharactersWithSpaces>87893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Vasko Raichev</dc:creator>
  <cp:keywords/>
  <dc:description/>
  <cp:lastModifiedBy>Kozubek, Ales</cp:lastModifiedBy>
  <cp:revision>2</cp:revision>
  <cp:lastPrinted>2011-08-11T13:57:00Z</cp:lastPrinted>
  <dcterms:created xsi:type="dcterms:W3CDTF">2024-02-07T13:55:00Z</dcterms:created>
  <dcterms:modified xsi:type="dcterms:W3CDTF">2024-02-07T13:55:00Z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0x0101000586CA369A2413479978C5BBDD57CDD8</vt:lpwstr>
  </property>
  <property fmtid="{D5CDD505-2E9C-101B-9397-08002B2CF9AE}" pid="3" name="TaxKeyword">
    <vt:lpwstr/>
  </property>
  <property fmtid="{D5CDD505-2E9C-101B-9397-08002B2CF9AE}" pid="4" name="Geography">
    <vt:lpwstr>1;#Central Europe (2392)|ac9e1f89-1c63-4a03-a531-ad75f1c0d60a</vt:lpwstr>
  </property>
  <property fmtid="{D5CDD505-2E9C-101B-9397-08002B2CF9AE}" pid="5" name="LanguageB">
    <vt:lpwstr>2;#English|b169a262-1aaa-4ccb-9acf-78a36c1d9bab</vt:lpwstr>
  </property>
  <property fmtid="{D5CDD505-2E9C-101B-9397-08002B2CF9AE}" pid="6" name="vti_description">
    <vt:lpwstr/>
  </property>
  <property fmtid="{D5CDD505-2E9C-101B-9397-08002B2CF9AE}" pid="7" name="_dlc_DocIdItemGuid">
    <vt:lpwstr>692e3c8c-173b-45a3-b567-90ed97649f54</vt:lpwstr>
  </property>
  <property fmtid="{D5CDD505-2E9C-101B-9397-08002B2CF9AE}" pid="8" name="MSIP_Label_ea60d57e-af5b-4752-ac57-3e4f28ca11dc_Enabled">
    <vt:lpwstr>true</vt:lpwstr>
  </property>
  <property fmtid="{D5CDD505-2E9C-101B-9397-08002B2CF9AE}" pid="9" name="MSIP_Label_ea60d57e-af5b-4752-ac57-3e4f28ca11dc_SetDate">
    <vt:lpwstr>2021-08-25T06:42:52Z</vt:lpwstr>
  </property>
  <property fmtid="{D5CDD505-2E9C-101B-9397-08002B2CF9AE}" pid="10" name="MSIP_Label_ea60d57e-af5b-4752-ac57-3e4f28ca11dc_Method">
    <vt:lpwstr>Standard</vt:lpwstr>
  </property>
  <property fmtid="{D5CDD505-2E9C-101B-9397-08002B2CF9AE}" pid="11" name="MSIP_Label_ea60d57e-af5b-4752-ac57-3e4f28ca11dc_Name">
    <vt:lpwstr>ea60d57e-af5b-4752-ac57-3e4f28ca11dc</vt:lpwstr>
  </property>
  <property fmtid="{D5CDD505-2E9C-101B-9397-08002B2CF9AE}" pid="12" name="MSIP_Label_ea60d57e-af5b-4752-ac57-3e4f28ca11dc_SiteId">
    <vt:lpwstr>36da45f1-dd2c-4d1f-af13-5abe46b99921</vt:lpwstr>
  </property>
  <property fmtid="{D5CDD505-2E9C-101B-9397-08002B2CF9AE}" pid="13" name="MSIP_Label_ea60d57e-af5b-4752-ac57-3e4f28ca11dc_ActionId">
    <vt:lpwstr>e1ebca8c-b882-4f22-b7c8-3d23f3aa4ea9</vt:lpwstr>
  </property>
  <property fmtid="{D5CDD505-2E9C-101B-9397-08002B2CF9AE}" pid="14" name="MSIP_Label_ea60d57e-af5b-4752-ac57-3e4f28ca11dc_ContentBits">
    <vt:lpwstr>0</vt:lpwstr>
  </property>
</Properties>
</file>