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DF" w:rsidRDefault="00351B11">
      <w:pPr>
        <w:jc w:val="center"/>
        <w:rPr>
          <w:rFonts w:ascii="Tahoma" w:hAnsi="Tahoma" w:cs="Tahoma"/>
          <w:b/>
          <w:bCs/>
          <w:i/>
          <w:iCs/>
          <w:color w:val="0000FF"/>
          <w:sz w:val="44"/>
          <w:szCs w:val="44"/>
        </w:rPr>
      </w:pPr>
      <w:r>
        <w:rPr>
          <w:rFonts w:ascii="Tahoma" w:hAnsi="Tahoma" w:cs="Tahoma"/>
          <w:b/>
          <w:bCs/>
          <w:i/>
          <w:iCs/>
          <w:color w:val="0000FF"/>
          <w:sz w:val="44"/>
          <w:szCs w:val="44"/>
        </w:rPr>
        <w:t>Nájemní smlouva a smlouva o dílo</w:t>
      </w:r>
    </w:p>
    <w:p w:rsidR="003346DF" w:rsidRDefault="00351B11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 zajištění dodávek spotřebního materiálu, servisu a pravidelných prohlídek</w:t>
      </w:r>
    </w:p>
    <w:p w:rsidR="003346DF" w:rsidRDefault="00351B11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Pronájem)</w:t>
      </w:r>
    </w:p>
    <w:p w:rsidR="003346DF" w:rsidRDefault="003346DF">
      <w:pPr>
        <w:jc w:val="center"/>
        <w:rPr>
          <w:rFonts w:ascii="Tahoma" w:hAnsi="Tahoma" w:cs="Tahoma"/>
          <w:b/>
          <w:i/>
          <w:sz w:val="16"/>
          <w:szCs w:val="16"/>
        </w:rPr>
      </w:pPr>
    </w:p>
    <w:p w:rsidR="003346DF" w:rsidRDefault="00351B11">
      <w:pPr>
        <w:jc w:val="center"/>
      </w:pPr>
      <w:r>
        <w:rPr>
          <w:rFonts w:ascii="Tahoma" w:hAnsi="Tahoma" w:cs="Tahoma"/>
          <w:sz w:val="16"/>
          <w:szCs w:val="16"/>
        </w:rPr>
        <w:t>Číslo smlouvy: 2024-02</w:t>
      </w:r>
    </w:p>
    <w:p w:rsidR="003346DF" w:rsidRDefault="003346DF">
      <w:pPr>
        <w:jc w:val="center"/>
        <w:rPr>
          <w:rFonts w:ascii="Tahoma" w:hAnsi="Tahoma" w:cs="Tahoma"/>
          <w:b/>
          <w:sz w:val="16"/>
          <w:szCs w:val="16"/>
        </w:rPr>
      </w:pPr>
    </w:p>
    <w:p w:rsidR="003346DF" w:rsidRDefault="003346DF">
      <w:pPr>
        <w:jc w:val="center"/>
        <w:rPr>
          <w:rFonts w:ascii="Tahoma" w:hAnsi="Tahoma" w:cs="Tahoma"/>
          <w:b/>
          <w:sz w:val="16"/>
          <w:szCs w:val="16"/>
        </w:rPr>
      </w:pPr>
    </w:p>
    <w:p w:rsidR="003346DF" w:rsidRDefault="00351B11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dle </w:t>
      </w:r>
      <w:proofErr w:type="spellStart"/>
      <w:r>
        <w:rPr>
          <w:rFonts w:ascii="Tahoma" w:hAnsi="Tahoma" w:cs="Tahoma"/>
          <w:sz w:val="16"/>
          <w:szCs w:val="16"/>
        </w:rPr>
        <w:t>ust</w:t>
      </w:r>
      <w:proofErr w:type="spellEnd"/>
      <w:r>
        <w:rPr>
          <w:rFonts w:ascii="Tahoma" w:hAnsi="Tahoma" w:cs="Tahoma"/>
          <w:sz w:val="16"/>
          <w:szCs w:val="16"/>
        </w:rPr>
        <w:t xml:space="preserve">. § 2201 a násl. § 2586 a </w:t>
      </w:r>
      <w:proofErr w:type="gramStart"/>
      <w:r>
        <w:rPr>
          <w:rFonts w:ascii="Tahoma" w:hAnsi="Tahoma" w:cs="Tahoma"/>
          <w:sz w:val="16"/>
          <w:szCs w:val="16"/>
        </w:rPr>
        <w:t xml:space="preserve">násl. </w:t>
      </w:r>
      <w:proofErr w:type="spellStart"/>
      <w:r>
        <w:rPr>
          <w:rFonts w:ascii="Tahoma" w:hAnsi="Tahoma" w:cs="Tahoma"/>
          <w:sz w:val="16"/>
          <w:szCs w:val="16"/>
        </w:rPr>
        <w:t>z.č</w:t>
      </w:r>
      <w:proofErr w:type="spellEnd"/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89/2012 Sb., občanský zákoník.</w:t>
      </w:r>
    </w:p>
    <w:p w:rsidR="003346DF" w:rsidRDefault="003346DF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060" w:type="dxa"/>
        <w:tblLook w:val="0000" w:firstRow="0" w:lastRow="0" w:firstColumn="0" w:lastColumn="0" w:noHBand="0" w:noVBand="0"/>
      </w:tblPr>
      <w:tblGrid>
        <w:gridCol w:w="1374"/>
        <w:gridCol w:w="3127"/>
        <w:gridCol w:w="1857"/>
        <w:gridCol w:w="2702"/>
      </w:tblGrid>
      <w:tr w:rsidR="003346DF">
        <w:trPr>
          <w:trHeight w:val="69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Vyšší odborná škola, Střední průmyslová škola a Obchodní akademie Čáslav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Callisto-96, s.r.o.</w:t>
            </w:r>
          </w:p>
        </w:tc>
      </w:tr>
      <w:tr w:rsidR="003346DF">
        <w:trPr>
          <w:trHeight w:val="7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Sídlo: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Přemysla Otakara II. 938/18,286 01 Čáslav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Sídlo: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Škroupova 150</w:t>
            </w:r>
          </w:p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53701 Chrudim</w:t>
            </w:r>
          </w:p>
        </w:tc>
      </w:tr>
      <w:tr w:rsidR="003346DF">
        <w:trPr>
          <w:trHeight w:val="36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IČO: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61924008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IČO: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25261347</w:t>
            </w:r>
          </w:p>
        </w:tc>
      </w:tr>
      <w:tr w:rsidR="003346DF">
        <w:trPr>
          <w:trHeight w:val="35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346D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pStyle w:val="Normln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CZ25261347</w:t>
            </w:r>
          </w:p>
        </w:tc>
      </w:tr>
      <w:tr w:rsidR="003346DF">
        <w:trPr>
          <w:trHeight w:val="35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Zastoupení: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Mgr.Věra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Szabová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Zastoupení: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51B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Milan Staněk, jednatel</w:t>
            </w:r>
          </w:p>
        </w:tc>
      </w:tr>
      <w:tr w:rsidR="003346DF">
        <w:trPr>
          <w:trHeight w:val="34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Bank.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spojení</w:t>
            </w:r>
            <w:proofErr w:type="gramEnd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346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46DF" w:rsidRDefault="00351B11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Bank.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spojení</w:t>
            </w:r>
            <w:proofErr w:type="gramEnd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6DF" w:rsidRDefault="003346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346DF" w:rsidRDefault="009D3F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xxxxxxx</w:t>
            </w:r>
            <w:proofErr w:type="spellEnd"/>
          </w:p>
          <w:p w:rsidR="003346DF" w:rsidRDefault="003346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3346DF" w:rsidRDefault="00351B11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  <w:t xml:space="preserve"> </w:t>
      </w:r>
    </w:p>
    <w:p w:rsidR="003346DF" w:rsidRDefault="00351B1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se dohodly, že zhotovitel bude poskytovat servisní služby a dodávky spotřebního materiálu pro přístroj uvedený ve </w:t>
      </w:r>
      <w:r>
        <w:rPr>
          <w:rFonts w:ascii="Tahoma" w:hAnsi="Tahoma" w:cs="Tahoma"/>
          <w:sz w:val="16"/>
          <w:szCs w:val="16"/>
        </w:rPr>
        <w:t>specifikaci zboží a objednatel bude za takto poskytnuté služby platit sjednané poplatky. Práva a povinnosti smluvních stran se řídí touto smlouvou.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16"/>
          <w:szCs w:val="16"/>
        </w:rPr>
      </w:pPr>
      <w:r>
        <w:rPr>
          <w:rFonts w:cs="Tahoma"/>
          <w:sz w:val="16"/>
          <w:szCs w:val="16"/>
        </w:rPr>
        <w:t>Specifikace předmětu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4"/>
        <w:gridCol w:w="2676"/>
        <w:gridCol w:w="2140"/>
      </w:tblGrid>
      <w:tr w:rsidR="003346DF">
        <w:trPr>
          <w:cantSplit/>
          <w:trHeight w:val="570"/>
        </w:trPr>
        <w:tc>
          <w:tcPr>
            <w:tcW w:w="4254" w:type="dxa"/>
            <w:tcBorders>
              <w:bottom w:val="single" w:sz="18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Typ zařízení</w:t>
            </w:r>
          </w:p>
        </w:tc>
        <w:tc>
          <w:tcPr>
            <w:tcW w:w="2676" w:type="dxa"/>
            <w:tcBorders>
              <w:bottom w:val="single" w:sz="18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Příslušenství / výrobní číslo</w:t>
            </w:r>
          </w:p>
        </w:tc>
        <w:tc>
          <w:tcPr>
            <w:tcW w:w="2140" w:type="dxa"/>
            <w:tcBorders>
              <w:bottom w:val="single" w:sz="18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Místo instalace                      </w:t>
            </w:r>
            <w:r>
              <w:rPr>
                <w:rFonts w:cs="Tahoma"/>
                <w:b/>
                <w:szCs w:val="16"/>
              </w:rPr>
              <w:t>(adresa)</w:t>
            </w:r>
          </w:p>
        </w:tc>
      </w:tr>
      <w:tr w:rsidR="003346DF">
        <w:trPr>
          <w:trHeight w:val="282"/>
        </w:trPr>
        <w:tc>
          <w:tcPr>
            <w:tcW w:w="4254" w:type="dxa"/>
            <w:tcBorders>
              <w:top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2553ci </w:t>
            </w:r>
          </w:p>
          <w:p w:rsidR="003346DF" w:rsidRDefault="003346DF">
            <w:pPr>
              <w:pStyle w:val="MyQtextvtabulce"/>
              <w:rPr>
                <w:rFonts w:cs="Tahoma" w:hint="eastAsia"/>
                <w:szCs w:val="16"/>
              </w:rPr>
            </w:pPr>
          </w:p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3011i </w:t>
            </w:r>
          </w:p>
        </w:tc>
        <w:tc>
          <w:tcPr>
            <w:tcW w:w="2676" w:type="dxa"/>
            <w:tcBorders>
              <w:top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RFM9917614</w:t>
            </w:r>
          </w:p>
          <w:p w:rsidR="003346DF" w:rsidRDefault="003346DF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</w:p>
          <w:p w:rsidR="003346DF" w:rsidRDefault="00351B11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V937Z13826</w:t>
            </w:r>
          </w:p>
          <w:p w:rsidR="003346DF" w:rsidRDefault="003346DF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</w:p>
          <w:p w:rsidR="003346DF" w:rsidRDefault="003346DF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center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    Viz. </w:t>
            </w:r>
            <w:proofErr w:type="gramStart"/>
            <w:r>
              <w:rPr>
                <w:rFonts w:cs="Tahoma"/>
                <w:szCs w:val="16"/>
              </w:rPr>
              <w:t>sídlo</w:t>
            </w:r>
            <w:proofErr w:type="gramEnd"/>
          </w:p>
        </w:tc>
      </w:tr>
    </w:tbl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16"/>
          <w:szCs w:val="16"/>
        </w:rPr>
      </w:pPr>
      <w:r>
        <w:rPr>
          <w:rFonts w:cs="Tahoma"/>
          <w:sz w:val="16"/>
          <w:szCs w:val="16"/>
        </w:rPr>
        <w:t>Parametry smlouvy</w:t>
      </w:r>
    </w:p>
    <w:tbl>
      <w:tblPr>
        <w:tblW w:w="91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3"/>
        <w:gridCol w:w="57"/>
        <w:gridCol w:w="504"/>
        <w:gridCol w:w="1120"/>
        <w:gridCol w:w="98"/>
        <w:gridCol w:w="417"/>
        <w:gridCol w:w="2681"/>
        <w:gridCol w:w="28"/>
      </w:tblGrid>
      <w:tr w:rsidR="003346DF">
        <w:trPr>
          <w:trHeight w:val="284"/>
        </w:trPr>
        <w:tc>
          <w:tcPr>
            <w:tcW w:w="4223" w:type="dxa"/>
            <w:tcBorders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Datum instalace: </w:t>
            </w:r>
            <w:r>
              <w:rPr>
                <w:rFonts w:cs="Tahoma"/>
                <w:b/>
                <w:szCs w:val="16"/>
              </w:rPr>
              <w:tab/>
            </w:r>
          </w:p>
        </w:tc>
        <w:tc>
          <w:tcPr>
            <w:tcW w:w="4905" w:type="dxa"/>
            <w:gridSpan w:val="7"/>
            <w:tcBorders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b/>
                <w:bCs/>
                <w:szCs w:val="16"/>
              </w:rPr>
            </w:pP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2553ci- 12/2019, </w:t>
            </w: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3011i - 4/2018</w:t>
            </w:r>
            <w:r>
              <w:rPr>
                <w:rFonts w:cs="Tahoma"/>
                <w:b/>
                <w:bCs/>
                <w:szCs w:val="16"/>
              </w:rPr>
              <w:t xml:space="preserve"> </w:t>
            </w:r>
          </w:p>
        </w:tc>
      </w:tr>
      <w:tr w:rsidR="003346DF">
        <w:trPr>
          <w:trHeight w:val="367"/>
        </w:trPr>
        <w:tc>
          <w:tcPr>
            <w:tcW w:w="4223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Doba trvání smlouvy: </w:t>
            </w:r>
            <w:r>
              <w:rPr>
                <w:rFonts w:cs="Tahoma"/>
                <w:b/>
                <w:szCs w:val="16"/>
              </w:rPr>
              <w:tab/>
            </w:r>
          </w:p>
        </w:tc>
        <w:tc>
          <w:tcPr>
            <w:tcW w:w="4905" w:type="dxa"/>
            <w:gridSpan w:val="7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24 měsíců</w:t>
            </w:r>
          </w:p>
          <w:p w:rsidR="003346DF" w:rsidRDefault="00351B11">
            <w:pPr>
              <w:pStyle w:val="MyQtextvtabulce"/>
              <w:jc w:val="right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Od </w:t>
            </w:r>
            <w:proofErr w:type="gramStart"/>
            <w:r>
              <w:rPr>
                <w:rFonts w:cs="Tahoma"/>
                <w:b/>
                <w:szCs w:val="16"/>
              </w:rPr>
              <w:t>1.1.2024</w:t>
            </w:r>
            <w:proofErr w:type="gramEnd"/>
            <w:r>
              <w:rPr>
                <w:rFonts w:cs="Tahoma"/>
                <w:b/>
                <w:szCs w:val="16"/>
              </w:rPr>
              <w:t xml:space="preserve"> – do 31.12.2025   </w:t>
            </w:r>
          </w:p>
        </w:tc>
      </w:tr>
      <w:tr w:rsidR="003346DF">
        <w:trPr>
          <w:trHeight w:val="284"/>
        </w:trPr>
        <w:tc>
          <w:tcPr>
            <w:tcW w:w="4223" w:type="dxa"/>
            <w:vMerge w:val="restart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Počáteční stav počítadel (status): </w:t>
            </w:r>
          </w:p>
        </w:tc>
        <w:tc>
          <w:tcPr>
            <w:tcW w:w="2196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hint="eastAsia"/>
              </w:rPr>
            </w:pPr>
            <w:r>
              <w:rPr>
                <w:rFonts w:cs="Tahoma"/>
                <w:szCs w:val="16"/>
              </w:rPr>
              <w:t>ČB 38657(</w:t>
            </w: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2553ci)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187531 (</w:t>
            </w: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3011i)</w:t>
            </w:r>
          </w:p>
        </w:tc>
      </w:tr>
      <w:tr w:rsidR="003346DF">
        <w:trPr>
          <w:trHeight w:val="284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2196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hint="eastAsia"/>
              </w:rPr>
            </w:pPr>
            <w:r>
              <w:rPr>
                <w:rFonts w:cs="Tahoma"/>
                <w:szCs w:val="16"/>
              </w:rPr>
              <w:t>B  95366 (</w:t>
            </w:r>
            <w:proofErr w:type="spellStart"/>
            <w:r>
              <w:rPr>
                <w:rFonts w:cs="Tahoma"/>
                <w:szCs w:val="16"/>
              </w:rPr>
              <w:t>Taskalfa</w:t>
            </w:r>
            <w:proofErr w:type="spellEnd"/>
            <w:r>
              <w:rPr>
                <w:rFonts w:cs="Tahoma"/>
                <w:szCs w:val="16"/>
              </w:rPr>
              <w:t xml:space="preserve"> 2553)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346DF">
            <w:pPr>
              <w:pStyle w:val="MyQtextvtabulce"/>
              <w:jc w:val="right"/>
              <w:rPr>
                <w:rFonts w:cs="Tahoma" w:hint="eastAsia"/>
                <w:b/>
                <w:szCs w:val="16"/>
              </w:rPr>
            </w:pPr>
          </w:p>
        </w:tc>
      </w:tr>
      <w:tr w:rsidR="003346DF">
        <w:trPr>
          <w:trHeight w:val="285"/>
        </w:trPr>
        <w:tc>
          <w:tcPr>
            <w:tcW w:w="4223" w:type="dxa"/>
            <w:vMerge w:val="restart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Cena za zhotovené kopie:</w:t>
            </w:r>
          </w:p>
        </w:tc>
        <w:tc>
          <w:tcPr>
            <w:tcW w:w="561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ČB</w:t>
            </w:r>
          </w:p>
        </w:tc>
        <w:tc>
          <w:tcPr>
            <w:tcW w:w="4344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hint="eastAsia"/>
              </w:rPr>
            </w:pPr>
            <w:r>
              <w:rPr>
                <w:rFonts w:cs="Tahoma"/>
                <w:b/>
                <w:szCs w:val="16"/>
              </w:rPr>
              <w:t xml:space="preserve">                                                        </w:t>
            </w:r>
            <w:r>
              <w:rPr>
                <w:rFonts w:cs="Tahoma"/>
                <w:szCs w:val="16"/>
              </w:rPr>
              <w:t xml:space="preserve">0,18,- </w:t>
            </w:r>
            <w:r>
              <w:rPr>
                <w:rFonts w:cs="Tahoma"/>
                <w:b/>
                <w:szCs w:val="16"/>
              </w:rPr>
              <w:t xml:space="preserve"> </w:t>
            </w:r>
            <w:r>
              <w:rPr>
                <w:rFonts w:cs="Tahoma"/>
                <w:szCs w:val="16"/>
              </w:rPr>
              <w:t>Kč bez DPH</w:t>
            </w:r>
          </w:p>
        </w:tc>
      </w:tr>
      <w:tr w:rsidR="003346DF">
        <w:trPr>
          <w:trHeight w:val="285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1681" w:type="dxa"/>
            <w:gridSpan w:val="3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B</w:t>
            </w:r>
          </w:p>
        </w:tc>
        <w:tc>
          <w:tcPr>
            <w:tcW w:w="3224" w:type="dxa"/>
            <w:gridSpan w:val="4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hint="eastAsia"/>
              </w:rPr>
            </w:pPr>
            <w:r>
              <w:rPr>
                <w:rFonts w:cs="Tahoma"/>
                <w:szCs w:val="16"/>
              </w:rPr>
              <w:t xml:space="preserve">                              </w:t>
            </w:r>
            <w:proofErr w:type="gramStart"/>
            <w:r>
              <w:rPr>
                <w:rFonts w:cs="Tahoma"/>
                <w:szCs w:val="16"/>
              </w:rPr>
              <w:t>0,95</w:t>
            </w:r>
            <w:r>
              <w:rPr>
                <w:rFonts w:cs="Tahoma"/>
                <w:szCs w:val="16"/>
              </w:rPr>
              <w:t xml:space="preserve"> ,- Kč</w:t>
            </w:r>
            <w:proofErr w:type="gramEnd"/>
            <w:r>
              <w:rPr>
                <w:rFonts w:cs="Tahoma"/>
                <w:szCs w:val="16"/>
              </w:rPr>
              <w:t xml:space="preserve"> bez DPH               </w:t>
            </w:r>
          </w:p>
        </w:tc>
      </w:tr>
      <w:tr w:rsidR="003346DF">
        <w:trPr>
          <w:trHeight w:val="285"/>
        </w:trPr>
        <w:tc>
          <w:tcPr>
            <w:tcW w:w="4223" w:type="dxa"/>
            <w:vMerge w:val="restart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Smluvní maximální pokrytí v % </w:t>
            </w:r>
          </w:p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/ Cena za překročení o každé započaté %:</w:t>
            </w:r>
          </w:p>
        </w:tc>
        <w:tc>
          <w:tcPr>
            <w:tcW w:w="2196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ČB zařízení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5% / 0,03 Kč</w:t>
            </w:r>
          </w:p>
        </w:tc>
      </w:tr>
      <w:tr w:rsidR="003346DF">
        <w:trPr>
          <w:trHeight w:val="285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1779" w:type="dxa"/>
            <w:gridSpan w:val="4"/>
            <w:vMerge w:val="restart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B zařízení</w:t>
            </w:r>
          </w:p>
        </w:tc>
        <w:tc>
          <w:tcPr>
            <w:tcW w:w="417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K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5% / 0,03 Kč </w:t>
            </w:r>
          </w:p>
        </w:tc>
      </w:tr>
      <w:tr w:rsidR="003346DF">
        <w:trPr>
          <w:trHeight w:val="285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1779" w:type="dxa"/>
            <w:gridSpan w:val="4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346DF"/>
        </w:tc>
        <w:tc>
          <w:tcPr>
            <w:tcW w:w="417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M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5% / 0,07 Kč </w:t>
            </w:r>
          </w:p>
        </w:tc>
      </w:tr>
      <w:tr w:rsidR="003346DF">
        <w:trPr>
          <w:trHeight w:val="285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1779" w:type="dxa"/>
            <w:gridSpan w:val="4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346DF"/>
        </w:tc>
        <w:tc>
          <w:tcPr>
            <w:tcW w:w="417" w:type="dxa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Y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5% / 0,07 Kč</w:t>
            </w:r>
          </w:p>
        </w:tc>
      </w:tr>
      <w:tr w:rsidR="003346DF">
        <w:trPr>
          <w:trHeight w:val="285"/>
        </w:trPr>
        <w:tc>
          <w:tcPr>
            <w:tcW w:w="4223" w:type="dxa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346DF"/>
        </w:tc>
        <w:tc>
          <w:tcPr>
            <w:tcW w:w="1779" w:type="dxa"/>
            <w:gridSpan w:val="4"/>
            <w:vMerge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346DF"/>
        </w:tc>
        <w:tc>
          <w:tcPr>
            <w:tcW w:w="417" w:type="dxa"/>
            <w:tcBorders>
              <w:top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C</w:t>
            </w:r>
          </w:p>
        </w:tc>
        <w:tc>
          <w:tcPr>
            <w:tcW w:w="2709" w:type="dxa"/>
            <w:gridSpan w:val="2"/>
            <w:tcBorders>
              <w:top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righ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5% / 0,07 Kč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9100" w:type="dxa"/>
            <w:gridSpan w:val="7"/>
            <w:tcBorders>
              <w:bottom w:val="single" w:sz="18" w:space="0" w:color="E10000"/>
            </w:tcBorders>
            <w:shd w:val="clear" w:color="auto" w:fill="FFFFFF"/>
          </w:tcPr>
          <w:p w:rsidR="003346DF" w:rsidRDefault="003346DF">
            <w:pPr>
              <w:pStyle w:val="MyQtextvtabulce"/>
              <w:rPr>
                <w:rFonts w:cs="Tahoma" w:hint="eastAsia"/>
                <w:b/>
                <w:szCs w:val="16"/>
              </w:rPr>
            </w:pPr>
          </w:p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Zvolené služby: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Papír: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Tonerové </w:t>
            </w:r>
            <w:r>
              <w:rPr>
                <w:rFonts w:cs="Tahoma"/>
                <w:b/>
                <w:szCs w:val="16"/>
              </w:rPr>
              <w:t>náplně a spotřební materiál: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ANO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auto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>Sešívací sponky: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jc w:val="left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Běžně opotřebitelné náhradní díly včetně </w:t>
            </w:r>
            <w:proofErr w:type="gramStart"/>
            <w:r>
              <w:rPr>
                <w:rFonts w:cs="Tahoma"/>
                <w:b/>
                <w:szCs w:val="16"/>
              </w:rPr>
              <w:t>práce :</w:t>
            </w:r>
            <w:proofErr w:type="gramEnd"/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ANO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Servisní sady velké údržby (</w:t>
            </w:r>
            <w:proofErr w:type="spellStart"/>
            <w:r>
              <w:rPr>
                <w:rFonts w:cs="Tahoma"/>
                <w:b/>
                <w:szCs w:val="16"/>
              </w:rPr>
              <w:t>Maintanace</w:t>
            </w:r>
            <w:proofErr w:type="spellEnd"/>
            <w:r>
              <w:rPr>
                <w:rFonts w:cs="Tahoma"/>
                <w:b/>
                <w:szCs w:val="16"/>
              </w:rPr>
              <w:t xml:space="preserve"> </w:t>
            </w:r>
            <w:proofErr w:type="spellStart"/>
            <w:r>
              <w:rPr>
                <w:rFonts w:cs="Tahoma"/>
                <w:b/>
                <w:szCs w:val="16"/>
              </w:rPr>
              <w:t>Kits</w:t>
            </w:r>
            <w:proofErr w:type="spellEnd"/>
            <w:r>
              <w:rPr>
                <w:rFonts w:cs="Tahoma"/>
                <w:b/>
                <w:szCs w:val="16"/>
              </w:rPr>
              <w:t>):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Dopravné: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  ANO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Správa SW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Předzásobení spotřebním materiálem: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ANO – </w:t>
            </w:r>
            <w:r>
              <w:rPr>
                <w:rFonts w:cs="Tahoma"/>
                <w:szCs w:val="16"/>
              </w:rPr>
              <w:t>množství určuje Zhotovitel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Perioda zavezení spotřebního materiálu: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Pracovní doba poskytování servisních služeb: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po-pá, 8:00-16:00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Technický zásah technika mimo pracovní dobu</w:t>
            </w:r>
          </w:p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a o víkendu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990,- Kč/hodina</w:t>
            </w:r>
          </w:p>
          <w:p w:rsidR="003346DF" w:rsidRDefault="003346DF">
            <w:pPr>
              <w:pStyle w:val="MyQtextvtabulce"/>
              <w:rPr>
                <w:rFonts w:cs="Tahoma" w:hint="eastAsia"/>
                <w:szCs w:val="16"/>
              </w:rPr>
            </w:pP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Termín zahájení servisního zákroku: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Do 24 hodin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Termín odstranění závady: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Do 48 hodin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Termín poskytnutí náhradního zařízení: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Do 72 hodin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Perioda profylaxe (počet stran A4):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  <w:vAlign w:val="center"/>
          </w:tcPr>
          <w:p w:rsidR="003346DF" w:rsidRDefault="00351B11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dle doporučení výrobce nebo 1 x ročně, co nastane    </w:t>
            </w:r>
          </w:p>
          <w:p w:rsidR="003346DF" w:rsidRDefault="00351B11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dříve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Perioda fakturace: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Měsíční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  <w:bottom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Splatnost</w:t>
            </w:r>
            <w:r>
              <w:rPr>
                <w:rFonts w:cs="Tahoma"/>
                <w:b/>
                <w:szCs w:val="16"/>
              </w:rPr>
              <w:t xml:space="preserve"> faktur: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  <w:bottom w:val="single" w:sz="4" w:space="0" w:color="E10000"/>
            </w:tcBorders>
            <w:shd w:val="clear" w:color="auto" w:fill="F2F2F2"/>
          </w:tcPr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10 dní od data vystavení</w:t>
            </w:r>
          </w:p>
        </w:tc>
      </w:tr>
      <w:tr w:rsidR="003346DF">
        <w:trPr>
          <w:gridAfter w:val="1"/>
          <w:wAfter w:w="28" w:type="dxa"/>
          <w:trHeight w:val="284"/>
        </w:trPr>
        <w:tc>
          <w:tcPr>
            <w:tcW w:w="4280" w:type="dxa"/>
            <w:gridSpan w:val="2"/>
            <w:tcBorders>
              <w:top w:val="single" w:sz="4" w:space="0" w:color="E10000"/>
            </w:tcBorders>
            <w:shd w:val="clear" w:color="auto" w:fill="FFFFFF"/>
          </w:tcPr>
          <w:p w:rsidR="003346DF" w:rsidRDefault="00351B11">
            <w:pPr>
              <w:pStyle w:val="MyQtextvtabulce"/>
              <w:rPr>
                <w:rFonts w:cs="Tahoma" w:hint="eastAsia"/>
                <w:b/>
                <w:szCs w:val="16"/>
              </w:rPr>
            </w:pPr>
            <w:r>
              <w:rPr>
                <w:rFonts w:cs="Tahoma"/>
                <w:b/>
                <w:szCs w:val="16"/>
              </w:rPr>
              <w:t xml:space="preserve"> Hlášení závad a požadavků:</w:t>
            </w:r>
          </w:p>
        </w:tc>
        <w:tc>
          <w:tcPr>
            <w:tcW w:w="4820" w:type="dxa"/>
            <w:gridSpan w:val="5"/>
            <w:tcBorders>
              <w:top w:val="single" w:sz="4" w:space="0" w:color="E10000"/>
            </w:tcBorders>
            <w:shd w:val="clear" w:color="auto" w:fill="F2F2F2"/>
          </w:tcPr>
          <w:p w:rsidR="003346DF" w:rsidRDefault="009D3F20">
            <w:pPr>
              <w:pStyle w:val="MyQtextvtabulce"/>
              <w:rPr>
                <w:rFonts w:hint="eastAsia"/>
              </w:rPr>
            </w:pPr>
            <w:r>
              <w:rPr>
                <w:rFonts w:cs="Tahoma"/>
                <w:szCs w:val="16"/>
              </w:rPr>
              <w:t xml:space="preserve">  Email: </w:t>
            </w:r>
            <w:proofErr w:type="spellStart"/>
            <w:r>
              <w:rPr>
                <w:rFonts w:cs="Tahoma"/>
                <w:szCs w:val="16"/>
              </w:rPr>
              <w:t>xxxxxx</w:t>
            </w:r>
            <w:proofErr w:type="spellEnd"/>
          </w:p>
          <w:p w:rsidR="003346DF" w:rsidRDefault="00351B11">
            <w:pPr>
              <w:pStyle w:val="MyQtextvtabulce"/>
              <w:rPr>
                <w:rFonts w:hint="eastAsia"/>
              </w:rPr>
            </w:pPr>
            <w:r>
              <w:rPr>
                <w:rFonts w:cs="Tahoma"/>
                <w:color w:val="000000"/>
                <w:szCs w:val="16"/>
              </w:rPr>
              <w:t xml:space="preserve">  Telefon:</w:t>
            </w:r>
            <w:r w:rsidR="009D3F20">
              <w:rPr>
                <w:rFonts w:cs="Tahoma"/>
                <w:b/>
                <w:bCs/>
                <w:color w:val="000000"/>
                <w:szCs w:val="16"/>
              </w:rPr>
              <w:t xml:space="preserve"> </w:t>
            </w:r>
            <w:proofErr w:type="spellStart"/>
            <w:r w:rsidR="009D3F20">
              <w:rPr>
                <w:rFonts w:cs="Tahoma"/>
                <w:b/>
                <w:bCs/>
                <w:color w:val="000000"/>
                <w:szCs w:val="16"/>
              </w:rPr>
              <w:t>xxxxx</w:t>
            </w:r>
            <w:proofErr w:type="spellEnd"/>
            <w:r>
              <w:rPr>
                <w:rFonts w:cs="Tahoma"/>
                <w:b/>
                <w:bCs/>
                <w:color w:val="FF0000"/>
                <w:szCs w:val="16"/>
              </w:rPr>
              <w:t xml:space="preserve"> </w:t>
            </w:r>
            <w:r>
              <w:rPr>
                <w:rFonts w:cs="Tahoma"/>
                <w:szCs w:val="16"/>
              </w:rPr>
              <w:t xml:space="preserve">(v případě telefonického nahlášení   </w:t>
            </w:r>
          </w:p>
          <w:p w:rsidR="003346DF" w:rsidRDefault="00351B11">
            <w:pPr>
              <w:pStyle w:val="MyQtextvtabulce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  následně vždy zaslat i na uvedený e-mail)</w:t>
            </w:r>
          </w:p>
          <w:p w:rsidR="003346DF" w:rsidRDefault="00351B11">
            <w:pPr>
              <w:pStyle w:val="MyQtextvtabulce"/>
              <w:rPr>
                <w:rFonts w:hint="eastAsia"/>
              </w:rPr>
            </w:pPr>
            <w:r>
              <w:rPr>
                <w:rFonts w:cs="Tahoma"/>
                <w:szCs w:val="16"/>
              </w:rPr>
              <w:t xml:space="preserve">  Závady mimo pracovní dobu, tel.: </w:t>
            </w:r>
            <w:r w:rsidR="009D3F20">
              <w:rPr>
                <w:rFonts w:cs="Tahoma"/>
                <w:color w:val="000000"/>
                <w:szCs w:val="16"/>
              </w:rPr>
              <w:t>xxxxxx</w:t>
            </w:r>
            <w:bookmarkStart w:id="0" w:name="_GoBack"/>
            <w:bookmarkEnd w:id="0"/>
          </w:p>
        </w:tc>
      </w:tr>
    </w:tbl>
    <w:p w:rsidR="003346DF" w:rsidRDefault="00351B11">
      <w:pPr>
        <w:pStyle w:val="lnek"/>
        <w:numPr>
          <w:ilvl w:val="0"/>
          <w:numId w:val="2"/>
        </w:numPr>
        <w:rPr>
          <w:rFonts w:hint="eastAsia"/>
        </w:rPr>
      </w:pPr>
      <w:r>
        <w:rPr>
          <w:rFonts w:cs="Tahoma"/>
          <w:sz w:val="20"/>
          <w:szCs w:val="20"/>
        </w:rPr>
        <w:t>Předmět plněn</w:t>
      </w:r>
      <w:r>
        <w:rPr>
          <w:rFonts w:cs="Tahoma"/>
          <w:b w:val="0"/>
          <w:sz w:val="20"/>
          <w:szCs w:val="20"/>
        </w:rPr>
        <w:t>í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Zhotovitel se zavazuje po dobu trvání smlouvy: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 xml:space="preserve">Provádět komplexní technickou péči (dále jen „KTP“), a to výhradně u tiskových zařízení uvedených ve specifikaci předmětu smlouvy, v rozsahu předepsaném výrobcem, technickými podmínkami a v souladu s rozvrhem sjednaným s objednatelem. 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  <w:color w:val="000000"/>
          <w:szCs w:val="16"/>
        </w:rPr>
      </w:pPr>
      <w:r>
        <w:rPr>
          <w:rFonts w:cs="Tahoma"/>
          <w:color w:val="000000"/>
          <w:szCs w:val="16"/>
        </w:rPr>
        <w:t xml:space="preserve">Odstraňovat poruchy </w:t>
      </w:r>
      <w:r>
        <w:rPr>
          <w:rFonts w:cs="Tahoma"/>
          <w:color w:val="000000"/>
          <w:szCs w:val="16"/>
        </w:rPr>
        <w:t>a závady vzniklé při provozu na základě jejich nahlášení objednatelem dle určených pravidel a provádět opravy celých strojů nebo jejich částí.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Dodávat spotřební materiál pro provoz kopírovacích strojů/tiskáren autorizovaný zhotovitelem, popř. jiné materiál</w:t>
      </w:r>
      <w:r>
        <w:rPr>
          <w:rFonts w:cs="Tahoma"/>
        </w:rPr>
        <w:t>y k podpoře bezporuchového chodu a ke snížení opotřebení dílů. Poskytování spotřebního materiálu kromě papíru je součástí poskytování servisních služeb (pokud není dohodnuto jinak).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Tato smlouva se nevztahuje na systémové a softwarové modifikace a systémov</w:t>
      </w:r>
      <w:r>
        <w:rPr>
          <w:rFonts w:cs="Tahoma"/>
        </w:rPr>
        <w:t>á rozšíření, jako např. instalaci přídavných zařízení podle přání objednatele (není-li stanoveno jinak).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>Práva a povinnosti smluvních stran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Zhotovitel je povinen: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 xml:space="preserve">Dodávat tonerové náplně, spotřební materiál, náhradní díly, servisní sady a provádět KTP dle </w:t>
      </w:r>
      <w:r>
        <w:rPr>
          <w:rFonts w:cs="Tahoma"/>
        </w:rPr>
        <w:t>sjednaného rozsahu a intervalu služeb stanoveném v článku 2. této SMLOUVY.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Zahájit odstranění nahlášené technické závady v co nejkratší době, avšak maximálně do sjednaného termínu zahájení servisního zákroku v rámci sjednané pracovní doby poskytování servi</w:t>
      </w:r>
      <w:r>
        <w:rPr>
          <w:rFonts w:cs="Tahoma"/>
        </w:rPr>
        <w:t>sních služeb.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lastRenderedPageBreak/>
        <w:t>Zprovoznit zařízení do sjednaného termínu odstranění závady.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Objednatel je povinen: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Zařídit před instalací přístroje a na svůj náklad úpravy nutné pro správné zapojení a provoz přístroje (např. elektrické, síťové a telefonní zásuvky) v soulad</w:t>
      </w:r>
      <w:r>
        <w:rPr>
          <w:rFonts w:cs="Tahoma"/>
        </w:rPr>
        <w:t>u s platnými ČSN. Vícepráce vzniklé nesplněním této povinnosti mohou být zhotovitelem vyúčtovány.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  <w:color w:val="000000"/>
          <w:szCs w:val="16"/>
        </w:rPr>
      </w:pPr>
      <w:r>
        <w:rPr>
          <w:rFonts w:cs="Tahoma"/>
          <w:color w:val="000000"/>
          <w:szCs w:val="16"/>
        </w:rPr>
        <w:t>Zajistit obsluhu předmětu smlouvy pouze vyškolenými pracovníky a neprovádět bez vědomí zhotovitele na stroji žádné zásahy, dodržovat povinnosti obsluhy stroje</w:t>
      </w:r>
      <w:r>
        <w:rPr>
          <w:rFonts w:cs="Tahoma"/>
          <w:color w:val="000000"/>
          <w:szCs w:val="16"/>
        </w:rPr>
        <w:t xml:space="preserve"> dle návodu a zajistit úkony, které zamezí vzniku závad.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Umožnit pracovníkům zhotovitele přistup k přístroji v rámci sjednané pracovní doby poskytování servisních služeb. Provedení servisního výkonu v mimopracovní době je třeba dohodnout předem.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Používat p</w:t>
      </w:r>
      <w:r>
        <w:rPr>
          <w:rFonts w:cs="Tahoma"/>
        </w:rPr>
        <w:t>ři provozu přístroje výhradně zhotovitelem dodané spotřební materiály. Zhotovitelem poskytnutý spotřební materiál je objednatel oprávněn používat pouze v přístrojích, na které se vztahuje tato smlouva (pokud není stanoveno jinak).</w:t>
      </w:r>
    </w:p>
    <w:p w:rsidR="003346DF" w:rsidRDefault="00351B11">
      <w:pPr>
        <w:pStyle w:val="Odstavec2"/>
        <w:numPr>
          <w:ilvl w:val="2"/>
          <w:numId w:val="2"/>
        </w:numPr>
        <w:tabs>
          <w:tab w:val="left" w:pos="1418"/>
        </w:tabs>
        <w:ind w:left="1418" w:firstLine="0"/>
        <w:rPr>
          <w:rFonts w:cs="Tahoma" w:hint="eastAsia"/>
        </w:rPr>
      </w:pPr>
      <w:r>
        <w:rPr>
          <w:rFonts w:cs="Tahoma"/>
        </w:rPr>
        <w:t>Nahlásit na dispečink zho</w:t>
      </w:r>
      <w:r>
        <w:rPr>
          <w:rFonts w:cs="Tahoma"/>
        </w:rPr>
        <w:t>tovitele (e-mailem nebo telefonem) případně zjištěnou závadu včetně uvedení místa dislokace stroje, odpovědného pracovníka a laického popisu závady, chybového hlášení, počtu natištěných stran, typu a výrobního čísla zařízení.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Zhotovitel má právo odmítnout </w:t>
      </w:r>
      <w:r>
        <w:rPr>
          <w:rFonts w:cs="Tahoma"/>
        </w:rPr>
        <w:t>provedení servisních výkonů, jestliže umístění přístroje provedení těchto výkonů znemožňuje.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Zhotovitel má právo odmítnout provedení servisních výkonů, jestliže byla závada způsobena používáním neoriginálního spotřebního materiálu (toneru), </w:t>
      </w:r>
      <w:r>
        <w:rPr>
          <w:rFonts w:cs="Tahoma"/>
        </w:rPr>
        <w:t>nedoporučovaného výrobcem tiskového zařízení. Pokud zhotovitel servisní výkon provede, objednatel uhradí veškeré náklady na tento servisní výkon, včetně dopravného.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 xml:space="preserve">Ceny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Ceny za práce jsou stanoveny dohodou, a to cenou za skutečně vytištěné strany.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  <w:szCs w:val="16"/>
        </w:rPr>
      </w:pPr>
      <w:r>
        <w:rPr>
          <w:rFonts w:cs="Tahoma"/>
          <w:szCs w:val="16"/>
        </w:rPr>
        <w:t>V pauš</w:t>
      </w:r>
      <w:r>
        <w:rPr>
          <w:rFonts w:cs="Tahoma"/>
          <w:szCs w:val="16"/>
        </w:rPr>
        <w:t>álním poplatku nejsou zahrnuty náklady na opravu závad vzniklých nesprávnou obsluhou stroje, kolísáním napětí u objednatele, připojením ke zdroji elektrické energie neodpovídajícího závazným předpisům, svévolným zásahem do stroje jinou osobou než servisním</w:t>
      </w:r>
      <w:r>
        <w:rPr>
          <w:rFonts w:cs="Tahoma"/>
          <w:szCs w:val="16"/>
        </w:rPr>
        <w:t xml:space="preserve"> pracovníkem zhotovitele, přetěžováním stroje nad doporučený měsíční objem tisku nebo provozem, který je v rozporu s dokumentací a obecnými zásadami, nekorektní funkcí programového vybavení připojených zařízení nebo vlivem virů, neodborným přemísťováním a </w:t>
      </w:r>
      <w:r>
        <w:rPr>
          <w:rFonts w:cs="Tahoma"/>
          <w:szCs w:val="16"/>
        </w:rPr>
        <w:t>přepravou zařízení, použitím spotřebního materiálu – tonerů, které byly skladovány a přepravovány v rozporu s technickými podmínkami, použitím jiného spotřebního materiálu než dodaného zhotovitelem.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Ceny za vytištěné kopie jsou kalkulovány pro sjednané max</w:t>
      </w:r>
      <w:r>
        <w:rPr>
          <w:rFonts w:cs="Tahoma"/>
        </w:rPr>
        <w:t xml:space="preserve">imální procentní pokrytí tonerem. Zhotovitel provede minimálně jednou ročně analýzu skutečného pokrytí a v případě překročení sjednané výše černobílého </w:t>
      </w:r>
      <w:proofErr w:type="gramStart"/>
      <w:r>
        <w:rPr>
          <w:rFonts w:cs="Tahoma"/>
        </w:rPr>
        <w:t>pokrytí a nebo jakéhokoliv</w:t>
      </w:r>
      <w:proofErr w:type="gramEnd"/>
      <w:r>
        <w:rPr>
          <w:rFonts w:cs="Tahoma"/>
        </w:rPr>
        <w:t xml:space="preserve"> barevného toneru (C,M,Y,K) u barevných zařízení, doúčtuje zhotovitel objednat</w:t>
      </w:r>
      <w:r>
        <w:rPr>
          <w:rFonts w:cs="Tahoma"/>
        </w:rPr>
        <w:t>eli každé % nadspotřeby dle sjednané ceny za překročení.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  <w:color w:val="000000"/>
        </w:rPr>
      </w:pPr>
      <w:r>
        <w:rPr>
          <w:rFonts w:cs="Tahoma"/>
          <w:color w:val="000000"/>
        </w:rPr>
        <w:t>Všechny ve smlouvě uvedené ceny jsou smluvními netto cenami, ke kterým se při fakturaci přičítá příslušná DPH. Objednatel prohlašuje, že byl seznámen s ceníkem servisních prací.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 xml:space="preserve">Platební podmínky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Zhotovitel je povinen po provedení KTP vyhotovit záznam, ve kterém objednatel potvrdí svým podpisem provedení zásahu a odzkoušení funkčnosti stroje. Zhotovitel je povinen tyto záznamy, eventuálně jejich kopii dát k dispozici objednateli. Záznam bude obsaho</w:t>
      </w:r>
      <w:r>
        <w:rPr>
          <w:rFonts w:cs="Tahoma"/>
        </w:rPr>
        <w:t xml:space="preserve">vat výr. </w:t>
      </w:r>
      <w:proofErr w:type="gramStart"/>
      <w:r>
        <w:rPr>
          <w:rFonts w:cs="Tahoma"/>
        </w:rPr>
        <w:t>číslo</w:t>
      </w:r>
      <w:proofErr w:type="gramEnd"/>
      <w:r>
        <w:rPr>
          <w:rFonts w:cs="Tahoma"/>
        </w:rPr>
        <w:t xml:space="preserve"> zařízení, stav vytištěných stran, seznam (popis) provedených prací, seznam vyměněných komponentů s uvedením délky záruky, předpokládané komponenty pro případnou výměnu.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  <w:color w:val="000000"/>
        </w:rPr>
      </w:pPr>
      <w:r>
        <w:rPr>
          <w:rFonts w:cs="Tahoma"/>
          <w:color w:val="000000"/>
        </w:rPr>
        <w:t>Cenu za poskytované servisní výkony a služby se objednatel zavazuje plat</w:t>
      </w:r>
      <w:r>
        <w:rPr>
          <w:rFonts w:cs="Tahoma"/>
          <w:color w:val="000000"/>
        </w:rPr>
        <w:t>it ujednanými poplatky podle vystavených faktur/daňových dokladů, vystavovaných zhotovitelem ve výši uvedené ve smlouvě a splatností stanovenou článkem 2. Výše poplatků je stanovena dohodou vzhledem k typu přístroje, předpokládanému rozsahu využití a další</w:t>
      </w:r>
      <w:r>
        <w:rPr>
          <w:rFonts w:cs="Tahoma"/>
          <w:color w:val="000000"/>
        </w:rPr>
        <w:t>m faktorům.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V případě prodlení s placením faktur a poplatků za pronájem bude zhotovitelem účtována objednateli smluvní pokuta ve výši 0,05 % z dlužné částky za každý den prodlení.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 xml:space="preserve">Odpovědnost za škodu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Zhotovitel neodpovídá za žádnou škodu vzniklou tím, že</w:t>
      </w:r>
      <w:r>
        <w:rPr>
          <w:rFonts w:cs="Tahoma"/>
        </w:rPr>
        <w:t xml:space="preserve"> se s přístrojem nakládalo v rozporu s návodem k použití nebo všeobecnými obchodními podmínkami. Taková škoda jde k tíži objednatele.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lastRenderedPageBreak/>
        <w:t>Zhotovitel neodpovídá za žádnou škodu ani ušlý zisk, které by objednateli nebo jeho právnímu nástupci vznikly zejména půso</w:t>
      </w:r>
      <w:r>
        <w:rPr>
          <w:rFonts w:cs="Tahoma"/>
        </w:rPr>
        <w:t>bením vyšší moci, zvýšením provozních nákladů, přerušením provozu, ztrátou výkonu přístroje a dalších podobných příčin, které zhotovitel nezavinil. Objednatel není oprávněn požadovat od zhotovitele ani náhradu spotřebního materiálu včetně papíru.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>Další uje</w:t>
      </w:r>
      <w:r>
        <w:rPr>
          <w:rFonts w:cs="Tahoma"/>
          <w:sz w:val="20"/>
          <w:szCs w:val="20"/>
        </w:rPr>
        <w:t xml:space="preserve">dnání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Zhotovitel poskytuje objednateli servisní služby ode dne uzavření této smlouvy, uvedeného ve smlouvě.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Tato smlouva není převoditelná spolu s přístrojem na třetí osoby.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Servisní výkony a služby poskytnuté mimo sjednanou pracovní dobu se účtují samo</w:t>
      </w:r>
      <w:r>
        <w:rPr>
          <w:rFonts w:cs="Tahoma"/>
        </w:rPr>
        <w:t xml:space="preserve">statně a je k nim přičítán smluvní příplatek dle zvláštních ujednání. 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V případě, že zhotovitel v rámci plnění této smlouvy předá objednateli větší množství spotřebního materiálu, než které objednatel spotřebuje k provozu zboží / přístroje v předmětném obd</w:t>
      </w:r>
      <w:r>
        <w:rPr>
          <w:rFonts w:cs="Tahoma"/>
        </w:rPr>
        <w:t>obí a objednatel spotřebuje takto dodaný spotřební materiál jinak než v rámci servisních služeb dle této smlouvy, vzniká zhotoviteli právo vyúčtovat objednateli takto spotřebovaný materiál zvláštní fakturou / daňovým dokladem v cenách dle platného ceníku z</w:t>
      </w:r>
      <w:r>
        <w:rPr>
          <w:rFonts w:cs="Tahoma"/>
        </w:rPr>
        <w:t>hotovitele, ujednání o splatnosti faktur a sankcích v případě prodlení.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>Doba trvání a skončení smlouvy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  <w:szCs w:val="16"/>
        </w:rPr>
      </w:pPr>
      <w:r>
        <w:rPr>
          <w:rFonts w:cs="Tahoma"/>
          <w:szCs w:val="16"/>
        </w:rPr>
        <w:t>Smlouva se uzavírá na dobu vymezenou článkem 2.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Objednatel může předčasně odstoupit od smlouvy v případě, že zhotovitel neplní v průběhu 3 kalendářních m</w:t>
      </w:r>
      <w:r>
        <w:rPr>
          <w:rFonts w:cs="Tahoma"/>
        </w:rPr>
        <w:t>ěsíců své závazky uvedené ve smlouvě.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Objednatel může předčasně odstoupit od smlouvy bez udání důvodu s výpovědní lhůtou čtvrt roku (3 měsíce). Výpovědní lhůta se začíná počítat od prvního dne následujícího měsíce, kdy byla výpověď doručena zhotoviteli.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</w:t>
      </w:r>
      <w:r>
        <w:rPr>
          <w:rFonts w:cs="Tahoma"/>
        </w:rPr>
        <w:t>otovitel může předčasně odstoupit od smlouvy v případě, že objednatel používá při provozu přístroje nedoporučený spotřební materiál, objednatel přes písemné upozornění nadále porušuje ustanovení této smlouvy, objednatel je v prodlení s úhradou poplatku.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Zh</w:t>
      </w:r>
      <w:r>
        <w:rPr>
          <w:rFonts w:cs="Tahoma"/>
        </w:rPr>
        <w:t>otovitel může předčasně odstoupit od smlouvy v případě, že zařízení nebo příslušenství dosáhne hranice životnosti stanovené výrobcem.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Smluvní strany se zavazují po skončení smluvního vztahu bez zbytečného odkladu provést konečné vyúčtování.</w:t>
      </w:r>
    </w:p>
    <w:p w:rsidR="003346DF" w:rsidRDefault="00351B11">
      <w:pPr>
        <w:pStyle w:val="lnek"/>
        <w:numPr>
          <w:ilvl w:val="0"/>
          <w:numId w:val="2"/>
        </w:numPr>
        <w:rPr>
          <w:rFonts w:cs="Tahoma" w:hint="eastAsia"/>
          <w:sz w:val="20"/>
          <w:szCs w:val="20"/>
        </w:rPr>
      </w:pPr>
      <w:r>
        <w:rPr>
          <w:rFonts w:cs="Tahoma"/>
          <w:sz w:val="20"/>
          <w:szCs w:val="20"/>
        </w:rPr>
        <w:t>Závěrečná ustan</w:t>
      </w:r>
      <w:r>
        <w:rPr>
          <w:rFonts w:cs="Tahoma"/>
          <w:sz w:val="20"/>
          <w:szCs w:val="20"/>
        </w:rPr>
        <w:t>ovení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Objednatel prohlašuje, že byl poučen o normách, které se týkají provozu přístroje.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El. </w:t>
      </w:r>
      <w:proofErr w:type="gramStart"/>
      <w:r>
        <w:rPr>
          <w:rFonts w:cs="Tahoma"/>
        </w:rPr>
        <w:t>revize</w:t>
      </w:r>
      <w:proofErr w:type="gramEnd"/>
      <w:r>
        <w:rPr>
          <w:rFonts w:cs="Tahoma"/>
        </w:rPr>
        <w:t xml:space="preserve"> zařízení dle ČSN 33 16000 na všechna tisková zařízení uvedená ve specifikaci předmětu smlouvy si zajišťuje objednatel na vlastní náklady.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 xml:space="preserve">Případné změny či </w:t>
      </w:r>
      <w:r>
        <w:rPr>
          <w:rFonts w:cs="Tahoma"/>
        </w:rPr>
        <w:t>doplňky této smlouvy a Všeobecných podmínek musí mít písemnou formu a musí být podepsány oběma smluvními stranami.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Případná neplatnost některého ujednání této smlouvy nemá za následek neplatnost celé smlouvy.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Práva a povinnosti smluvních stran výslovně neu</w:t>
      </w:r>
      <w:r>
        <w:rPr>
          <w:rFonts w:cs="Tahoma"/>
        </w:rPr>
        <w:t>pravená touto smlouvou se řídí příslušnými právními předpisy.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Smlouva se vyhotovuje ve 2 originálech, z nichž každá strana obdrží jeden.</w:t>
      </w:r>
    </w:p>
    <w:p w:rsidR="003346DF" w:rsidRDefault="00351B11">
      <w:pPr>
        <w:pStyle w:val="Odstavec"/>
        <w:numPr>
          <w:ilvl w:val="1"/>
          <w:numId w:val="2"/>
        </w:numPr>
        <w:rPr>
          <w:rFonts w:cs="Tahoma" w:hint="eastAsia"/>
        </w:rPr>
      </w:pPr>
      <w:r>
        <w:rPr>
          <w:rFonts w:cs="Tahoma"/>
        </w:rPr>
        <w:t>Smlouva nabývá platnosti dnem jejího podepsání oběma smluvními stranami.</w:t>
      </w:r>
    </w:p>
    <w:p w:rsidR="003346DF" w:rsidRDefault="003346DF">
      <w:pPr>
        <w:pStyle w:val="Odstavec"/>
        <w:ind w:left="889"/>
        <w:rPr>
          <w:rFonts w:cs="Tahoma" w:hint="eastAsia"/>
        </w:rPr>
      </w:pPr>
    </w:p>
    <w:p w:rsidR="003346DF" w:rsidRDefault="003346DF">
      <w:pPr>
        <w:pStyle w:val="Odstavec"/>
        <w:ind w:left="889"/>
        <w:rPr>
          <w:rFonts w:cs="Tahoma" w:hint="eastAsia"/>
        </w:rPr>
      </w:pPr>
    </w:p>
    <w:p w:rsidR="003346DF" w:rsidRDefault="00351B11">
      <w:pPr>
        <w:pStyle w:val="Odstavec"/>
        <w:jc w:val="left"/>
        <w:rPr>
          <w:rFonts w:hint="eastAsia"/>
        </w:rPr>
      </w:pPr>
      <w:r>
        <w:rPr>
          <w:rFonts w:cs="Tahoma"/>
        </w:rPr>
        <w:t xml:space="preserve">    V  Chrudimi  dne </w:t>
      </w:r>
      <w:proofErr w:type="gramStart"/>
      <w:r>
        <w:rPr>
          <w:rFonts w:cs="Tahoma"/>
        </w:rPr>
        <w:t>7.2.2024</w:t>
      </w:r>
      <w:proofErr w:type="gramEnd"/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p w:rsidR="003346DF" w:rsidRDefault="003346DF">
      <w:pPr>
        <w:pStyle w:val="Odstavec"/>
        <w:jc w:val="left"/>
        <w:rPr>
          <w:rFonts w:cs="Tahoma" w:hint="eastAsia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171"/>
        <w:gridCol w:w="3905"/>
      </w:tblGrid>
      <w:tr w:rsidR="003346DF">
        <w:trPr>
          <w:trHeight w:val="323"/>
          <w:jc w:val="center"/>
        </w:trPr>
        <w:tc>
          <w:tcPr>
            <w:tcW w:w="3903" w:type="dxa"/>
            <w:tcBorders>
              <w:bottom w:val="single" w:sz="4" w:space="0" w:color="000000"/>
            </w:tcBorders>
            <w:shd w:val="clear" w:color="auto" w:fill="auto"/>
          </w:tcPr>
          <w:p w:rsidR="003346DF" w:rsidRDefault="003346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71" w:type="dxa"/>
            <w:shd w:val="clear" w:color="auto" w:fill="auto"/>
          </w:tcPr>
          <w:p w:rsidR="003346DF" w:rsidRDefault="003346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05" w:type="dxa"/>
            <w:tcBorders>
              <w:bottom w:val="single" w:sz="4" w:space="0" w:color="000000"/>
            </w:tcBorders>
            <w:shd w:val="clear" w:color="auto" w:fill="auto"/>
          </w:tcPr>
          <w:p w:rsidR="003346DF" w:rsidRDefault="003346D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346DF">
        <w:trPr>
          <w:trHeight w:val="316"/>
          <w:jc w:val="center"/>
        </w:trPr>
        <w:tc>
          <w:tcPr>
            <w:tcW w:w="3903" w:type="dxa"/>
            <w:tcBorders>
              <w:top w:val="single" w:sz="4" w:space="0" w:color="000000"/>
            </w:tcBorders>
            <w:shd w:val="clear" w:color="auto" w:fill="auto"/>
          </w:tcPr>
          <w:p w:rsidR="003346DF" w:rsidRDefault="00351B11">
            <w:pPr>
              <w:pStyle w:val="MyQtextvtabulce"/>
              <w:jc w:val="center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 xml:space="preserve">za stranu OBJEDNATELE </w:t>
            </w:r>
          </w:p>
        </w:tc>
        <w:tc>
          <w:tcPr>
            <w:tcW w:w="1171" w:type="dxa"/>
            <w:shd w:val="clear" w:color="auto" w:fill="auto"/>
          </w:tcPr>
          <w:p w:rsidR="003346DF" w:rsidRDefault="003346DF">
            <w:pPr>
              <w:pStyle w:val="MyQtextvtabulce"/>
              <w:rPr>
                <w:rFonts w:cs="Tahoma" w:hint="eastAsia"/>
                <w:szCs w:val="16"/>
              </w:rPr>
            </w:pPr>
          </w:p>
        </w:tc>
        <w:tc>
          <w:tcPr>
            <w:tcW w:w="3905" w:type="dxa"/>
            <w:tcBorders>
              <w:top w:val="single" w:sz="4" w:space="0" w:color="000000"/>
            </w:tcBorders>
            <w:shd w:val="clear" w:color="auto" w:fill="auto"/>
          </w:tcPr>
          <w:p w:rsidR="003346DF" w:rsidRDefault="00351B11">
            <w:pPr>
              <w:pStyle w:val="MyQtextvtabulce"/>
              <w:jc w:val="center"/>
              <w:rPr>
                <w:rFonts w:cs="Tahoma" w:hint="eastAsia"/>
                <w:szCs w:val="16"/>
              </w:rPr>
            </w:pPr>
            <w:r>
              <w:rPr>
                <w:rFonts w:cs="Tahoma"/>
                <w:szCs w:val="16"/>
              </w:rPr>
              <w:t>za stranu ZHOTOVITELE</w:t>
            </w:r>
          </w:p>
        </w:tc>
      </w:tr>
    </w:tbl>
    <w:p w:rsidR="003346DF" w:rsidRDefault="003346DF"/>
    <w:sectPr w:rsidR="003346DF">
      <w:headerReference w:type="default" r:id="rId7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11" w:rsidRDefault="00351B11">
      <w:r>
        <w:separator/>
      </w:r>
    </w:p>
  </w:endnote>
  <w:endnote w:type="continuationSeparator" w:id="0">
    <w:p w:rsidR="00351B11" w:rsidRDefault="003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11" w:rsidRDefault="00351B11">
      <w:r>
        <w:separator/>
      </w:r>
    </w:p>
  </w:footnote>
  <w:footnote w:type="continuationSeparator" w:id="0">
    <w:p w:rsidR="00351B11" w:rsidRDefault="0035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DF" w:rsidRDefault="00351B11">
    <w:pPr>
      <w:pStyle w:val="Zhlav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230"/>
    <w:multiLevelType w:val="multilevel"/>
    <w:tmpl w:val="42702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E65DF4"/>
    <w:multiLevelType w:val="multilevel"/>
    <w:tmpl w:val="2688B9A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09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DF"/>
    <w:rsid w:val="003346DF"/>
    <w:rsid w:val="00351B11"/>
    <w:rsid w:val="005C2FF7"/>
    <w:rsid w:val="009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C980"/>
  <w15:docId w15:val="{4438E330-228A-4863-B604-1909BC8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qFormat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cs="Times New Roman"/>
      <w:sz w:val="24"/>
      <w:szCs w:val="24"/>
    </w:rPr>
  </w:style>
  <w:style w:type="character" w:styleId="slostrnky">
    <w:name w:val="page number"/>
    <w:basedOn w:val="Standardnpsmoodstavce"/>
    <w:qFormat/>
    <w:rPr>
      <w:rFonts w:cs="Times New Roman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bCs/>
      <w:i w:val="0"/>
      <w:iCs w:val="0"/>
    </w:rPr>
  </w:style>
  <w:style w:type="character" w:customStyle="1" w:styleId="ListLabel29">
    <w:name w:val="ListLabel 29"/>
    <w:qFormat/>
    <w:rPr>
      <w:rFonts w:cs="Times New Roman"/>
      <w:b w:val="0"/>
      <w:bCs w:val="0"/>
      <w:sz w:val="22"/>
      <w:szCs w:val="22"/>
      <w:u w:val="none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bCs/>
      <w:i w:val="0"/>
      <w:i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  <w:i w:val="0"/>
      <w:iCs w:val="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  <w:b/>
      <w:bCs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  <w:b w:val="0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  <w:strike w:val="0"/>
      <w:dstrike w:val="0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  <w:strike w:val="0"/>
      <w:dstrike w:val="0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eastAsia="MS Mincho" w:cs="Tahoma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Tahoma"/>
      <w:b/>
      <w:bCs/>
      <w:color w:val="000000"/>
      <w:szCs w:val="16"/>
    </w:rPr>
  </w:style>
  <w:style w:type="character" w:customStyle="1" w:styleId="ListLabel377">
    <w:name w:val="ListLabel 377"/>
    <w:qFormat/>
    <w:rPr>
      <w:b/>
      <w:bCs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MyQtextvtabulce">
    <w:name w:val="MyQ text v tabulce"/>
    <w:basedOn w:val="Normln"/>
    <w:qFormat/>
    <w:pPr>
      <w:spacing w:before="60" w:after="60"/>
      <w:jc w:val="both"/>
    </w:pPr>
    <w:rPr>
      <w:rFonts w:ascii="Tahoma" w:eastAsia="MS Mincho" w:hAnsi="Tahoma"/>
      <w:sz w:val="16"/>
      <w:lang w:eastAsia="ja-JP"/>
    </w:rPr>
  </w:style>
  <w:style w:type="paragraph" w:customStyle="1" w:styleId="lnek">
    <w:name w:val="Článek"/>
    <w:basedOn w:val="Nadpis1"/>
    <w:next w:val="Odstavec"/>
    <w:qFormat/>
    <w:pPr>
      <w:shd w:val="clear" w:color="auto" w:fill="000000"/>
      <w:spacing w:before="480" w:after="240"/>
      <w:jc w:val="both"/>
    </w:pPr>
    <w:rPr>
      <w:rFonts w:ascii="Tahoma" w:eastAsia="MS Mincho" w:hAnsi="Tahoma" w:cs="Arial"/>
      <w:sz w:val="36"/>
      <w:szCs w:val="36"/>
      <w:lang w:eastAsia="ja-JP"/>
    </w:rPr>
  </w:style>
  <w:style w:type="paragraph" w:customStyle="1" w:styleId="Odstavec">
    <w:name w:val="Odstavec"/>
    <w:basedOn w:val="Normln"/>
    <w:qFormat/>
    <w:pPr>
      <w:spacing w:before="120" w:after="120"/>
      <w:jc w:val="both"/>
    </w:pPr>
    <w:rPr>
      <w:rFonts w:ascii="Tahoma" w:eastAsia="MS Mincho" w:hAnsi="Tahoma"/>
      <w:sz w:val="16"/>
      <w:lang w:eastAsia="ja-JP"/>
    </w:rPr>
  </w:style>
  <w:style w:type="paragraph" w:customStyle="1" w:styleId="Odstavec2">
    <w:name w:val="Odstavec2"/>
    <w:basedOn w:val="Odstavec"/>
    <w:qFormat/>
  </w:style>
  <w:style w:type="paragraph" w:styleId="Normlnweb">
    <w:name w:val="Normal (Web)"/>
    <w:basedOn w:val="Normln"/>
    <w:qFormat/>
    <w:pPr>
      <w:spacing w:before="280" w:after="280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numbering" w:styleId="1ai">
    <w:name w:val="Outline List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KENAST s.r.o.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kulichova</dc:creator>
  <dc:description/>
  <cp:lastModifiedBy>uzivatel</cp:lastModifiedBy>
  <cp:revision>3</cp:revision>
  <cp:lastPrinted>2024-02-07T12:35:00Z</cp:lastPrinted>
  <dcterms:created xsi:type="dcterms:W3CDTF">2024-02-07T13:06:00Z</dcterms:created>
  <dcterms:modified xsi:type="dcterms:W3CDTF">2024-02-07T13:07:00Z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KENAST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