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5AEDD" w14:textId="03ED0A9F" w:rsidR="003866ED" w:rsidRPr="00113B94" w:rsidRDefault="003866ED" w:rsidP="007C4DAF">
      <w:pPr>
        <w:spacing w:after="480" w:line="276" w:lineRule="auto"/>
        <w:ind w:right="-142"/>
        <w:jc w:val="center"/>
        <w:rPr>
          <w:rFonts w:eastAsiaTheme="minorEastAsia"/>
          <w:b/>
          <w:bCs/>
          <w:lang w:val="cs-CZ"/>
        </w:rPr>
      </w:pPr>
      <w:r w:rsidRPr="00113B94">
        <w:rPr>
          <w:rFonts w:eastAsiaTheme="minorEastAsia"/>
          <w:b/>
          <w:bCs/>
          <w:lang w:val="cs-CZ"/>
        </w:rPr>
        <w:t>DODATEK Č. 1</w:t>
      </w:r>
      <w:r w:rsidR="00D24760" w:rsidRPr="00113B94">
        <w:rPr>
          <w:rFonts w:eastAsiaTheme="minorEastAsia"/>
          <w:b/>
          <w:bCs/>
          <w:lang w:val="cs-CZ"/>
        </w:rPr>
        <w:t xml:space="preserve"> KE SMLOUVĚ O POSKYTOVÁNÍ SLUŽBY BROADDY</w:t>
      </w:r>
    </w:p>
    <w:p w14:paraId="1DB20A03" w14:textId="2C50196E" w:rsidR="003866ED" w:rsidRPr="00113B94" w:rsidRDefault="006A19E3" w:rsidP="007C4DAF">
      <w:pPr>
        <w:pBdr>
          <w:top w:val="nil"/>
          <w:left w:val="nil"/>
          <w:bottom w:val="nil"/>
          <w:right w:val="nil"/>
          <w:between w:val="nil"/>
        </w:pBdr>
        <w:spacing w:after="0"/>
        <w:jc w:val="center"/>
        <w:rPr>
          <w:b/>
          <w:lang w:val="cs-CZ"/>
        </w:rPr>
      </w:pPr>
      <w:r w:rsidRPr="00113B94">
        <w:rPr>
          <w:b/>
          <w:lang w:val="cs-CZ"/>
        </w:rPr>
        <w:t>Broaddy</w:t>
      </w:r>
      <w:r w:rsidR="003866ED" w:rsidRPr="00113B94">
        <w:rPr>
          <w:b/>
          <w:lang w:val="cs-CZ"/>
        </w:rPr>
        <w:t xml:space="preserve"> s.r.o.</w:t>
      </w:r>
    </w:p>
    <w:p w14:paraId="5236D1A2" w14:textId="034B8CEF" w:rsidR="003866ED" w:rsidRPr="00113B94" w:rsidRDefault="003866ED" w:rsidP="007C4DAF">
      <w:pPr>
        <w:spacing w:after="0"/>
        <w:jc w:val="center"/>
        <w:rPr>
          <w:lang w:val="cs-CZ"/>
        </w:rPr>
      </w:pPr>
      <w:r w:rsidRPr="00113B94">
        <w:rPr>
          <w:lang w:val="cs-CZ"/>
        </w:rPr>
        <w:t>IČO: 0</w:t>
      </w:r>
      <w:r w:rsidR="006A19E3" w:rsidRPr="00113B94">
        <w:rPr>
          <w:lang w:val="cs-CZ"/>
        </w:rPr>
        <w:t>55</w:t>
      </w:r>
      <w:r w:rsidRPr="00113B94">
        <w:rPr>
          <w:lang w:val="cs-CZ"/>
        </w:rPr>
        <w:t> </w:t>
      </w:r>
      <w:r w:rsidR="006A19E3" w:rsidRPr="00113B94">
        <w:rPr>
          <w:lang w:val="cs-CZ"/>
        </w:rPr>
        <w:t>09</w:t>
      </w:r>
      <w:r w:rsidRPr="00113B94">
        <w:rPr>
          <w:lang w:val="cs-CZ"/>
        </w:rPr>
        <w:t> </w:t>
      </w:r>
      <w:r w:rsidR="006A19E3" w:rsidRPr="00113B94">
        <w:rPr>
          <w:lang w:val="cs-CZ"/>
        </w:rPr>
        <w:t>858</w:t>
      </w:r>
    </w:p>
    <w:p w14:paraId="1C151034" w14:textId="61B2F9FB" w:rsidR="003866ED" w:rsidRPr="00113B94" w:rsidRDefault="003866ED" w:rsidP="007C4DAF">
      <w:pPr>
        <w:spacing w:after="0"/>
        <w:jc w:val="center"/>
        <w:rPr>
          <w:lang w:val="cs-CZ"/>
        </w:rPr>
      </w:pPr>
      <w:r w:rsidRPr="00113B94">
        <w:rPr>
          <w:lang w:val="cs-CZ"/>
        </w:rPr>
        <w:t xml:space="preserve">se sídlem </w:t>
      </w:r>
      <w:r w:rsidR="006A19E3" w:rsidRPr="00113B94">
        <w:rPr>
          <w:lang w:val="cs-CZ"/>
        </w:rPr>
        <w:t>Pod bání 2003/21</w:t>
      </w:r>
      <w:r w:rsidRPr="00113B94">
        <w:rPr>
          <w:lang w:val="cs-CZ"/>
        </w:rPr>
        <w:t xml:space="preserve">, </w:t>
      </w:r>
      <w:r w:rsidR="006A19E3" w:rsidRPr="00113B94">
        <w:rPr>
          <w:lang w:val="cs-CZ"/>
        </w:rPr>
        <w:t>Libeň</w:t>
      </w:r>
      <w:r w:rsidRPr="00113B94">
        <w:rPr>
          <w:lang w:val="cs-CZ"/>
        </w:rPr>
        <w:t>,</w:t>
      </w:r>
      <w:r w:rsidR="006A19E3" w:rsidRPr="00113B94">
        <w:rPr>
          <w:lang w:val="cs-CZ"/>
        </w:rPr>
        <w:t xml:space="preserve"> 180 00 Praha 8</w:t>
      </w:r>
    </w:p>
    <w:p w14:paraId="6F1B5CAD" w14:textId="7C667557" w:rsidR="003866ED" w:rsidRPr="00113B94" w:rsidRDefault="003866ED" w:rsidP="007C4DAF">
      <w:pPr>
        <w:spacing w:after="0"/>
        <w:jc w:val="center"/>
        <w:rPr>
          <w:lang w:val="cs-CZ"/>
        </w:rPr>
      </w:pPr>
      <w:r w:rsidRPr="00113B94">
        <w:rPr>
          <w:lang w:val="cs-CZ"/>
        </w:rPr>
        <w:t xml:space="preserve">zapsaná v obchodním rejstříku vedeném </w:t>
      </w:r>
      <w:r w:rsidR="006A19E3" w:rsidRPr="00113B94">
        <w:rPr>
          <w:lang w:val="cs-CZ"/>
        </w:rPr>
        <w:t>Městským</w:t>
      </w:r>
      <w:r w:rsidRPr="00113B94">
        <w:rPr>
          <w:lang w:val="cs-CZ"/>
        </w:rPr>
        <w:t xml:space="preserve"> soudem v </w:t>
      </w:r>
      <w:r w:rsidR="006A19E3" w:rsidRPr="00113B94">
        <w:rPr>
          <w:lang w:val="cs-CZ"/>
        </w:rPr>
        <w:t>Praze</w:t>
      </w:r>
      <w:r w:rsidRPr="00113B94">
        <w:rPr>
          <w:lang w:val="cs-CZ"/>
        </w:rPr>
        <w:t>,</w:t>
      </w:r>
    </w:p>
    <w:p w14:paraId="07BF451F" w14:textId="338480A5" w:rsidR="003866ED" w:rsidRPr="00113B94" w:rsidRDefault="003866ED" w:rsidP="007C4DAF">
      <w:pPr>
        <w:spacing w:after="0"/>
        <w:jc w:val="center"/>
        <w:rPr>
          <w:lang w:val="cs-CZ"/>
        </w:rPr>
      </w:pPr>
      <w:r w:rsidRPr="00113B94">
        <w:rPr>
          <w:lang w:val="cs-CZ"/>
        </w:rPr>
        <w:t xml:space="preserve">oddíl C, vložka </w:t>
      </w:r>
      <w:r w:rsidR="006A19E3" w:rsidRPr="00113B94">
        <w:rPr>
          <w:lang w:val="cs-CZ"/>
        </w:rPr>
        <w:t>264594</w:t>
      </w:r>
    </w:p>
    <w:p w14:paraId="5895B286" w14:textId="5269AAF7" w:rsidR="006A19E3" w:rsidRPr="00113B94" w:rsidRDefault="006A19E3" w:rsidP="007C4DAF">
      <w:pPr>
        <w:spacing w:after="0"/>
        <w:jc w:val="center"/>
        <w:rPr>
          <w:lang w:val="cs-CZ"/>
        </w:rPr>
      </w:pPr>
      <w:r w:rsidRPr="00113B94">
        <w:rPr>
          <w:lang w:val="cs-CZ"/>
        </w:rPr>
        <w:t>zastoupena Vítem Barešem, jednatelem</w:t>
      </w:r>
    </w:p>
    <w:p w14:paraId="4FCB7BDF" w14:textId="15587914" w:rsidR="003866ED" w:rsidRPr="00113B94" w:rsidRDefault="003866ED" w:rsidP="007C4DAF">
      <w:pPr>
        <w:widowControl w:val="0"/>
        <w:pBdr>
          <w:top w:val="nil"/>
          <w:left w:val="nil"/>
          <w:bottom w:val="nil"/>
          <w:right w:val="nil"/>
          <w:between w:val="nil"/>
        </w:pBdr>
        <w:spacing w:before="120" w:after="120" w:line="276" w:lineRule="auto"/>
        <w:ind w:right="-8"/>
        <w:jc w:val="center"/>
        <w:rPr>
          <w:lang w:val="cs-CZ"/>
        </w:rPr>
      </w:pPr>
      <w:r w:rsidRPr="00113B94">
        <w:rPr>
          <w:lang w:val="cs-CZ"/>
        </w:rPr>
        <w:t>(dále jen „</w:t>
      </w:r>
      <w:r w:rsidR="006A19E3" w:rsidRPr="00113B94">
        <w:rPr>
          <w:b/>
          <w:lang w:val="cs-CZ"/>
        </w:rPr>
        <w:t>Poskytovatel</w:t>
      </w:r>
      <w:r w:rsidRPr="00113B94">
        <w:rPr>
          <w:lang w:val="cs-CZ"/>
        </w:rPr>
        <w:t>“)</w:t>
      </w:r>
    </w:p>
    <w:p w14:paraId="4C5BEA09" w14:textId="77777777" w:rsidR="003866ED" w:rsidRPr="00113B94" w:rsidRDefault="003866ED" w:rsidP="003866ED">
      <w:pPr>
        <w:widowControl w:val="0"/>
        <w:spacing w:before="240" w:after="240" w:line="276" w:lineRule="auto"/>
        <w:ind w:right="-6"/>
        <w:jc w:val="center"/>
        <w:rPr>
          <w:lang w:val="cs-CZ"/>
        </w:rPr>
      </w:pPr>
      <w:r w:rsidRPr="00113B94">
        <w:rPr>
          <w:lang w:val="cs-CZ"/>
        </w:rPr>
        <w:t>a</w:t>
      </w:r>
    </w:p>
    <w:p w14:paraId="7D2E34CE" w14:textId="265F918B" w:rsidR="003866ED" w:rsidRPr="00113B94" w:rsidRDefault="006A19E3" w:rsidP="003866ED">
      <w:pPr>
        <w:spacing w:after="0"/>
        <w:jc w:val="center"/>
        <w:rPr>
          <w:rFonts w:cstheme="minorHAnsi"/>
          <w:b/>
          <w:lang w:val="cs-CZ"/>
        </w:rPr>
      </w:pPr>
      <w:r w:rsidRPr="00113B94">
        <w:rPr>
          <w:rFonts w:cstheme="minorHAnsi"/>
          <w:b/>
          <w:lang w:val="cs-CZ"/>
        </w:rPr>
        <w:t>Česká zemědělská univerzita v Praze</w:t>
      </w:r>
    </w:p>
    <w:p w14:paraId="70ACC55C" w14:textId="1F3D00BD" w:rsidR="003866ED" w:rsidRPr="00113B94" w:rsidRDefault="003866ED" w:rsidP="003866ED">
      <w:pPr>
        <w:spacing w:after="0"/>
        <w:jc w:val="center"/>
        <w:rPr>
          <w:rFonts w:cstheme="minorHAnsi"/>
          <w:lang w:val="cs-CZ"/>
        </w:rPr>
      </w:pPr>
      <w:r w:rsidRPr="00113B94">
        <w:rPr>
          <w:rFonts w:cstheme="minorHAnsi"/>
          <w:lang w:val="cs-CZ"/>
        </w:rPr>
        <w:t xml:space="preserve">IČO: </w:t>
      </w:r>
      <w:r w:rsidR="006A19E3" w:rsidRPr="00113B94">
        <w:rPr>
          <w:rFonts w:cstheme="minorHAnsi"/>
          <w:lang w:val="cs-CZ"/>
        </w:rPr>
        <w:t>604 60 709</w:t>
      </w:r>
    </w:p>
    <w:p w14:paraId="2F1C4472" w14:textId="3B5F4C33" w:rsidR="003866ED" w:rsidRPr="00113B94" w:rsidRDefault="003866ED" w:rsidP="003866ED">
      <w:pPr>
        <w:spacing w:after="0"/>
        <w:jc w:val="center"/>
        <w:rPr>
          <w:rFonts w:cstheme="minorHAnsi"/>
          <w:lang w:val="cs-CZ"/>
        </w:rPr>
      </w:pPr>
      <w:r w:rsidRPr="00113B94">
        <w:rPr>
          <w:rFonts w:cstheme="minorHAnsi"/>
          <w:lang w:val="cs-CZ"/>
        </w:rPr>
        <w:t xml:space="preserve">se sídlem </w:t>
      </w:r>
      <w:r w:rsidR="006A19E3" w:rsidRPr="00113B94">
        <w:rPr>
          <w:rFonts w:cstheme="minorHAnsi"/>
          <w:lang w:val="cs-CZ"/>
        </w:rPr>
        <w:t xml:space="preserve">Kamýcká 129, </w:t>
      </w:r>
      <w:r w:rsidR="00FB2F50" w:rsidRPr="00113B94">
        <w:rPr>
          <w:rFonts w:cstheme="minorHAnsi"/>
          <w:lang w:val="cs-CZ"/>
        </w:rPr>
        <w:t xml:space="preserve">Suchdol, </w:t>
      </w:r>
      <w:r w:rsidR="006A19E3" w:rsidRPr="00113B94">
        <w:rPr>
          <w:rFonts w:cstheme="minorHAnsi"/>
          <w:lang w:val="cs-CZ"/>
        </w:rPr>
        <w:t>165 00</w:t>
      </w:r>
      <w:r w:rsidR="00FB2F50" w:rsidRPr="00113B94">
        <w:rPr>
          <w:rFonts w:cstheme="minorHAnsi"/>
          <w:lang w:val="cs-CZ"/>
        </w:rPr>
        <w:t xml:space="preserve"> </w:t>
      </w:r>
      <w:r w:rsidR="006A19E3" w:rsidRPr="00113B94">
        <w:rPr>
          <w:rFonts w:cstheme="minorHAnsi"/>
          <w:lang w:val="cs-CZ"/>
        </w:rPr>
        <w:t xml:space="preserve">Praha </w:t>
      </w:r>
    </w:p>
    <w:p w14:paraId="04190EB7" w14:textId="09BD3597" w:rsidR="006A19E3" w:rsidRPr="00113B94" w:rsidRDefault="006A19E3" w:rsidP="003866ED">
      <w:pPr>
        <w:spacing w:after="0"/>
        <w:jc w:val="center"/>
        <w:rPr>
          <w:rFonts w:cstheme="minorHAnsi"/>
          <w:lang w:val="cs-CZ"/>
        </w:rPr>
      </w:pPr>
      <w:r w:rsidRPr="00B91FEA">
        <w:rPr>
          <w:rFonts w:cstheme="minorHAnsi"/>
          <w:lang w:val="cs-CZ"/>
        </w:rPr>
        <w:t xml:space="preserve">zastoupena </w:t>
      </w:r>
      <w:r w:rsidR="00981597">
        <w:rPr>
          <w:rFonts w:cstheme="minorHAnsi"/>
          <w:lang w:val="cs-CZ"/>
        </w:rPr>
        <w:t xml:space="preserve">Ing. </w:t>
      </w:r>
      <w:r w:rsidRPr="00B91FEA">
        <w:rPr>
          <w:rFonts w:cstheme="minorHAnsi"/>
          <w:lang w:val="cs-CZ"/>
        </w:rPr>
        <w:t xml:space="preserve">Jakubem </w:t>
      </w:r>
      <w:r w:rsidRPr="00B91FEA">
        <w:rPr>
          <w:rFonts w:cstheme="minorHAnsi"/>
          <w:shd w:val="clear" w:color="auto" w:fill="FFFFFF"/>
          <w:lang w:val="cs-CZ"/>
        </w:rPr>
        <w:t>Kleindienstem, kvestorem</w:t>
      </w:r>
    </w:p>
    <w:p w14:paraId="3871AE99" w14:textId="65570144" w:rsidR="003866ED" w:rsidRPr="00113B94" w:rsidRDefault="003866ED" w:rsidP="003866ED">
      <w:pPr>
        <w:widowControl w:val="0"/>
        <w:pBdr>
          <w:top w:val="nil"/>
          <w:left w:val="nil"/>
          <w:bottom w:val="nil"/>
          <w:right w:val="nil"/>
          <w:between w:val="nil"/>
        </w:pBdr>
        <w:spacing w:before="120" w:after="120" w:line="276" w:lineRule="auto"/>
        <w:ind w:right="-8"/>
        <w:jc w:val="center"/>
        <w:rPr>
          <w:lang w:val="cs-CZ"/>
        </w:rPr>
      </w:pPr>
      <w:r w:rsidRPr="00113B94">
        <w:rPr>
          <w:lang w:val="cs-CZ"/>
        </w:rPr>
        <w:t>(dále jen „</w:t>
      </w:r>
      <w:r w:rsidR="006A19E3" w:rsidRPr="00113B94">
        <w:rPr>
          <w:b/>
          <w:lang w:val="cs-CZ"/>
        </w:rPr>
        <w:t>Nabyvatel</w:t>
      </w:r>
      <w:r w:rsidRPr="00113B94">
        <w:rPr>
          <w:lang w:val="cs-CZ"/>
        </w:rPr>
        <w:t>“)</w:t>
      </w:r>
    </w:p>
    <w:p w14:paraId="7C43F660" w14:textId="77777777" w:rsidR="003866ED" w:rsidRPr="00113B94" w:rsidRDefault="003866ED" w:rsidP="003866ED">
      <w:pPr>
        <w:spacing w:before="120" w:after="240" w:line="276" w:lineRule="auto"/>
        <w:ind w:right="-142"/>
        <w:jc w:val="center"/>
        <w:rPr>
          <w:rFonts w:eastAsiaTheme="minorEastAsia"/>
          <w:lang w:val="cs-CZ"/>
        </w:rPr>
      </w:pPr>
      <w:r w:rsidRPr="00113B94">
        <w:rPr>
          <w:rFonts w:eastAsiaTheme="minorEastAsia"/>
          <w:lang w:val="cs-CZ"/>
        </w:rPr>
        <w:t>(dále společně jako „</w:t>
      </w:r>
      <w:r w:rsidRPr="00113B94">
        <w:rPr>
          <w:rFonts w:eastAsiaTheme="minorEastAsia"/>
          <w:b/>
          <w:bCs/>
          <w:lang w:val="cs-CZ"/>
        </w:rPr>
        <w:t>Smluvní strany</w:t>
      </w:r>
      <w:r w:rsidRPr="00113B94">
        <w:rPr>
          <w:rFonts w:eastAsiaTheme="minorEastAsia"/>
          <w:lang w:val="cs-CZ"/>
        </w:rPr>
        <w:t>“ a jednotlivě jako „</w:t>
      </w:r>
      <w:r w:rsidRPr="00113B94">
        <w:rPr>
          <w:rFonts w:eastAsiaTheme="minorEastAsia"/>
          <w:b/>
          <w:bCs/>
          <w:lang w:val="cs-CZ"/>
        </w:rPr>
        <w:t>Smluvní strana</w:t>
      </w:r>
      <w:r w:rsidRPr="00113B94">
        <w:rPr>
          <w:rFonts w:eastAsiaTheme="minorEastAsia"/>
          <w:lang w:val="cs-CZ"/>
        </w:rPr>
        <w:t>“)</w:t>
      </w:r>
    </w:p>
    <w:p w14:paraId="564FB610" w14:textId="5FBDC8CF" w:rsidR="003866ED" w:rsidRPr="00113B94" w:rsidRDefault="003866ED" w:rsidP="003866ED">
      <w:pPr>
        <w:spacing w:before="120" w:after="480" w:line="276" w:lineRule="auto"/>
        <w:ind w:right="-142"/>
        <w:jc w:val="center"/>
        <w:rPr>
          <w:rFonts w:eastAsiaTheme="minorEastAsia"/>
          <w:lang w:val="cs-CZ"/>
        </w:rPr>
      </w:pPr>
      <w:r w:rsidRPr="00113B94">
        <w:rPr>
          <w:rFonts w:eastAsiaTheme="minorEastAsia"/>
          <w:lang w:val="cs-CZ"/>
        </w:rPr>
        <w:t>uzavírají tento dodatek č. 1 (dále jen „</w:t>
      </w:r>
      <w:r w:rsidRPr="00113B94">
        <w:rPr>
          <w:rFonts w:eastAsiaTheme="minorEastAsia"/>
          <w:b/>
          <w:bCs/>
          <w:lang w:val="cs-CZ"/>
        </w:rPr>
        <w:t>Dodatek</w:t>
      </w:r>
      <w:r w:rsidRPr="00113B94">
        <w:rPr>
          <w:rFonts w:eastAsiaTheme="minorEastAsia"/>
          <w:lang w:val="cs-CZ"/>
        </w:rPr>
        <w:t>“) k</w:t>
      </w:r>
      <w:r w:rsidR="00103FCB" w:rsidRPr="00113B94">
        <w:rPr>
          <w:rFonts w:eastAsiaTheme="minorEastAsia"/>
          <w:lang w:val="cs-CZ"/>
        </w:rPr>
        <w:t>e smlouvě o poskytování služby Broaddy</w:t>
      </w:r>
      <w:r w:rsidRPr="00113B94">
        <w:rPr>
          <w:rFonts w:eastAsiaTheme="minorEastAsia"/>
          <w:lang w:val="cs-CZ"/>
        </w:rPr>
        <w:t xml:space="preserve"> </w:t>
      </w:r>
      <w:r w:rsidR="00932BAC">
        <w:rPr>
          <w:rFonts w:eastAsiaTheme="minorEastAsia"/>
          <w:lang w:val="cs-CZ"/>
        </w:rPr>
        <w:br/>
      </w:r>
      <w:r w:rsidRPr="00113B94">
        <w:rPr>
          <w:rFonts w:eastAsiaTheme="minorEastAsia"/>
          <w:lang w:val="cs-CZ"/>
        </w:rPr>
        <w:t>(dále jen „</w:t>
      </w:r>
      <w:r w:rsidR="00103FCB" w:rsidRPr="00113B94">
        <w:rPr>
          <w:rFonts w:eastAsiaTheme="minorEastAsia"/>
          <w:b/>
          <w:lang w:val="cs-CZ"/>
        </w:rPr>
        <w:t>Smlouva</w:t>
      </w:r>
      <w:r w:rsidRPr="00113B94">
        <w:rPr>
          <w:rFonts w:eastAsiaTheme="minorEastAsia"/>
          <w:lang w:val="cs-CZ"/>
        </w:rPr>
        <w:t>“)</w:t>
      </w:r>
    </w:p>
    <w:p w14:paraId="4B0860F3" w14:textId="77777777" w:rsidR="003866ED" w:rsidRPr="00113B94" w:rsidRDefault="003866ED" w:rsidP="003866ED">
      <w:pPr>
        <w:pStyle w:val="Nadpis1"/>
        <w:rPr>
          <w:rFonts w:eastAsiaTheme="minorEastAsia" w:cstheme="minorBidi"/>
        </w:rPr>
      </w:pPr>
      <w:r w:rsidRPr="00113B94">
        <w:rPr>
          <w:rFonts w:eastAsiaTheme="minorEastAsia" w:cstheme="minorBidi"/>
        </w:rPr>
        <w:t>ÚVODNÍ USTANOVENÍ</w:t>
      </w:r>
    </w:p>
    <w:p w14:paraId="1B7C1BA7" w14:textId="27F4BA38" w:rsidR="003866ED" w:rsidRPr="00113B94" w:rsidRDefault="003866ED" w:rsidP="009E7ACC">
      <w:pPr>
        <w:pStyle w:val="Nadpis2"/>
        <w:rPr>
          <w:rFonts w:eastAsiaTheme="minorEastAsia"/>
          <w:lang w:val="cs-CZ"/>
        </w:rPr>
      </w:pPr>
      <w:r w:rsidRPr="00113B94">
        <w:rPr>
          <w:rFonts w:eastAsiaTheme="minorEastAsia"/>
          <w:lang w:val="cs-CZ"/>
        </w:rPr>
        <w:t xml:space="preserve">Smluvní strany </w:t>
      </w:r>
      <w:r w:rsidR="00B424DB" w:rsidRPr="00113B94">
        <w:rPr>
          <w:rFonts w:eastAsiaTheme="minorEastAsia"/>
          <w:lang w:val="cs-CZ"/>
        </w:rPr>
        <w:t xml:space="preserve">dne </w:t>
      </w:r>
      <w:r w:rsidR="00B7711D">
        <w:rPr>
          <w:rFonts w:eastAsia="Verdana"/>
          <w:bdr w:val="none" w:sz="0" w:space="0" w:color="auto" w:frame="1"/>
          <w:lang w:val="cs-CZ" w:eastAsia="cs-CZ"/>
        </w:rPr>
        <w:t>5.2.2021</w:t>
      </w:r>
      <w:r w:rsidR="00B424DB" w:rsidRPr="00113B94">
        <w:rPr>
          <w:rFonts w:eastAsia="Verdana"/>
          <w:bdr w:val="none" w:sz="0" w:space="0" w:color="auto" w:frame="1"/>
          <w:lang w:val="cs-CZ" w:eastAsia="cs-CZ"/>
        </w:rPr>
        <w:t xml:space="preserve"> </w:t>
      </w:r>
      <w:r w:rsidR="00B424DB" w:rsidRPr="00113B94">
        <w:rPr>
          <w:rFonts w:eastAsiaTheme="minorEastAsia"/>
          <w:lang w:val="cs-CZ"/>
        </w:rPr>
        <w:t>uzavřeli Smlouvu</w:t>
      </w:r>
      <w:r w:rsidR="00B7711D">
        <w:rPr>
          <w:rFonts w:eastAsiaTheme="minorEastAsia"/>
          <w:lang w:val="cs-CZ"/>
        </w:rPr>
        <w:t>.</w:t>
      </w:r>
    </w:p>
    <w:p w14:paraId="52709105" w14:textId="251A9291" w:rsidR="00FF38CA" w:rsidRPr="00113B94" w:rsidRDefault="00FF38CA" w:rsidP="00FF38CA">
      <w:pPr>
        <w:pStyle w:val="Nadpis2"/>
        <w:rPr>
          <w:rFonts w:eastAsiaTheme="minorEastAsia" w:cstheme="minorBidi"/>
          <w:color w:val="auto"/>
          <w:lang w:val="cs-CZ"/>
        </w:rPr>
      </w:pPr>
      <w:r w:rsidRPr="00113B94">
        <w:rPr>
          <w:rFonts w:eastAsiaTheme="minorEastAsia" w:cstheme="minorBidi"/>
          <w:color w:val="auto"/>
          <w:lang w:val="cs-CZ"/>
        </w:rPr>
        <w:t xml:space="preserve">Smluvní strany prohlašují, že je jim znám úplný obsah Smlouvy </w:t>
      </w:r>
      <w:r w:rsidR="00C047D3" w:rsidRPr="00113B94">
        <w:rPr>
          <w:rFonts w:eastAsiaTheme="minorEastAsia" w:cstheme="minorBidi"/>
          <w:color w:val="auto"/>
          <w:lang w:val="cs-CZ"/>
        </w:rPr>
        <w:t>včetně všech jejích příloh</w:t>
      </w:r>
      <w:r w:rsidRPr="00113B94">
        <w:rPr>
          <w:rFonts w:eastAsiaTheme="minorEastAsia" w:cstheme="minorBidi"/>
          <w:color w:val="auto"/>
          <w:lang w:val="cs-CZ"/>
        </w:rPr>
        <w:t>, a proto veškeré pojmy a zkratky uvedené v</w:t>
      </w:r>
      <w:r w:rsidR="00C047D3" w:rsidRPr="00113B94">
        <w:rPr>
          <w:rFonts w:eastAsiaTheme="minorEastAsia" w:cstheme="minorBidi"/>
          <w:color w:val="auto"/>
          <w:lang w:val="cs-CZ"/>
        </w:rPr>
        <w:t>e Smlouvě</w:t>
      </w:r>
      <w:r w:rsidRPr="00113B94">
        <w:rPr>
          <w:rFonts w:eastAsiaTheme="minorEastAsia" w:cstheme="minorBidi"/>
          <w:color w:val="auto"/>
          <w:lang w:val="cs-CZ"/>
        </w:rPr>
        <w:t xml:space="preserve"> mají stejný význam i v tomto Dodatku, nestanoví-li tento Dodatek jinak.</w:t>
      </w:r>
    </w:p>
    <w:p w14:paraId="6C4450C8" w14:textId="77777777" w:rsidR="003866ED" w:rsidRPr="00113B94" w:rsidRDefault="003866ED" w:rsidP="003866ED">
      <w:pPr>
        <w:pStyle w:val="Nadpis1"/>
        <w:jc w:val="both"/>
        <w:rPr>
          <w:rFonts w:eastAsiaTheme="minorEastAsia" w:cstheme="minorBidi"/>
        </w:rPr>
      </w:pPr>
      <w:r w:rsidRPr="00113B94">
        <w:rPr>
          <w:rFonts w:eastAsiaTheme="minorEastAsia" w:cstheme="minorBidi"/>
        </w:rPr>
        <w:t>PŘEDMĚT DODATKU</w:t>
      </w:r>
    </w:p>
    <w:p w14:paraId="4DD924D1" w14:textId="13B790C8" w:rsidR="00F272C5" w:rsidRPr="00113B94" w:rsidRDefault="00E53718" w:rsidP="00F272C5">
      <w:pPr>
        <w:pStyle w:val="Nadpis2"/>
        <w:rPr>
          <w:rFonts w:eastAsiaTheme="minorEastAsia"/>
          <w:color w:val="auto"/>
          <w:lang w:val="cs-CZ"/>
        </w:rPr>
      </w:pPr>
      <w:r w:rsidRPr="00113B94">
        <w:rPr>
          <w:rFonts w:eastAsiaTheme="minorEastAsia"/>
          <w:color w:val="auto"/>
          <w:lang w:val="cs-CZ"/>
        </w:rPr>
        <w:t xml:space="preserve">Smluvní strany </w:t>
      </w:r>
      <w:r w:rsidR="0032767C" w:rsidRPr="00113B94">
        <w:rPr>
          <w:rFonts w:eastAsiaTheme="minorEastAsia"/>
          <w:color w:val="auto"/>
          <w:lang w:val="cs-CZ"/>
        </w:rPr>
        <w:t>tímto nahrazují znění č</w:t>
      </w:r>
      <w:r w:rsidR="00CE75EF" w:rsidRPr="00113B94">
        <w:rPr>
          <w:rFonts w:eastAsiaTheme="minorEastAsia"/>
          <w:color w:val="auto"/>
          <w:lang w:val="cs-CZ"/>
        </w:rPr>
        <w:t>l</w:t>
      </w:r>
      <w:r w:rsidR="003E57EA" w:rsidRPr="00113B94">
        <w:rPr>
          <w:rFonts w:eastAsiaTheme="minorEastAsia"/>
          <w:color w:val="auto"/>
          <w:lang w:val="cs-CZ"/>
        </w:rPr>
        <w:t>.</w:t>
      </w:r>
      <w:r w:rsidR="0032767C" w:rsidRPr="00113B94">
        <w:rPr>
          <w:rFonts w:eastAsiaTheme="minorEastAsia"/>
          <w:color w:val="auto"/>
          <w:lang w:val="cs-CZ"/>
        </w:rPr>
        <w:t xml:space="preserve"> 6 Smlouvy s označením </w:t>
      </w:r>
      <w:r w:rsidR="001E0558" w:rsidRPr="00113B94">
        <w:rPr>
          <w:rFonts w:eastAsiaTheme="minorEastAsia"/>
          <w:color w:val="auto"/>
          <w:lang w:val="cs-CZ"/>
        </w:rPr>
        <w:t xml:space="preserve">„Osobní údaje a ochrana práv“ </w:t>
      </w:r>
      <w:r w:rsidR="00FB2F50" w:rsidRPr="00113B94">
        <w:rPr>
          <w:rFonts w:eastAsiaTheme="minorEastAsia"/>
          <w:color w:val="auto"/>
          <w:lang w:val="cs-CZ"/>
        </w:rPr>
        <w:t>v celém rozsahu následujícím zněním:</w:t>
      </w:r>
    </w:p>
    <w:p w14:paraId="0D70DB85" w14:textId="200794F3" w:rsidR="00216C88" w:rsidRPr="00113B94" w:rsidRDefault="00955DA0" w:rsidP="00216C88">
      <w:pPr>
        <w:pStyle w:val="Nadpis2"/>
        <w:keepNext w:val="0"/>
        <w:numPr>
          <w:ilvl w:val="0"/>
          <w:numId w:val="8"/>
        </w:numPr>
        <w:ind w:left="1134" w:hanging="567"/>
        <w:rPr>
          <w:rFonts w:eastAsia="Arial" w:cstheme="minorHAnsi"/>
          <w:lang w:val="cs-CZ"/>
        </w:rPr>
      </w:pPr>
      <w:r w:rsidRPr="00113B94">
        <w:rPr>
          <w:rFonts w:eastAsia="Arial" w:cstheme="minorHAnsi"/>
          <w:lang w:val="cs-CZ"/>
        </w:rPr>
        <w:t>Poskytovatel</w:t>
      </w:r>
      <w:r w:rsidR="00216C88" w:rsidRPr="00113B94">
        <w:rPr>
          <w:rFonts w:eastAsia="Arial" w:cstheme="minorHAnsi"/>
          <w:lang w:val="cs-CZ"/>
        </w:rPr>
        <w:t xml:space="preserve"> </w:t>
      </w:r>
      <w:r w:rsidR="00216C88" w:rsidRPr="00113B94">
        <w:rPr>
          <w:rFonts w:eastAsia="Arial" w:cstheme="minorHAnsi"/>
          <w:i/>
          <w:iCs/>
          <w:lang w:val="cs-CZ"/>
        </w:rPr>
        <w:t xml:space="preserve">bude zpracovávat osobní údaje Oprávněných uživatelů v rozsahu stanovenými informacemi o zpracování osobních údajů zde </w:t>
      </w:r>
      <w:r w:rsidR="00405BB4" w:rsidRPr="00405BB4">
        <w:rPr>
          <w:rFonts w:eastAsia="Arial" w:cstheme="minorHAnsi"/>
          <w:i/>
          <w:iCs/>
          <w:lang w:val="cs-CZ"/>
        </w:rPr>
        <w:t>http://www.broaddy.com/privacy</w:t>
      </w:r>
      <w:r w:rsidR="00405BB4">
        <w:rPr>
          <w:rFonts w:eastAsia="Arial" w:cstheme="minorHAnsi"/>
          <w:i/>
          <w:iCs/>
          <w:lang w:val="cs-CZ"/>
        </w:rPr>
        <w:t>.</w:t>
      </w:r>
    </w:p>
    <w:p w14:paraId="741631D7" w14:textId="77777777" w:rsidR="00113B94" w:rsidRPr="00113B94" w:rsidRDefault="00955DA0" w:rsidP="00113B94">
      <w:pPr>
        <w:pStyle w:val="Nadpis2"/>
        <w:keepNext w:val="0"/>
        <w:numPr>
          <w:ilvl w:val="0"/>
          <w:numId w:val="8"/>
        </w:numPr>
        <w:ind w:left="1134" w:hanging="567"/>
        <w:rPr>
          <w:rFonts w:eastAsia="Arial" w:cstheme="minorHAnsi"/>
          <w:i/>
          <w:iCs/>
          <w:lang w:val="cs-CZ"/>
        </w:rPr>
      </w:pPr>
      <w:r w:rsidRPr="00113B94">
        <w:rPr>
          <w:rFonts w:eastAsia="Arial" w:cstheme="minorHAnsi"/>
          <w:i/>
          <w:iCs/>
          <w:lang w:val="cs-CZ"/>
        </w:rPr>
        <w:t>Poskytovatel se zavazuje řádně zpracovávat a nakládat s osobními údaji, s kterými bude pracovat při plnění této Smlouvy, a to v souladu s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113B94">
        <w:rPr>
          <w:rFonts w:eastAsia="Arial" w:cstheme="minorHAnsi"/>
          <w:b/>
          <w:bCs w:val="0"/>
          <w:i/>
          <w:iCs/>
          <w:lang w:val="cs-CZ"/>
        </w:rPr>
        <w:t>obecné Nařízení GDPR</w:t>
      </w:r>
      <w:r w:rsidRPr="00113B94">
        <w:rPr>
          <w:rFonts w:eastAsia="Arial" w:cstheme="minorHAnsi"/>
          <w:i/>
          <w:iCs/>
          <w:lang w:val="cs-CZ"/>
        </w:rPr>
        <w:t>“) a dle ustanovení § 34 a následující, zákona č. 110/2019 Sb., o zpracování osobních údajů, v </w:t>
      </w:r>
      <w:r w:rsidR="00C77E31" w:rsidRPr="00113B94">
        <w:rPr>
          <w:rFonts w:eastAsia="Arial" w:cstheme="minorHAnsi"/>
          <w:i/>
          <w:iCs/>
          <w:lang w:val="cs-CZ"/>
        </w:rPr>
        <w:t>účinném</w:t>
      </w:r>
      <w:r w:rsidRPr="00113B94">
        <w:rPr>
          <w:rFonts w:eastAsia="Arial" w:cstheme="minorHAnsi"/>
          <w:i/>
          <w:iCs/>
          <w:lang w:val="cs-CZ"/>
        </w:rPr>
        <w:t xml:space="preserve"> znění a touto Smlouvou</w:t>
      </w:r>
      <w:r w:rsidR="00355D65" w:rsidRPr="00113B94">
        <w:rPr>
          <w:rFonts w:eastAsia="Arial" w:cstheme="minorHAnsi"/>
          <w:i/>
          <w:iCs/>
          <w:lang w:val="cs-CZ"/>
        </w:rPr>
        <w:t>, zejména přijmou</w:t>
      </w:r>
      <w:r w:rsidR="00C77E31" w:rsidRPr="00113B94">
        <w:rPr>
          <w:rFonts w:eastAsia="Arial" w:cstheme="minorHAnsi"/>
          <w:i/>
          <w:iCs/>
          <w:lang w:val="cs-CZ"/>
        </w:rPr>
        <w:t xml:space="preserve">t dodatečná technická a organizační </w:t>
      </w:r>
      <w:r w:rsidR="00C77E31" w:rsidRPr="00113B94">
        <w:rPr>
          <w:rFonts w:eastAsia="Arial" w:cstheme="minorHAnsi"/>
          <w:i/>
          <w:iCs/>
          <w:lang w:val="cs-CZ"/>
        </w:rPr>
        <w:lastRenderedPageBreak/>
        <w:t xml:space="preserve">opatření pro ochranu osobních údajů. </w:t>
      </w:r>
      <w:r w:rsidR="00355D65" w:rsidRPr="00113B94">
        <w:rPr>
          <w:rFonts w:eastAsia="Arial" w:cstheme="minorHAnsi"/>
          <w:i/>
          <w:iCs/>
          <w:lang w:val="cs-CZ"/>
        </w:rPr>
        <w:t xml:space="preserve"> </w:t>
      </w:r>
    </w:p>
    <w:p w14:paraId="249519C3" w14:textId="77777777" w:rsidR="00113B94" w:rsidRPr="00113B94" w:rsidRDefault="00955DA0" w:rsidP="00113B94">
      <w:pPr>
        <w:pStyle w:val="Nadpis2"/>
        <w:keepNext w:val="0"/>
        <w:numPr>
          <w:ilvl w:val="0"/>
          <w:numId w:val="8"/>
        </w:numPr>
        <w:ind w:left="1134" w:hanging="567"/>
        <w:rPr>
          <w:rFonts w:eastAsia="Arial" w:cstheme="minorHAnsi"/>
          <w:i/>
          <w:iCs/>
          <w:lang w:val="cs-CZ"/>
        </w:rPr>
      </w:pPr>
      <w:r w:rsidRPr="00113B94">
        <w:rPr>
          <w:rFonts w:eastAsia="Arial" w:cstheme="minorHAnsi"/>
          <w:i/>
          <w:iCs/>
          <w:lang w:val="cs-CZ"/>
        </w:rPr>
        <w:t xml:space="preserve">Pokud Nabyvatel poskytne Poskytovateli či umožní přístup k jakémukoli podkladu chráněnému právy duševního vlastnictví či jiným právem Nabyvatele případně třetí osoby, nebo bude požadovat, aby Poskytovatel takový podklad užil, zejména do něj zasáhl, použil jej, zpracoval či upravil, Nabyvatel se zavazuje zbavit Poskytovatele (včetně jeho sub-dodavatelů) jakékoli odpovědnosti (zejm. náhrady škody) vyplývající z užívání takového plnění Nabyvatelem a poskytnout Poskytovateli všechna potřebná práva, hesla či jiná obdobná oprávnění, která jsou zapotřebí pro užívání takového plnění. </w:t>
      </w:r>
    </w:p>
    <w:p w14:paraId="23C57DD8" w14:textId="569E3F47" w:rsidR="00113B94" w:rsidRPr="00113B94" w:rsidRDefault="00955DA0" w:rsidP="00685AD9">
      <w:pPr>
        <w:pStyle w:val="Nadpis2"/>
        <w:keepNext w:val="0"/>
        <w:numPr>
          <w:ilvl w:val="0"/>
          <w:numId w:val="8"/>
        </w:numPr>
        <w:ind w:left="1134" w:hanging="567"/>
        <w:rPr>
          <w:rFonts w:eastAsia="Arial" w:cstheme="minorHAnsi"/>
          <w:i/>
          <w:iCs/>
          <w:lang w:val="cs-CZ"/>
        </w:rPr>
      </w:pPr>
      <w:r w:rsidRPr="00113B94">
        <w:rPr>
          <w:rFonts w:eastAsia="Arial" w:cstheme="minorHAnsi"/>
          <w:i/>
          <w:iCs/>
          <w:lang w:val="cs-CZ"/>
        </w:rPr>
        <w:t xml:space="preserve">Nabyvatel je povinen přijmout odpovídající opatření k ochraně svých dat. Poskytovatel nenese odpovědnost za ztrátu dat a jejich obnovení, pokud této ztrátě mohlo být zabráněno splněním povinnosti Nabyvatele vyplývajících z tohoto ustanovení. </w:t>
      </w:r>
    </w:p>
    <w:p w14:paraId="7B8D2EF6" w14:textId="52A51FE5" w:rsidR="00955DA0" w:rsidRPr="00113B94" w:rsidRDefault="00955DA0" w:rsidP="00685AD9">
      <w:pPr>
        <w:pStyle w:val="Nadpis2"/>
        <w:keepNext w:val="0"/>
        <w:numPr>
          <w:ilvl w:val="0"/>
          <w:numId w:val="8"/>
        </w:numPr>
        <w:ind w:left="1134" w:hanging="567"/>
        <w:rPr>
          <w:rFonts w:eastAsia="Arial" w:cstheme="minorHAnsi"/>
          <w:i/>
          <w:iCs/>
          <w:lang w:val="cs-CZ"/>
        </w:rPr>
      </w:pPr>
      <w:r w:rsidRPr="00113B94">
        <w:rPr>
          <w:rFonts w:eastAsia="Arial" w:cstheme="minorHAnsi"/>
          <w:i/>
          <w:iCs/>
          <w:lang w:val="cs-CZ"/>
        </w:rPr>
        <w:t>Smluvní strany se zavazují odškodnit druhé Smluvní straně jakoukoli újmu, která jí v důsledku porušení tohoto článku vznikne.</w:t>
      </w:r>
    </w:p>
    <w:p w14:paraId="371F00F1" w14:textId="1E226BEE" w:rsidR="00CC7FAA" w:rsidRPr="00113B94" w:rsidRDefault="003866ED" w:rsidP="003866ED">
      <w:pPr>
        <w:pStyle w:val="Nadpis2"/>
        <w:rPr>
          <w:rFonts w:eastAsiaTheme="minorEastAsia"/>
          <w:color w:val="auto"/>
          <w:lang w:val="cs-CZ"/>
        </w:rPr>
      </w:pPr>
      <w:r w:rsidRPr="00113B94">
        <w:rPr>
          <w:rFonts w:eastAsiaTheme="minorEastAsia"/>
          <w:color w:val="auto"/>
          <w:lang w:val="cs-CZ"/>
        </w:rPr>
        <w:t xml:space="preserve">Smluvní strany tímto </w:t>
      </w:r>
      <w:r w:rsidR="003D1262" w:rsidRPr="00113B94">
        <w:rPr>
          <w:rFonts w:eastAsiaTheme="minorEastAsia"/>
          <w:color w:val="auto"/>
          <w:lang w:val="cs-CZ"/>
        </w:rPr>
        <w:t>nahrazují znění</w:t>
      </w:r>
      <w:r w:rsidRPr="00113B94">
        <w:rPr>
          <w:rFonts w:eastAsiaTheme="minorEastAsia"/>
          <w:color w:val="auto"/>
          <w:lang w:val="cs-CZ"/>
        </w:rPr>
        <w:t xml:space="preserve"> </w:t>
      </w:r>
      <w:r w:rsidR="003D1262" w:rsidRPr="00113B94">
        <w:rPr>
          <w:rFonts w:eastAsiaTheme="minorEastAsia"/>
          <w:color w:val="auto"/>
          <w:lang w:val="cs-CZ"/>
        </w:rPr>
        <w:t>č</w:t>
      </w:r>
      <w:r w:rsidR="00CE75EF" w:rsidRPr="00113B94">
        <w:rPr>
          <w:rFonts w:eastAsiaTheme="minorEastAsia"/>
          <w:color w:val="auto"/>
          <w:lang w:val="cs-CZ"/>
        </w:rPr>
        <w:t>l</w:t>
      </w:r>
      <w:r w:rsidR="003E57EA" w:rsidRPr="00113B94">
        <w:rPr>
          <w:rFonts w:eastAsiaTheme="minorEastAsia"/>
          <w:color w:val="auto"/>
          <w:lang w:val="cs-CZ"/>
        </w:rPr>
        <w:t>.</w:t>
      </w:r>
      <w:r w:rsidR="003D1262" w:rsidRPr="00113B94">
        <w:rPr>
          <w:rFonts w:eastAsiaTheme="minorEastAsia"/>
          <w:color w:val="auto"/>
          <w:lang w:val="cs-CZ"/>
        </w:rPr>
        <w:t xml:space="preserve"> 7 Smlouvy</w:t>
      </w:r>
      <w:r w:rsidRPr="00113B94">
        <w:rPr>
          <w:rFonts w:eastAsiaTheme="minorEastAsia"/>
          <w:color w:val="auto"/>
          <w:lang w:val="cs-CZ"/>
        </w:rPr>
        <w:t xml:space="preserve"> s označením „</w:t>
      </w:r>
      <w:r w:rsidR="003D1262" w:rsidRPr="00113B94">
        <w:rPr>
          <w:rFonts w:eastAsiaTheme="minorEastAsia"/>
          <w:color w:val="auto"/>
          <w:lang w:val="cs-CZ"/>
        </w:rPr>
        <w:t>Odměna a platební podmínky</w:t>
      </w:r>
      <w:r w:rsidRPr="00113B94">
        <w:rPr>
          <w:rFonts w:eastAsiaTheme="minorEastAsia"/>
          <w:color w:val="auto"/>
          <w:lang w:val="cs-CZ"/>
        </w:rPr>
        <w:t>“ v celém rozsahu následujícím zněním:</w:t>
      </w:r>
    </w:p>
    <w:p w14:paraId="5386ADB8" w14:textId="77777777" w:rsidR="004D57C4" w:rsidRPr="00113B94" w:rsidRDefault="004D57C4" w:rsidP="004D57C4">
      <w:pPr>
        <w:pStyle w:val="Odstavecseseznamem"/>
        <w:keepNext/>
        <w:keepLines/>
        <w:widowControl w:val="0"/>
        <w:numPr>
          <w:ilvl w:val="0"/>
          <w:numId w:val="1"/>
        </w:numPr>
        <w:suppressAutoHyphens/>
        <w:spacing w:before="240" w:after="240" w:line="240" w:lineRule="auto"/>
        <w:ind w:left="567" w:hanging="567"/>
        <w:contextualSpacing w:val="0"/>
        <w:outlineLvl w:val="0"/>
        <w:rPr>
          <w:rFonts w:eastAsia="PMingLiU" w:cstheme="minorHAnsi"/>
          <w:b/>
          <w:bCs/>
          <w:snapToGrid w:val="0"/>
          <w:vanish/>
          <w:lang w:val="cs-CZ" w:eastAsia="hu-HU"/>
        </w:rPr>
      </w:pPr>
    </w:p>
    <w:p w14:paraId="0D6966DB" w14:textId="77777777" w:rsidR="004D57C4" w:rsidRPr="00113B94" w:rsidRDefault="004D57C4" w:rsidP="004D57C4">
      <w:pPr>
        <w:pStyle w:val="Odstavecseseznamem"/>
        <w:keepNext/>
        <w:keepLines/>
        <w:widowControl w:val="0"/>
        <w:numPr>
          <w:ilvl w:val="0"/>
          <w:numId w:val="1"/>
        </w:numPr>
        <w:suppressAutoHyphens/>
        <w:spacing w:before="240" w:after="240" w:line="240" w:lineRule="auto"/>
        <w:ind w:left="567" w:hanging="567"/>
        <w:contextualSpacing w:val="0"/>
        <w:outlineLvl w:val="0"/>
        <w:rPr>
          <w:rFonts w:eastAsia="PMingLiU" w:cstheme="minorHAnsi"/>
          <w:b/>
          <w:bCs/>
          <w:snapToGrid w:val="0"/>
          <w:vanish/>
          <w:lang w:val="cs-CZ" w:eastAsia="hu-HU"/>
        </w:rPr>
      </w:pPr>
    </w:p>
    <w:p w14:paraId="2D399F65" w14:textId="77777777" w:rsidR="004D57C4" w:rsidRPr="00113B94" w:rsidRDefault="004D57C4" w:rsidP="004D57C4">
      <w:pPr>
        <w:pStyle w:val="Odstavecseseznamem"/>
        <w:keepNext/>
        <w:keepLines/>
        <w:widowControl w:val="0"/>
        <w:numPr>
          <w:ilvl w:val="0"/>
          <w:numId w:val="1"/>
        </w:numPr>
        <w:suppressAutoHyphens/>
        <w:spacing w:before="240" w:after="240" w:line="240" w:lineRule="auto"/>
        <w:ind w:left="567" w:hanging="567"/>
        <w:contextualSpacing w:val="0"/>
        <w:outlineLvl w:val="0"/>
        <w:rPr>
          <w:rFonts w:eastAsia="PMingLiU" w:cstheme="minorHAnsi"/>
          <w:b/>
          <w:bCs/>
          <w:snapToGrid w:val="0"/>
          <w:vanish/>
          <w:lang w:val="cs-CZ" w:eastAsia="hu-HU"/>
        </w:rPr>
      </w:pPr>
    </w:p>
    <w:p w14:paraId="44808DB0" w14:textId="77777777" w:rsidR="004D57C4" w:rsidRPr="00113B94" w:rsidRDefault="004D57C4" w:rsidP="004D57C4">
      <w:pPr>
        <w:pStyle w:val="Odstavecseseznamem"/>
        <w:keepNext/>
        <w:keepLines/>
        <w:widowControl w:val="0"/>
        <w:numPr>
          <w:ilvl w:val="0"/>
          <w:numId w:val="1"/>
        </w:numPr>
        <w:suppressAutoHyphens/>
        <w:spacing w:before="240" w:after="240" w:line="240" w:lineRule="auto"/>
        <w:ind w:left="567" w:hanging="567"/>
        <w:contextualSpacing w:val="0"/>
        <w:outlineLvl w:val="0"/>
        <w:rPr>
          <w:rFonts w:eastAsia="PMingLiU" w:cstheme="minorHAnsi"/>
          <w:b/>
          <w:bCs/>
          <w:snapToGrid w:val="0"/>
          <w:vanish/>
          <w:lang w:val="cs-CZ" w:eastAsia="hu-HU"/>
        </w:rPr>
      </w:pPr>
    </w:p>
    <w:p w14:paraId="2FF08211" w14:textId="77777777" w:rsidR="004D57C4" w:rsidRPr="00113B94" w:rsidRDefault="004D57C4" w:rsidP="004D57C4">
      <w:pPr>
        <w:pStyle w:val="Odstavecseseznamem"/>
        <w:keepNext/>
        <w:keepLines/>
        <w:widowControl w:val="0"/>
        <w:numPr>
          <w:ilvl w:val="0"/>
          <w:numId w:val="1"/>
        </w:numPr>
        <w:suppressAutoHyphens/>
        <w:spacing w:before="240" w:after="240" w:line="240" w:lineRule="auto"/>
        <w:ind w:left="567" w:hanging="567"/>
        <w:contextualSpacing w:val="0"/>
        <w:outlineLvl w:val="0"/>
        <w:rPr>
          <w:rFonts w:eastAsia="PMingLiU" w:cstheme="minorHAnsi"/>
          <w:b/>
          <w:bCs/>
          <w:snapToGrid w:val="0"/>
          <w:vanish/>
          <w:lang w:val="cs-CZ" w:eastAsia="hu-HU"/>
        </w:rPr>
      </w:pPr>
    </w:p>
    <w:p w14:paraId="3981C4B7" w14:textId="7359957C" w:rsidR="003D1262" w:rsidRPr="00113B94" w:rsidRDefault="003866ED" w:rsidP="00113B94">
      <w:pPr>
        <w:pStyle w:val="Nadpis2"/>
        <w:ind w:left="1134" w:hanging="567"/>
        <w:rPr>
          <w:rFonts w:eastAsia="Arial"/>
          <w:i/>
          <w:iCs/>
          <w:lang w:val="cs-CZ"/>
        </w:rPr>
      </w:pPr>
      <w:r w:rsidRPr="00113B94">
        <w:rPr>
          <w:rFonts w:eastAsia="Arial"/>
          <w:i/>
          <w:iCs/>
          <w:lang w:val="cs-CZ"/>
        </w:rPr>
        <w:t>Odměna za poskytování Služby dle této Smlouvy</w:t>
      </w:r>
      <w:r w:rsidR="00F611F4" w:rsidRPr="00113B94">
        <w:rPr>
          <w:rFonts w:eastAsia="Arial"/>
          <w:i/>
          <w:iCs/>
          <w:lang w:val="cs-CZ"/>
        </w:rPr>
        <w:t xml:space="preserve"> (dále jen „</w:t>
      </w:r>
      <w:r w:rsidR="00F611F4" w:rsidRPr="00113B94">
        <w:rPr>
          <w:rFonts w:eastAsia="Arial"/>
          <w:b/>
          <w:bCs w:val="0"/>
          <w:i/>
          <w:iCs/>
          <w:lang w:val="cs-CZ"/>
        </w:rPr>
        <w:t>Odměna</w:t>
      </w:r>
      <w:r w:rsidR="00F611F4" w:rsidRPr="00113B94">
        <w:rPr>
          <w:rFonts w:eastAsia="Arial"/>
          <w:i/>
          <w:iCs/>
          <w:lang w:val="cs-CZ"/>
        </w:rPr>
        <w:t>“</w:t>
      </w:r>
      <w:r w:rsidR="002229F9" w:rsidRPr="00113B94">
        <w:rPr>
          <w:rFonts w:eastAsia="Arial"/>
          <w:i/>
          <w:iCs/>
          <w:lang w:val="cs-CZ"/>
        </w:rPr>
        <w:t>)</w:t>
      </w:r>
      <w:r w:rsidRPr="00113B94">
        <w:rPr>
          <w:rFonts w:eastAsia="Arial"/>
          <w:i/>
          <w:iCs/>
          <w:lang w:val="cs-CZ"/>
        </w:rPr>
        <w:t xml:space="preserve"> činí </w:t>
      </w:r>
      <w:r w:rsidR="000F769A" w:rsidRPr="00113B94">
        <w:rPr>
          <w:rFonts w:eastAsia="Arial"/>
          <w:i/>
          <w:iCs/>
          <w:lang w:val="cs-CZ"/>
        </w:rPr>
        <w:t>107</w:t>
      </w:r>
      <w:r w:rsidR="00E55EAC" w:rsidRPr="00113B94">
        <w:rPr>
          <w:rFonts w:eastAsia="Arial"/>
          <w:i/>
          <w:iCs/>
          <w:lang w:val="cs-CZ"/>
        </w:rPr>
        <w:t>.</w:t>
      </w:r>
      <w:r w:rsidRPr="00113B94">
        <w:rPr>
          <w:rFonts w:eastAsia="Arial"/>
          <w:i/>
          <w:iCs/>
          <w:lang w:val="cs-CZ"/>
        </w:rPr>
        <w:t xml:space="preserve">000,- Kč </w:t>
      </w:r>
      <w:r w:rsidR="00A72537" w:rsidRPr="00113B94">
        <w:rPr>
          <w:rFonts w:eastAsia="Arial"/>
          <w:i/>
          <w:iCs/>
          <w:lang w:val="cs-CZ"/>
        </w:rPr>
        <w:t xml:space="preserve">(sto sedm tisíc korun českých) </w:t>
      </w:r>
      <w:r w:rsidRPr="00113B94">
        <w:rPr>
          <w:rFonts w:eastAsia="Arial"/>
          <w:i/>
          <w:iCs/>
          <w:lang w:val="cs-CZ"/>
        </w:rPr>
        <w:t xml:space="preserve">bez DPH za </w:t>
      </w:r>
      <w:r w:rsidR="00D51EFB" w:rsidRPr="00113B94">
        <w:rPr>
          <w:rFonts w:eastAsia="Arial"/>
          <w:i/>
          <w:iCs/>
          <w:lang w:val="cs-CZ"/>
        </w:rPr>
        <w:t xml:space="preserve">období </w:t>
      </w:r>
      <w:r w:rsidR="00BD1939" w:rsidRPr="00113B94">
        <w:rPr>
          <w:rFonts w:eastAsia="Arial"/>
          <w:i/>
          <w:iCs/>
          <w:lang w:val="cs-CZ"/>
        </w:rPr>
        <w:t xml:space="preserve">jednoho roku, tj. </w:t>
      </w:r>
      <w:r w:rsidR="00AB12CF" w:rsidRPr="00113B94">
        <w:rPr>
          <w:rFonts w:eastAsia="Arial"/>
          <w:i/>
          <w:iCs/>
          <w:lang w:val="cs-CZ"/>
        </w:rPr>
        <w:t xml:space="preserve">od </w:t>
      </w:r>
      <w:r w:rsidR="00405BB4" w:rsidRPr="00405BB4">
        <w:rPr>
          <w:rFonts w:eastAsia="Arial"/>
          <w:i/>
          <w:iCs/>
          <w:lang w:val="cs-CZ"/>
        </w:rPr>
        <w:t>1</w:t>
      </w:r>
      <w:r w:rsidR="00A02DF9" w:rsidRPr="00405BB4">
        <w:rPr>
          <w:rFonts w:eastAsia="Arial"/>
          <w:i/>
          <w:iCs/>
          <w:lang w:val="cs-CZ"/>
        </w:rPr>
        <w:t xml:space="preserve">. </w:t>
      </w:r>
      <w:r w:rsidR="0063686C">
        <w:rPr>
          <w:rFonts w:eastAsia="Arial"/>
          <w:i/>
          <w:iCs/>
          <w:lang w:val="cs-CZ"/>
        </w:rPr>
        <w:t>ledna</w:t>
      </w:r>
      <w:r w:rsidR="00AB12CF" w:rsidRPr="00405BB4">
        <w:rPr>
          <w:rFonts w:eastAsia="Arial"/>
          <w:i/>
          <w:iCs/>
          <w:lang w:val="cs-CZ"/>
        </w:rPr>
        <w:t xml:space="preserve"> do </w:t>
      </w:r>
      <w:r w:rsidR="00A02DF9" w:rsidRPr="00405BB4">
        <w:rPr>
          <w:rFonts w:eastAsia="Arial"/>
          <w:i/>
          <w:iCs/>
          <w:lang w:val="cs-CZ"/>
        </w:rPr>
        <w:t>3</w:t>
      </w:r>
      <w:r w:rsidR="0063686C">
        <w:rPr>
          <w:rFonts w:eastAsia="Arial"/>
          <w:i/>
          <w:iCs/>
          <w:lang w:val="cs-CZ"/>
        </w:rPr>
        <w:t>1</w:t>
      </w:r>
      <w:r w:rsidR="00A02DF9" w:rsidRPr="00405BB4">
        <w:rPr>
          <w:rFonts w:eastAsia="Arial"/>
          <w:i/>
          <w:iCs/>
          <w:lang w:val="cs-CZ"/>
        </w:rPr>
        <w:t xml:space="preserve">. </w:t>
      </w:r>
      <w:r w:rsidR="0063686C">
        <w:rPr>
          <w:rFonts w:eastAsia="Arial"/>
          <w:i/>
          <w:iCs/>
          <w:lang w:val="cs-CZ"/>
        </w:rPr>
        <w:t>prosince</w:t>
      </w:r>
      <w:r w:rsidR="00AB12CF" w:rsidRPr="00113B94">
        <w:rPr>
          <w:rFonts w:eastAsia="Arial"/>
          <w:i/>
          <w:iCs/>
          <w:lang w:val="cs-CZ"/>
        </w:rPr>
        <w:t xml:space="preserve"> </w:t>
      </w:r>
      <w:r w:rsidR="00D51EFB" w:rsidRPr="00113B94">
        <w:rPr>
          <w:rFonts w:eastAsia="Arial"/>
          <w:i/>
          <w:iCs/>
          <w:lang w:val="cs-CZ"/>
        </w:rPr>
        <w:t>(d</w:t>
      </w:r>
      <w:r w:rsidR="00EC7CAE" w:rsidRPr="00113B94">
        <w:rPr>
          <w:rFonts w:eastAsia="Arial"/>
          <w:i/>
          <w:iCs/>
          <w:lang w:val="cs-CZ"/>
        </w:rPr>
        <w:t>á</w:t>
      </w:r>
      <w:r w:rsidR="00D51EFB" w:rsidRPr="00113B94">
        <w:rPr>
          <w:rFonts w:eastAsia="Arial"/>
          <w:i/>
          <w:iCs/>
          <w:lang w:val="cs-CZ"/>
        </w:rPr>
        <w:t>le jen „</w:t>
      </w:r>
      <w:r w:rsidR="0063686C">
        <w:rPr>
          <w:rFonts w:eastAsia="Arial"/>
          <w:b/>
          <w:bCs w:val="0"/>
          <w:i/>
          <w:iCs/>
          <w:lang w:val="cs-CZ"/>
        </w:rPr>
        <w:t>Kalendářní</w:t>
      </w:r>
      <w:r w:rsidR="00D51EFB" w:rsidRPr="00113B94">
        <w:rPr>
          <w:rFonts w:eastAsia="Arial"/>
          <w:b/>
          <w:bCs w:val="0"/>
          <w:i/>
          <w:iCs/>
          <w:lang w:val="cs-CZ"/>
        </w:rPr>
        <w:t xml:space="preserve"> rok</w:t>
      </w:r>
      <w:r w:rsidR="00D51EFB" w:rsidRPr="00113B94">
        <w:rPr>
          <w:rFonts w:eastAsia="Arial"/>
          <w:i/>
          <w:iCs/>
          <w:lang w:val="cs-CZ"/>
        </w:rPr>
        <w:t>“)</w:t>
      </w:r>
      <w:r w:rsidRPr="00113B94">
        <w:rPr>
          <w:rFonts w:eastAsia="Arial"/>
          <w:i/>
          <w:iCs/>
          <w:lang w:val="cs-CZ"/>
        </w:rPr>
        <w:t>.</w:t>
      </w:r>
      <w:r w:rsidR="000F769A" w:rsidRPr="00113B94">
        <w:rPr>
          <w:rFonts w:eastAsia="Arial"/>
          <w:i/>
          <w:iCs/>
          <w:lang w:val="cs-CZ"/>
        </w:rPr>
        <w:t xml:space="preserve"> </w:t>
      </w:r>
      <w:r w:rsidR="00E115D7" w:rsidRPr="00113B94">
        <w:rPr>
          <w:rFonts w:eastAsia="Arial"/>
          <w:i/>
          <w:iCs/>
          <w:lang w:val="cs-CZ"/>
        </w:rPr>
        <w:t>Nabyvatel v rámci Služby obdrží</w:t>
      </w:r>
      <w:r w:rsidR="00F272C5" w:rsidRPr="00113B94">
        <w:rPr>
          <w:rFonts w:eastAsia="Arial"/>
          <w:i/>
          <w:iCs/>
          <w:lang w:val="cs-CZ"/>
        </w:rPr>
        <w:t>:</w:t>
      </w:r>
    </w:p>
    <w:p w14:paraId="4C56F75E" w14:textId="113C0E9A" w:rsidR="001C6D8E" w:rsidRPr="00113B94" w:rsidRDefault="00456163" w:rsidP="00113B94">
      <w:pPr>
        <w:pStyle w:val="Nadpis3"/>
        <w:ind w:left="1701" w:hanging="567"/>
        <w:rPr>
          <w:rFonts w:eastAsia="Arial"/>
          <w:i/>
          <w:iCs/>
          <w:color w:val="auto"/>
        </w:rPr>
      </w:pPr>
      <w:r w:rsidRPr="00113B94">
        <w:rPr>
          <w:i/>
          <w:iCs/>
          <w:color w:val="242424"/>
        </w:rPr>
        <w:t>1 (jednu)</w:t>
      </w:r>
      <w:r w:rsidR="00ED27D9" w:rsidRPr="00113B94">
        <w:rPr>
          <w:i/>
          <w:iCs/>
          <w:color w:val="242424"/>
        </w:rPr>
        <w:t xml:space="preserve"> hlavní administrativní licenc</w:t>
      </w:r>
      <w:r w:rsidR="00FC3448" w:rsidRPr="00113B94">
        <w:rPr>
          <w:i/>
          <w:iCs/>
          <w:color w:val="242424"/>
        </w:rPr>
        <w:t>i</w:t>
      </w:r>
      <w:r w:rsidR="00ED27D9" w:rsidRPr="00113B94">
        <w:rPr>
          <w:i/>
          <w:iCs/>
          <w:color w:val="242424"/>
        </w:rPr>
        <w:t xml:space="preserve">, která umožňuje jednomu zaměstnanci </w:t>
      </w:r>
      <w:r w:rsidR="00D75211" w:rsidRPr="00113B94">
        <w:rPr>
          <w:i/>
          <w:iCs/>
          <w:color w:val="242424"/>
        </w:rPr>
        <w:t xml:space="preserve">Nabyvatele </w:t>
      </w:r>
      <w:r w:rsidR="00ED27D9" w:rsidRPr="00113B94">
        <w:rPr>
          <w:i/>
          <w:iCs/>
          <w:color w:val="242424"/>
        </w:rPr>
        <w:t>přístup do Broaddy Administrative Interface (platforma CRM se specifickými funkcemi souvisejícími s univerzitním Buddy programem s přístupem do databáze oprávněných uživatelů registrovaných do aplikace Broaddy Web App a/nebo mobilní aplikace)</w:t>
      </w:r>
      <w:r w:rsidR="00075526" w:rsidRPr="00113B94">
        <w:rPr>
          <w:i/>
          <w:iCs/>
          <w:color w:val="242424"/>
        </w:rPr>
        <w:t xml:space="preserve"> a </w:t>
      </w:r>
      <w:r w:rsidR="004831CF" w:rsidRPr="00113B94">
        <w:rPr>
          <w:i/>
          <w:iCs/>
          <w:color w:val="242424"/>
        </w:rPr>
        <w:t>1 (jednu)</w:t>
      </w:r>
      <w:r w:rsidR="00B00AD4" w:rsidRPr="00113B94">
        <w:rPr>
          <w:i/>
          <w:iCs/>
          <w:color w:val="242424"/>
        </w:rPr>
        <w:t xml:space="preserve"> dodatečn</w:t>
      </w:r>
      <w:r w:rsidR="00FC3448" w:rsidRPr="00113B94">
        <w:rPr>
          <w:i/>
          <w:iCs/>
          <w:color w:val="242424"/>
        </w:rPr>
        <w:t>ou</w:t>
      </w:r>
      <w:r w:rsidR="00B00AD4" w:rsidRPr="00113B94">
        <w:rPr>
          <w:i/>
          <w:iCs/>
          <w:color w:val="242424"/>
        </w:rPr>
        <w:t xml:space="preserve"> administrativní licenc</w:t>
      </w:r>
      <w:r w:rsidR="00FC3448" w:rsidRPr="00113B94">
        <w:rPr>
          <w:i/>
          <w:iCs/>
          <w:color w:val="242424"/>
        </w:rPr>
        <w:t>i</w:t>
      </w:r>
      <w:r w:rsidR="00B00AD4" w:rsidRPr="00113B94">
        <w:rPr>
          <w:i/>
          <w:iCs/>
          <w:color w:val="242424"/>
        </w:rPr>
        <w:t xml:space="preserve"> pro přístup k administrativnímu rozhraní Broaddy</w:t>
      </w:r>
      <w:r w:rsidR="00075526" w:rsidRPr="00113B94">
        <w:rPr>
          <w:i/>
          <w:iCs/>
          <w:color w:val="242424"/>
        </w:rPr>
        <w:t xml:space="preserve"> (dále jen „</w:t>
      </w:r>
      <w:r w:rsidR="00075526" w:rsidRPr="00113B94">
        <w:rPr>
          <w:b/>
          <w:bCs w:val="0"/>
          <w:i/>
          <w:iCs/>
          <w:color w:val="242424"/>
        </w:rPr>
        <w:t>Administrativní licence</w:t>
      </w:r>
      <w:r w:rsidR="00075526" w:rsidRPr="00113B94">
        <w:rPr>
          <w:i/>
          <w:iCs/>
          <w:color w:val="242424"/>
        </w:rPr>
        <w:t>“)</w:t>
      </w:r>
    </w:p>
    <w:p w14:paraId="6ACEB439" w14:textId="6C0F1555" w:rsidR="00AC5A0F" w:rsidRPr="00113B94" w:rsidRDefault="00E44C5B" w:rsidP="00113B94">
      <w:pPr>
        <w:pStyle w:val="Nadpis3"/>
        <w:ind w:left="1701" w:hanging="567"/>
        <w:rPr>
          <w:i/>
          <w:iCs/>
          <w:color w:val="242424"/>
        </w:rPr>
      </w:pPr>
      <w:r w:rsidRPr="00113B94">
        <w:rPr>
          <w:i/>
          <w:iCs/>
          <w:color w:val="242424"/>
        </w:rPr>
        <w:t>Licenci pro n</w:t>
      </w:r>
      <w:r w:rsidR="0057020C" w:rsidRPr="00113B94">
        <w:rPr>
          <w:i/>
          <w:iCs/>
          <w:color w:val="242424"/>
        </w:rPr>
        <w:t>eomezený počet oprávněných uživatelů k užívání Broaddy Web App a/nebo Mobilní aplikace (samostatná webová nebo mobilní aplikace poskytovaná Poskytovatelem umožňující studentům vysokých škol mimo jiné se registrovat a vzájemně se propojovat v tzv. Buddy program</w:t>
      </w:r>
      <w:r w:rsidR="005D7F0B" w:rsidRPr="00113B94">
        <w:rPr>
          <w:i/>
          <w:iCs/>
          <w:color w:val="242424"/>
        </w:rPr>
        <w:t>u</w:t>
      </w:r>
      <w:r w:rsidR="0057020C" w:rsidRPr="00113B94">
        <w:rPr>
          <w:i/>
          <w:iCs/>
          <w:color w:val="242424"/>
        </w:rPr>
        <w:t>).</w:t>
      </w:r>
    </w:p>
    <w:p w14:paraId="701D4751" w14:textId="175FF09C" w:rsidR="00D524CA" w:rsidRPr="00113B94" w:rsidRDefault="005121D3" w:rsidP="00113B94">
      <w:pPr>
        <w:pStyle w:val="Nadpis2"/>
        <w:ind w:left="1134" w:hanging="567"/>
        <w:rPr>
          <w:rFonts w:eastAsia="Arial"/>
          <w:i/>
          <w:iCs/>
          <w:lang w:val="cs-CZ"/>
        </w:rPr>
      </w:pPr>
      <w:r w:rsidRPr="00113B94">
        <w:rPr>
          <w:i/>
          <w:iCs/>
          <w:lang w:val="cs-CZ"/>
        </w:rPr>
        <w:t xml:space="preserve">Cena </w:t>
      </w:r>
      <w:r w:rsidR="00505693" w:rsidRPr="00113B94">
        <w:rPr>
          <w:i/>
          <w:iCs/>
          <w:lang w:val="cs-CZ"/>
        </w:rPr>
        <w:t xml:space="preserve">za </w:t>
      </w:r>
      <w:r w:rsidR="00685AD9" w:rsidRPr="00113B94">
        <w:rPr>
          <w:i/>
          <w:iCs/>
          <w:lang w:val="cs-CZ"/>
        </w:rPr>
        <w:t>poskytnutí</w:t>
      </w:r>
      <w:r w:rsidR="00505693" w:rsidRPr="00113B94">
        <w:rPr>
          <w:i/>
          <w:iCs/>
          <w:lang w:val="cs-CZ"/>
        </w:rPr>
        <w:t xml:space="preserve"> </w:t>
      </w:r>
      <w:r w:rsidRPr="00113B94">
        <w:rPr>
          <w:i/>
          <w:iCs/>
          <w:lang w:val="cs-CZ"/>
        </w:rPr>
        <w:t xml:space="preserve">každé další dodatečné </w:t>
      </w:r>
      <w:r w:rsidR="00505693" w:rsidRPr="00113B94">
        <w:rPr>
          <w:i/>
          <w:iCs/>
          <w:lang w:val="cs-CZ"/>
        </w:rPr>
        <w:t>A</w:t>
      </w:r>
      <w:r w:rsidRPr="00113B94">
        <w:rPr>
          <w:i/>
          <w:iCs/>
          <w:lang w:val="cs-CZ"/>
        </w:rPr>
        <w:t>dministrativní licence či</w:t>
      </w:r>
      <w:r w:rsidR="00505693" w:rsidRPr="00113B94">
        <w:rPr>
          <w:i/>
          <w:iCs/>
          <w:lang w:val="cs-CZ"/>
        </w:rPr>
        <w:t>ní</w:t>
      </w:r>
      <w:r w:rsidRPr="00113B94">
        <w:rPr>
          <w:i/>
          <w:iCs/>
          <w:lang w:val="cs-CZ"/>
        </w:rPr>
        <w:t xml:space="preserve"> 7</w:t>
      </w:r>
      <w:r w:rsidR="005D7252" w:rsidRPr="00113B94">
        <w:rPr>
          <w:i/>
          <w:iCs/>
          <w:lang w:val="cs-CZ"/>
        </w:rPr>
        <w:t>.</w:t>
      </w:r>
      <w:r w:rsidRPr="00113B94">
        <w:rPr>
          <w:i/>
          <w:iCs/>
          <w:lang w:val="cs-CZ"/>
        </w:rPr>
        <w:t>000,- Kč</w:t>
      </w:r>
      <w:r w:rsidR="005D7252" w:rsidRPr="00113B94">
        <w:rPr>
          <w:i/>
          <w:iCs/>
          <w:lang w:val="cs-CZ"/>
        </w:rPr>
        <w:t xml:space="preserve"> (sedm tisíc korun českých)</w:t>
      </w:r>
      <w:r w:rsidRPr="00113B94">
        <w:rPr>
          <w:i/>
          <w:iCs/>
          <w:lang w:val="cs-CZ"/>
        </w:rPr>
        <w:t>.</w:t>
      </w:r>
    </w:p>
    <w:p w14:paraId="03739527" w14:textId="4FA73471" w:rsidR="00ED27D9" w:rsidRPr="00113B94" w:rsidRDefault="00ED27D9" w:rsidP="00113B94">
      <w:pPr>
        <w:pStyle w:val="Nadpis2"/>
        <w:ind w:left="1134" w:hanging="567"/>
        <w:rPr>
          <w:rFonts w:eastAsia="Arial"/>
          <w:i/>
          <w:iCs/>
          <w:lang w:val="cs-CZ"/>
        </w:rPr>
      </w:pPr>
      <w:r w:rsidRPr="00113B94">
        <w:rPr>
          <w:rFonts w:eastAsia="Arial"/>
          <w:i/>
          <w:iCs/>
          <w:lang w:val="cs-CZ"/>
        </w:rPr>
        <w:t xml:space="preserve">Úhrada </w:t>
      </w:r>
      <w:r w:rsidR="00906DBE" w:rsidRPr="00113B94">
        <w:rPr>
          <w:rFonts w:eastAsia="Arial"/>
          <w:i/>
          <w:iCs/>
          <w:lang w:val="cs-CZ"/>
        </w:rPr>
        <w:t>O</w:t>
      </w:r>
      <w:r w:rsidRPr="00113B94">
        <w:rPr>
          <w:rFonts w:eastAsia="Arial"/>
          <w:i/>
          <w:iCs/>
          <w:lang w:val="cs-CZ"/>
        </w:rPr>
        <w:t xml:space="preserve">dměny za plnění Poskytovatele dle této Smlouvy se uskuteční na </w:t>
      </w:r>
      <w:r w:rsidR="00F72284" w:rsidRPr="00113B94">
        <w:rPr>
          <w:rFonts w:eastAsia="Arial"/>
          <w:i/>
          <w:iCs/>
          <w:lang w:val="cs-CZ"/>
        </w:rPr>
        <w:t>základě</w:t>
      </w:r>
      <w:r w:rsidRPr="00113B94">
        <w:rPr>
          <w:rFonts w:eastAsia="Arial"/>
          <w:i/>
          <w:iCs/>
          <w:lang w:val="cs-CZ"/>
        </w:rPr>
        <w:t xml:space="preserve"> daňového dokladu</w:t>
      </w:r>
      <w:r w:rsidR="00A440ED" w:rsidRPr="00113B94">
        <w:rPr>
          <w:rFonts w:eastAsia="Arial"/>
          <w:i/>
          <w:iCs/>
          <w:lang w:val="cs-CZ"/>
        </w:rPr>
        <w:t xml:space="preserve"> (jen „</w:t>
      </w:r>
      <w:r w:rsidR="00A440ED" w:rsidRPr="00113B94">
        <w:rPr>
          <w:rFonts w:eastAsia="Arial"/>
          <w:b/>
          <w:bCs w:val="0"/>
          <w:i/>
          <w:iCs/>
          <w:lang w:val="cs-CZ"/>
        </w:rPr>
        <w:t>Faktura</w:t>
      </w:r>
      <w:r w:rsidR="00A440ED" w:rsidRPr="00113B94">
        <w:rPr>
          <w:rFonts w:eastAsia="Arial"/>
          <w:i/>
          <w:iCs/>
          <w:lang w:val="cs-CZ"/>
        </w:rPr>
        <w:t>“)</w:t>
      </w:r>
      <w:r w:rsidRPr="00113B94">
        <w:rPr>
          <w:rFonts w:eastAsia="Arial"/>
          <w:i/>
          <w:iCs/>
          <w:lang w:val="cs-CZ"/>
        </w:rPr>
        <w:t>, který je Poskytovatel oprávněn vystavit nejdříve 30</w:t>
      </w:r>
      <w:r w:rsidR="0062786E" w:rsidRPr="00113B94">
        <w:rPr>
          <w:rFonts w:eastAsia="Arial"/>
          <w:i/>
          <w:iCs/>
          <w:lang w:val="cs-CZ"/>
        </w:rPr>
        <w:t xml:space="preserve"> (třicet)</w:t>
      </w:r>
      <w:r w:rsidRPr="00113B94">
        <w:rPr>
          <w:rFonts w:eastAsia="Arial"/>
          <w:i/>
          <w:iCs/>
          <w:lang w:val="cs-CZ"/>
        </w:rPr>
        <w:t xml:space="preserve"> dní před začátkem </w:t>
      </w:r>
      <w:r w:rsidR="00BB1185">
        <w:rPr>
          <w:rFonts w:eastAsia="Arial"/>
          <w:i/>
          <w:iCs/>
          <w:lang w:val="cs-CZ"/>
        </w:rPr>
        <w:t>Kalendářního roku</w:t>
      </w:r>
      <w:r w:rsidR="00A96CC3" w:rsidRPr="00113B94">
        <w:rPr>
          <w:rFonts w:eastAsia="Arial"/>
          <w:i/>
          <w:iCs/>
          <w:lang w:val="cs-CZ"/>
        </w:rPr>
        <w:t>, ve kterém</w:t>
      </w:r>
      <w:r w:rsidR="003F31A7" w:rsidRPr="00113B94">
        <w:rPr>
          <w:rFonts w:eastAsia="Arial"/>
          <w:i/>
          <w:iCs/>
          <w:lang w:val="cs-CZ"/>
        </w:rPr>
        <w:t xml:space="preserve"> bude Služba </w:t>
      </w:r>
      <w:r w:rsidR="001D3C37" w:rsidRPr="00113B94">
        <w:rPr>
          <w:rFonts w:eastAsia="Arial"/>
          <w:i/>
          <w:iCs/>
          <w:lang w:val="cs-CZ"/>
        </w:rPr>
        <w:t>poskytována</w:t>
      </w:r>
      <w:r w:rsidRPr="00113B94">
        <w:rPr>
          <w:rFonts w:eastAsia="Arial"/>
          <w:i/>
          <w:iCs/>
          <w:lang w:val="cs-CZ"/>
        </w:rPr>
        <w:t>.</w:t>
      </w:r>
    </w:p>
    <w:p w14:paraId="39E419A5" w14:textId="0B01DE6E" w:rsidR="003866ED" w:rsidRDefault="003866ED" w:rsidP="00113B94">
      <w:pPr>
        <w:pStyle w:val="Nadpis2"/>
        <w:ind w:left="1134" w:hanging="567"/>
        <w:rPr>
          <w:rFonts w:eastAsia="Arial"/>
          <w:i/>
          <w:iCs/>
          <w:lang w:val="cs-CZ"/>
        </w:rPr>
      </w:pPr>
      <w:r w:rsidRPr="00113B94">
        <w:rPr>
          <w:rFonts w:eastAsia="Arial"/>
          <w:i/>
          <w:iCs/>
          <w:lang w:val="cs-CZ"/>
        </w:rPr>
        <w:t xml:space="preserve">Splatnost </w:t>
      </w:r>
      <w:r w:rsidR="00BD47B2" w:rsidRPr="00113B94">
        <w:rPr>
          <w:rFonts w:eastAsia="Arial"/>
          <w:i/>
          <w:iCs/>
          <w:lang w:val="cs-CZ"/>
        </w:rPr>
        <w:t>F</w:t>
      </w:r>
      <w:r w:rsidRPr="00113B94">
        <w:rPr>
          <w:rFonts w:eastAsia="Arial"/>
          <w:i/>
          <w:iCs/>
          <w:lang w:val="cs-CZ"/>
        </w:rPr>
        <w:t xml:space="preserve">aktury je 30 </w:t>
      </w:r>
      <w:r w:rsidR="0062786E" w:rsidRPr="00113B94">
        <w:rPr>
          <w:rFonts w:eastAsia="Arial"/>
          <w:i/>
          <w:iCs/>
          <w:lang w:val="cs-CZ"/>
        </w:rPr>
        <w:t xml:space="preserve">(třicet) </w:t>
      </w:r>
      <w:r w:rsidRPr="00113B94">
        <w:rPr>
          <w:rFonts w:eastAsia="Arial"/>
          <w:i/>
          <w:iCs/>
          <w:lang w:val="cs-CZ"/>
        </w:rPr>
        <w:t>dnů ode dne je</w:t>
      </w:r>
      <w:r w:rsidR="00EB44ED" w:rsidRPr="00113B94">
        <w:rPr>
          <w:rFonts w:eastAsia="Arial"/>
          <w:i/>
          <w:iCs/>
          <w:lang w:val="cs-CZ"/>
        </w:rPr>
        <w:t>jího</w:t>
      </w:r>
      <w:r w:rsidRPr="00113B94">
        <w:rPr>
          <w:rFonts w:eastAsia="Arial"/>
          <w:i/>
          <w:iCs/>
          <w:lang w:val="cs-CZ"/>
        </w:rPr>
        <w:t xml:space="preserve"> doručení Nabyvateli. Fakturu je Poskytovatel povinen doručit na adresu: Česká zemědělská univerzita v Praze, Ekonomický odbor, Kamýcká 129, </w:t>
      </w:r>
      <w:r w:rsidR="00B16E30" w:rsidRPr="00113B94">
        <w:rPr>
          <w:rFonts w:eastAsia="Arial"/>
          <w:i/>
          <w:iCs/>
          <w:lang w:val="cs-CZ"/>
        </w:rPr>
        <w:t xml:space="preserve">Suchdol, </w:t>
      </w:r>
      <w:r w:rsidRPr="00113B94">
        <w:rPr>
          <w:rFonts w:eastAsia="Arial"/>
          <w:i/>
          <w:iCs/>
          <w:lang w:val="cs-CZ"/>
        </w:rPr>
        <w:t xml:space="preserve">165 00 Praha. Jiné doručení nebude považováno za řádné s tím, že Nabyvateli nevznikne povinnost </w:t>
      </w:r>
      <w:r w:rsidR="00BD47B2" w:rsidRPr="00113B94">
        <w:rPr>
          <w:rFonts w:eastAsia="Arial"/>
          <w:i/>
          <w:iCs/>
          <w:lang w:val="cs-CZ"/>
        </w:rPr>
        <w:t>F</w:t>
      </w:r>
      <w:r w:rsidRPr="00113B94">
        <w:rPr>
          <w:rFonts w:eastAsia="Arial"/>
          <w:i/>
          <w:iCs/>
          <w:lang w:val="cs-CZ"/>
        </w:rPr>
        <w:t xml:space="preserve">akturu doručenou jiným způsobem uhradit. </w:t>
      </w:r>
    </w:p>
    <w:p w14:paraId="49C7B544" w14:textId="77777777" w:rsidR="00210EA0" w:rsidRDefault="00210EA0" w:rsidP="00210EA0">
      <w:pPr>
        <w:rPr>
          <w:lang w:val="cs-CZ" w:eastAsia="hu-HU"/>
        </w:rPr>
      </w:pPr>
    </w:p>
    <w:p w14:paraId="4702E9D3" w14:textId="77777777" w:rsidR="00210EA0" w:rsidRPr="00210EA0" w:rsidRDefault="00210EA0" w:rsidP="00210EA0">
      <w:pPr>
        <w:rPr>
          <w:lang w:val="cs-CZ" w:eastAsia="hu-HU"/>
        </w:rPr>
      </w:pPr>
    </w:p>
    <w:p w14:paraId="7EB8B49E" w14:textId="07D1D536" w:rsidR="003866ED" w:rsidRPr="00113B94" w:rsidRDefault="00F16517" w:rsidP="00113B94">
      <w:pPr>
        <w:pStyle w:val="Nadpis2"/>
        <w:ind w:left="1134" w:hanging="567"/>
        <w:rPr>
          <w:rFonts w:eastAsia="Arial"/>
          <w:i/>
          <w:iCs/>
          <w:lang w:val="cs-CZ"/>
        </w:rPr>
      </w:pPr>
      <w:r w:rsidRPr="00113B94">
        <w:rPr>
          <w:rFonts w:eastAsia="Arial"/>
          <w:i/>
          <w:iCs/>
          <w:lang w:val="cs-CZ"/>
        </w:rPr>
        <w:lastRenderedPageBreak/>
        <w:t>F</w:t>
      </w:r>
      <w:r w:rsidR="003866ED" w:rsidRPr="00113B94">
        <w:rPr>
          <w:rFonts w:eastAsia="Arial"/>
          <w:i/>
          <w:iCs/>
          <w:lang w:val="cs-CZ"/>
        </w:rPr>
        <w:t xml:space="preserve">aktura musí obsahovat všechny náležitosti řádného účetního a daňového dokladu ve smyslu příslušných právních předpisů, zejména zákona č. 235/2004 Sb., o dani z přidané hodnoty, ve znění pozdějších předpisů. V případě, že </w:t>
      </w:r>
      <w:r w:rsidRPr="00113B94">
        <w:rPr>
          <w:rFonts w:eastAsia="Arial"/>
          <w:i/>
          <w:iCs/>
          <w:lang w:val="cs-CZ"/>
        </w:rPr>
        <w:t>F</w:t>
      </w:r>
      <w:r w:rsidR="003866ED" w:rsidRPr="00113B94">
        <w:rPr>
          <w:rFonts w:eastAsia="Arial"/>
          <w:i/>
          <w:iCs/>
          <w:lang w:val="cs-CZ"/>
        </w:rPr>
        <w:t xml:space="preserve">aktura nebude mít odpovídající náležitosti, je Nabyvatel oprávněn ji vrátit ve lhůtě splatnosti zpět Poskytovateli k doplnění, aniž se tak dostane do prodlení se splatností. Lhůta splatnosti počíná běžet znovu od opětovného doručení náležitě doplněné či opravené </w:t>
      </w:r>
      <w:r w:rsidRPr="00113B94">
        <w:rPr>
          <w:rFonts w:eastAsia="Arial"/>
          <w:i/>
          <w:iCs/>
          <w:lang w:val="cs-CZ"/>
        </w:rPr>
        <w:t>F</w:t>
      </w:r>
      <w:r w:rsidR="003866ED" w:rsidRPr="00113B94">
        <w:rPr>
          <w:rFonts w:eastAsia="Arial"/>
          <w:i/>
          <w:iCs/>
          <w:lang w:val="cs-CZ"/>
        </w:rPr>
        <w:t>aktury Nabyvateli.</w:t>
      </w:r>
    </w:p>
    <w:p w14:paraId="0EF5FDE6" w14:textId="5AFE35F4" w:rsidR="003866ED" w:rsidRPr="00113B94" w:rsidRDefault="003866ED" w:rsidP="00113B94">
      <w:pPr>
        <w:pStyle w:val="Nadpis2"/>
        <w:ind w:left="1134" w:hanging="567"/>
        <w:rPr>
          <w:rFonts w:eastAsia="Arial"/>
          <w:i/>
          <w:iCs/>
          <w:lang w:val="cs-CZ"/>
        </w:rPr>
      </w:pPr>
      <w:r w:rsidRPr="00113B94">
        <w:rPr>
          <w:rFonts w:eastAsia="Arial"/>
          <w:i/>
          <w:iCs/>
          <w:lang w:val="cs-CZ"/>
        </w:rPr>
        <w:t>Je-li Poskytovatel plátce da</w:t>
      </w:r>
      <w:r w:rsidR="00211940" w:rsidRPr="00113B94">
        <w:rPr>
          <w:rFonts w:eastAsia="Arial"/>
          <w:i/>
          <w:iCs/>
          <w:lang w:val="cs-CZ"/>
        </w:rPr>
        <w:t>ně</w:t>
      </w:r>
      <w:r w:rsidRPr="00113B94">
        <w:rPr>
          <w:rFonts w:eastAsia="Arial"/>
          <w:i/>
          <w:iCs/>
          <w:lang w:val="cs-CZ"/>
        </w:rPr>
        <w:t xml:space="preserve"> z přidané hodnoty</w:t>
      </w:r>
      <w:r w:rsidR="004F2557" w:rsidRPr="00113B94">
        <w:rPr>
          <w:rFonts w:eastAsia="Arial"/>
          <w:i/>
          <w:iCs/>
          <w:lang w:val="cs-CZ"/>
        </w:rPr>
        <w:t xml:space="preserve"> </w:t>
      </w:r>
      <w:r w:rsidR="00211940" w:rsidRPr="00113B94">
        <w:rPr>
          <w:rFonts w:eastAsia="Arial"/>
          <w:i/>
          <w:iCs/>
          <w:lang w:val="cs-CZ"/>
        </w:rPr>
        <w:t xml:space="preserve">(dále </w:t>
      </w:r>
      <w:r w:rsidR="004F2557" w:rsidRPr="00113B94">
        <w:rPr>
          <w:rFonts w:eastAsia="Arial"/>
          <w:i/>
          <w:iCs/>
          <w:lang w:val="cs-CZ"/>
        </w:rPr>
        <w:t>jen „</w:t>
      </w:r>
      <w:r w:rsidR="004F2557" w:rsidRPr="00113B94">
        <w:rPr>
          <w:rFonts w:eastAsia="Arial"/>
          <w:b/>
          <w:bCs w:val="0"/>
          <w:i/>
          <w:iCs/>
          <w:lang w:val="cs-CZ"/>
        </w:rPr>
        <w:t>DPH</w:t>
      </w:r>
      <w:r w:rsidR="004F2557" w:rsidRPr="00113B94">
        <w:rPr>
          <w:rFonts w:eastAsia="Arial"/>
          <w:i/>
          <w:iCs/>
          <w:lang w:val="cs-CZ"/>
        </w:rPr>
        <w:t>“), DPH</w:t>
      </w:r>
      <w:r w:rsidRPr="00113B94">
        <w:rPr>
          <w:rFonts w:eastAsia="Arial"/>
          <w:i/>
          <w:iCs/>
          <w:lang w:val="cs-CZ"/>
        </w:rPr>
        <w:t xml:space="preserve"> pro plnění dle této Smlouvy bude fakturována v zákonem stanovené výši dle právních předpisů platných k příslušnému dni uskutečnění zdanitelného plnění. </w:t>
      </w:r>
    </w:p>
    <w:p w14:paraId="01E470E2" w14:textId="439AAFAB" w:rsidR="003D1262" w:rsidRPr="00113B94" w:rsidRDefault="003866ED" w:rsidP="00113B94">
      <w:pPr>
        <w:pStyle w:val="Nadpis2"/>
        <w:ind w:left="1134" w:hanging="567"/>
        <w:rPr>
          <w:rFonts w:eastAsia="Arial"/>
          <w:i/>
          <w:iCs/>
          <w:lang w:val="cs-CZ"/>
        </w:rPr>
      </w:pPr>
      <w:r w:rsidRPr="00113B94">
        <w:rPr>
          <w:rFonts w:eastAsia="Arial"/>
          <w:i/>
          <w:iCs/>
          <w:lang w:val="cs-CZ"/>
        </w:rPr>
        <w:t xml:space="preserve">Je-li Poskytovatel plátce DPH, bude Poskytovateli </w:t>
      </w:r>
      <w:r w:rsidR="00906DBE" w:rsidRPr="00113B94">
        <w:rPr>
          <w:rFonts w:eastAsia="Arial"/>
          <w:i/>
          <w:iCs/>
          <w:lang w:val="cs-CZ"/>
        </w:rPr>
        <w:t>O</w:t>
      </w:r>
      <w:r w:rsidRPr="00113B94">
        <w:rPr>
          <w:rFonts w:eastAsia="Arial"/>
          <w:i/>
          <w:iCs/>
          <w:lang w:val="cs-CZ"/>
        </w:rPr>
        <w:t>dměna dle této Smlouvy převedena na jeho účet zveřejněný správcem daně podle § 98 zákona č. 235/2004 Sb., o dani z přidané hodnoty, ve znění pozdějších předpisů, a to i v případě, že na</w:t>
      </w:r>
      <w:r w:rsidR="00516CD4" w:rsidRPr="00113B94">
        <w:rPr>
          <w:rFonts w:eastAsia="Arial"/>
          <w:i/>
          <w:iCs/>
          <w:lang w:val="cs-CZ"/>
        </w:rPr>
        <w:t xml:space="preserve"> F</w:t>
      </w:r>
      <w:r w:rsidRPr="00113B94">
        <w:rPr>
          <w:rFonts w:eastAsia="Arial"/>
          <w:i/>
          <w:iCs/>
          <w:lang w:val="cs-CZ"/>
        </w:rPr>
        <w:t xml:space="preserve">aktuře bude uveden jiný bankovní účet. Pokud Poskytovatel nebude mít bankovní účet zveřejněný podle § 98 zákona č. 235/2004 Sb., o dani z přidané hodnoty, ve znění pozdějších předpisů, správcem daně, provede Nabyvatel úhradu na bankovní účet až po jeho zveřejnění správcem daně, aniž by byl Nabyvatel v prodlení s úhradou. Zveřejnění bankovního účtu správcem daně oznámí Poskytovatel bezodkladně Nabyvateli. V případě prodlení Nabyvatele s placením </w:t>
      </w:r>
      <w:r w:rsidR="0062786E" w:rsidRPr="00113B94">
        <w:rPr>
          <w:rFonts w:eastAsia="Arial"/>
          <w:i/>
          <w:iCs/>
          <w:lang w:val="cs-CZ"/>
        </w:rPr>
        <w:t>O</w:t>
      </w:r>
      <w:r w:rsidRPr="00113B94">
        <w:rPr>
          <w:rFonts w:eastAsia="Arial"/>
          <w:i/>
          <w:iCs/>
          <w:lang w:val="cs-CZ"/>
        </w:rPr>
        <w:t>dměny je Poskytovatel oprávněn požadovat smluvní pokutu ve výši 0,05 % z dlužné částky za každý započatý den prodlení. Náhrada škody tímto není dotčena.</w:t>
      </w:r>
    </w:p>
    <w:p w14:paraId="191EECD6" w14:textId="7D8F64DF" w:rsidR="003D1262" w:rsidRPr="00113B94" w:rsidRDefault="003D1262" w:rsidP="00BE6737">
      <w:pPr>
        <w:pStyle w:val="Nadpis1"/>
        <w:numPr>
          <w:ilvl w:val="0"/>
          <w:numId w:val="6"/>
        </w:numPr>
        <w:ind w:left="567" w:hanging="567"/>
        <w:rPr>
          <w:rFonts w:eastAsiaTheme="minorEastAsia"/>
        </w:rPr>
      </w:pPr>
      <w:r w:rsidRPr="00113B94">
        <w:rPr>
          <w:rFonts w:eastAsiaTheme="minorEastAsia"/>
        </w:rPr>
        <w:t>ZÁVĚREČNÁ USTANOVENÍ</w:t>
      </w:r>
    </w:p>
    <w:p w14:paraId="527095E6" w14:textId="652AEE58" w:rsidR="003D1262" w:rsidRDefault="003D1262" w:rsidP="009E7ACC">
      <w:pPr>
        <w:pStyle w:val="Nadpis2"/>
        <w:rPr>
          <w:rFonts w:eastAsiaTheme="minorEastAsia"/>
          <w:lang w:val="cs-CZ"/>
        </w:rPr>
      </w:pPr>
      <w:r w:rsidRPr="00113B94">
        <w:rPr>
          <w:rFonts w:eastAsiaTheme="minorEastAsia"/>
          <w:lang w:val="cs-CZ"/>
        </w:rPr>
        <w:t>Tento Dodatek nabývá platnosti a účinnosti v den jeho podpisu oběma Smluvními stranami.</w:t>
      </w:r>
      <w:r w:rsidR="00753093" w:rsidRPr="00753093">
        <w:rPr>
          <w:rFonts w:eastAsiaTheme="minorHAnsi" w:cstheme="minorBidi"/>
          <w:bCs w:val="0"/>
          <w:snapToGrid/>
          <w:color w:val="000000" w:themeColor="text1"/>
          <w:kern w:val="2"/>
          <w:lang w:val="cs-CZ" w:eastAsia="en-US"/>
          <w14:ligatures w14:val="standardContextual"/>
        </w:rPr>
        <w:t xml:space="preserve"> </w:t>
      </w:r>
      <w:r w:rsidR="00753093" w:rsidRPr="00753093">
        <w:rPr>
          <w:rFonts w:eastAsiaTheme="minorEastAsia"/>
          <w:lang w:val="cs-CZ"/>
        </w:rPr>
        <w:t xml:space="preserve">V případě, že </w:t>
      </w:r>
      <w:r w:rsidR="00F25D10">
        <w:rPr>
          <w:rFonts w:eastAsiaTheme="minorEastAsia"/>
          <w:lang w:val="cs-CZ"/>
        </w:rPr>
        <w:t>Dodatek</w:t>
      </w:r>
      <w:r w:rsidR="00753093" w:rsidRPr="00753093">
        <w:rPr>
          <w:rFonts w:eastAsiaTheme="minorEastAsia"/>
          <w:lang w:val="cs-CZ"/>
        </w:rPr>
        <w:t xml:space="preserve"> podléhá povinnosti uveřejnění v registru smluv dle zákona č. 340/2015 Sb., o zvláštních podmínkách účinnosti některých smluv, uveřejňování těchto smluv a o registru smluv (zákon o registru smluv), ve znění pozdějších předpisů, nabývá účinnosti je</w:t>
      </w:r>
      <w:r w:rsidR="00F25D10">
        <w:rPr>
          <w:rFonts w:eastAsiaTheme="minorEastAsia"/>
          <w:lang w:val="cs-CZ"/>
        </w:rPr>
        <w:t>ho</w:t>
      </w:r>
      <w:r w:rsidR="00753093" w:rsidRPr="00753093">
        <w:rPr>
          <w:rFonts w:eastAsiaTheme="minorEastAsia"/>
          <w:lang w:val="cs-CZ"/>
        </w:rPr>
        <w:t xml:space="preserve"> uveřejněním v registru smluv.</w:t>
      </w:r>
    </w:p>
    <w:p w14:paraId="11737AB4" w14:textId="4753F16A" w:rsidR="00717FAA" w:rsidRPr="00932BAC" w:rsidRDefault="000E6B0E" w:rsidP="00717FAA">
      <w:pPr>
        <w:pStyle w:val="Nadpis2"/>
        <w:rPr>
          <w:lang w:val="cs-CZ"/>
        </w:rPr>
      </w:pPr>
      <w:r w:rsidRPr="00932BAC">
        <w:rPr>
          <w:lang w:val="cs-CZ"/>
        </w:rPr>
        <w:t>Poskytovatel</w:t>
      </w:r>
      <w:r w:rsidR="00717FAA" w:rsidRPr="00932BAC">
        <w:rPr>
          <w:lang w:val="cs-CZ"/>
        </w:rPr>
        <w:t xml:space="preserve"> bezvýhradně souhlasí se zveřejněním plného znění </w:t>
      </w:r>
      <w:r w:rsidRPr="00932BAC">
        <w:rPr>
          <w:lang w:val="cs-CZ"/>
        </w:rPr>
        <w:t>Dodatku</w:t>
      </w:r>
      <w:r w:rsidR="00717FAA" w:rsidRPr="00932BAC">
        <w:rPr>
          <w:lang w:val="cs-CZ"/>
        </w:rPr>
        <w:t xml:space="preserve"> tak, aby t</w:t>
      </w:r>
      <w:r w:rsidRPr="00932BAC">
        <w:rPr>
          <w:lang w:val="cs-CZ"/>
        </w:rPr>
        <w:t>en</w:t>
      </w:r>
      <w:r w:rsidR="00717FAA" w:rsidRPr="00932BAC">
        <w:rPr>
          <w:lang w:val="cs-CZ"/>
        </w:rPr>
        <w:t xml:space="preserve">to </w:t>
      </w:r>
      <w:r w:rsidRPr="00932BAC">
        <w:rPr>
          <w:lang w:val="cs-CZ"/>
        </w:rPr>
        <w:t>Dodatek</w:t>
      </w:r>
      <w:r w:rsidR="00717FAA" w:rsidRPr="00932BAC">
        <w:rPr>
          <w:lang w:val="cs-CZ"/>
        </w:rPr>
        <w:t xml:space="preserve"> mohl být předmětem poskytnuté informace ve smyslu zákona č. 106/1999 Sb., o svobodném přístupu k informacím, ve znění pozdějších předpisů a zákona č. 340/2015 Sb., o zvláštních podmínkách účinnosti některých smluv, uveřejňování těchto smluv a o registru smluv (zákon o registru smluv), ve znění pozdějších předpisů.</w:t>
      </w:r>
    </w:p>
    <w:p w14:paraId="51812350" w14:textId="77777777" w:rsidR="00717FAA" w:rsidRDefault="00717FAA" w:rsidP="00932BAC">
      <w:pPr>
        <w:rPr>
          <w:lang w:val="cs-CZ"/>
        </w:rPr>
      </w:pPr>
    </w:p>
    <w:p w14:paraId="51908604" w14:textId="77777777" w:rsidR="00210EA0" w:rsidRDefault="00210EA0" w:rsidP="00932BAC">
      <w:pPr>
        <w:rPr>
          <w:lang w:val="cs-CZ"/>
        </w:rPr>
      </w:pPr>
    </w:p>
    <w:p w14:paraId="2518100F" w14:textId="77777777" w:rsidR="00210EA0" w:rsidRDefault="00210EA0" w:rsidP="00932BAC">
      <w:pPr>
        <w:rPr>
          <w:lang w:val="cs-CZ"/>
        </w:rPr>
      </w:pPr>
    </w:p>
    <w:p w14:paraId="7DB17393" w14:textId="77777777" w:rsidR="00210EA0" w:rsidRDefault="00210EA0" w:rsidP="00932BAC">
      <w:pPr>
        <w:rPr>
          <w:lang w:val="cs-CZ"/>
        </w:rPr>
      </w:pPr>
    </w:p>
    <w:p w14:paraId="26A97E82" w14:textId="77777777" w:rsidR="00210EA0" w:rsidRDefault="00210EA0" w:rsidP="00932BAC">
      <w:pPr>
        <w:rPr>
          <w:lang w:val="cs-CZ"/>
        </w:rPr>
      </w:pPr>
    </w:p>
    <w:p w14:paraId="4063D9E9" w14:textId="77777777" w:rsidR="00210EA0" w:rsidRDefault="00210EA0" w:rsidP="00932BAC">
      <w:pPr>
        <w:rPr>
          <w:lang w:val="cs-CZ"/>
        </w:rPr>
      </w:pPr>
    </w:p>
    <w:p w14:paraId="3E3D6674" w14:textId="77777777" w:rsidR="00210EA0" w:rsidRPr="00932BAC" w:rsidRDefault="00210EA0" w:rsidP="00932BAC">
      <w:pPr>
        <w:rPr>
          <w:lang w:val="cs-CZ"/>
        </w:rPr>
      </w:pPr>
    </w:p>
    <w:p w14:paraId="3D6B47AD" w14:textId="77777777" w:rsidR="008030CC" w:rsidRPr="00932BAC" w:rsidRDefault="008030CC" w:rsidP="00932BAC">
      <w:pPr>
        <w:rPr>
          <w:lang w:val="cs-CZ"/>
        </w:rPr>
      </w:pPr>
    </w:p>
    <w:p w14:paraId="044283AB" w14:textId="77904FCC" w:rsidR="003D1262" w:rsidRPr="00113B94" w:rsidRDefault="003D1262" w:rsidP="003D1262">
      <w:pPr>
        <w:pStyle w:val="Nadpis2"/>
        <w:spacing w:line="276" w:lineRule="auto"/>
        <w:rPr>
          <w:rFonts w:eastAsiaTheme="minorEastAsia" w:cstheme="minorBidi"/>
          <w:color w:val="auto"/>
          <w:lang w:val="cs-CZ"/>
        </w:rPr>
      </w:pPr>
      <w:r w:rsidRPr="00113B94">
        <w:rPr>
          <w:rFonts w:eastAsiaTheme="minorEastAsia" w:cstheme="minorBidi"/>
          <w:color w:val="auto"/>
          <w:lang w:val="cs-CZ"/>
        </w:rPr>
        <w:lastRenderedPageBreak/>
        <w:t xml:space="preserve">Tento Dodatek se vyhotovuje ve </w:t>
      </w:r>
      <w:r w:rsidR="00B05D43" w:rsidRPr="00113B94">
        <w:rPr>
          <w:rFonts w:eastAsiaTheme="minorEastAsia" w:cstheme="minorBidi"/>
          <w:color w:val="auto"/>
          <w:lang w:val="cs-CZ"/>
        </w:rPr>
        <w:t>3</w:t>
      </w:r>
      <w:r w:rsidRPr="00113B94">
        <w:rPr>
          <w:rFonts w:eastAsiaTheme="minorEastAsia" w:cstheme="minorBidi"/>
          <w:color w:val="auto"/>
          <w:lang w:val="cs-CZ"/>
        </w:rPr>
        <w:t xml:space="preserve"> (</w:t>
      </w:r>
      <w:r w:rsidR="00B05D43" w:rsidRPr="00113B94">
        <w:rPr>
          <w:rFonts w:eastAsiaTheme="minorEastAsia" w:cstheme="minorBidi"/>
          <w:color w:val="auto"/>
          <w:lang w:val="cs-CZ"/>
        </w:rPr>
        <w:t>třech</w:t>
      </w:r>
      <w:r w:rsidRPr="00113B94">
        <w:rPr>
          <w:rFonts w:eastAsiaTheme="minorEastAsia" w:cstheme="minorBidi"/>
          <w:color w:val="auto"/>
          <w:lang w:val="cs-CZ"/>
        </w:rPr>
        <w:t xml:space="preserve">) vyhotoveních, přičemž </w:t>
      </w:r>
      <w:r w:rsidR="00B05D43" w:rsidRPr="00113B94">
        <w:rPr>
          <w:rFonts w:eastAsiaTheme="minorEastAsia" w:cstheme="minorBidi"/>
          <w:color w:val="auto"/>
          <w:lang w:val="cs-CZ"/>
        </w:rPr>
        <w:t>Poskytovatel</w:t>
      </w:r>
      <w:r w:rsidRPr="00113B94">
        <w:rPr>
          <w:rFonts w:eastAsiaTheme="minorEastAsia" w:cstheme="minorBidi"/>
          <w:color w:val="auto"/>
          <w:lang w:val="cs-CZ"/>
        </w:rPr>
        <w:t xml:space="preserve"> obdrží </w:t>
      </w:r>
      <w:r w:rsidR="00B05D43" w:rsidRPr="00113B94">
        <w:rPr>
          <w:rFonts w:eastAsiaTheme="minorEastAsia" w:cstheme="minorBidi"/>
          <w:color w:val="auto"/>
          <w:lang w:val="cs-CZ"/>
        </w:rPr>
        <w:t>1</w:t>
      </w:r>
      <w:r w:rsidR="00BD1939" w:rsidRPr="00113B94">
        <w:rPr>
          <w:rFonts w:eastAsiaTheme="minorEastAsia" w:cstheme="minorBidi"/>
          <w:color w:val="auto"/>
          <w:lang w:val="cs-CZ"/>
        </w:rPr>
        <w:t xml:space="preserve"> (jedno)</w:t>
      </w:r>
      <w:r w:rsidR="00B05D43" w:rsidRPr="00113B94">
        <w:rPr>
          <w:rFonts w:eastAsiaTheme="minorEastAsia" w:cstheme="minorBidi"/>
          <w:color w:val="auto"/>
          <w:lang w:val="cs-CZ"/>
        </w:rPr>
        <w:t xml:space="preserve"> vyhotovení a Nabyvatel </w:t>
      </w:r>
      <w:r w:rsidR="00BD1939" w:rsidRPr="00113B94">
        <w:rPr>
          <w:rFonts w:eastAsiaTheme="minorEastAsia" w:cstheme="minorBidi"/>
          <w:color w:val="auto"/>
          <w:lang w:val="cs-CZ"/>
        </w:rPr>
        <w:t>2 (</w:t>
      </w:r>
      <w:r w:rsidR="00B05D43" w:rsidRPr="00113B94">
        <w:rPr>
          <w:rFonts w:eastAsiaTheme="minorEastAsia" w:cstheme="minorBidi"/>
          <w:color w:val="auto"/>
          <w:lang w:val="cs-CZ"/>
        </w:rPr>
        <w:t>dvě)</w:t>
      </w:r>
      <w:r w:rsidRPr="00113B94">
        <w:rPr>
          <w:rFonts w:eastAsiaTheme="minorEastAsia" w:cstheme="minorBidi"/>
          <w:color w:val="auto"/>
          <w:lang w:val="cs-CZ"/>
        </w:rPr>
        <w:t xml:space="preserve"> vyhotovení. </w:t>
      </w:r>
    </w:p>
    <w:p w14:paraId="06C1F9A9" w14:textId="77777777" w:rsidR="003D1262" w:rsidRPr="00113B94" w:rsidRDefault="003D1262" w:rsidP="003D1262">
      <w:pPr>
        <w:spacing w:after="0" w:line="240" w:lineRule="auto"/>
        <w:jc w:val="both"/>
        <w:rPr>
          <w:rFonts w:eastAsiaTheme="minorEastAsia"/>
          <w:lang w:val="cs-CZ" w:eastAsia="cs-CZ"/>
        </w:rPr>
      </w:pPr>
    </w:p>
    <w:tbl>
      <w:tblPr>
        <w:tblW w:w="8994" w:type="dxa"/>
        <w:tblBorders>
          <w:top w:val="nil"/>
          <w:left w:val="nil"/>
          <w:bottom w:val="nil"/>
          <w:right w:val="nil"/>
          <w:insideH w:val="nil"/>
          <w:insideV w:val="nil"/>
        </w:tblBorders>
        <w:tblLayout w:type="fixed"/>
        <w:tblLook w:val="0400" w:firstRow="0" w:lastRow="0" w:firstColumn="0" w:lastColumn="0" w:noHBand="0" w:noVBand="1"/>
      </w:tblPr>
      <w:tblGrid>
        <w:gridCol w:w="4497"/>
        <w:gridCol w:w="4497"/>
      </w:tblGrid>
      <w:tr w:rsidR="003D1262" w:rsidRPr="00113B94" w14:paraId="343E3F4B" w14:textId="77777777" w:rsidTr="007B6199">
        <w:trPr>
          <w:trHeight w:val="2041"/>
        </w:trPr>
        <w:tc>
          <w:tcPr>
            <w:tcW w:w="4497" w:type="dxa"/>
          </w:tcPr>
          <w:p w14:paraId="5A938742" w14:textId="314C5EB2" w:rsidR="003D1262" w:rsidRPr="00113B94" w:rsidRDefault="003D1262" w:rsidP="007B6199">
            <w:pPr>
              <w:suppressAutoHyphens/>
              <w:spacing w:after="0" w:line="288" w:lineRule="auto"/>
              <w:jc w:val="center"/>
              <w:rPr>
                <w:rFonts w:ascii="Calibri" w:eastAsia="Calibri" w:hAnsi="Calibri" w:cs="Calibri"/>
                <w:u w:color="000000"/>
                <w:lang w:val="cs-CZ" w:eastAsia="cs-CZ"/>
              </w:rPr>
            </w:pPr>
            <w:r w:rsidRPr="00113B94">
              <w:rPr>
                <w:rFonts w:ascii="Calibri" w:eastAsia="Calibri" w:hAnsi="Calibri" w:cs="Calibri"/>
                <w:u w:color="000000"/>
                <w:lang w:val="cs-CZ" w:eastAsia="cs-CZ"/>
              </w:rPr>
              <w:t>V </w:t>
            </w:r>
            <w:r w:rsidR="00B7794A">
              <w:rPr>
                <w:rFonts w:eastAsia="Verdana"/>
                <w:bdr w:val="none" w:sz="0" w:space="0" w:color="auto" w:frame="1"/>
                <w:lang w:val="cs-CZ" w:eastAsia="cs-CZ"/>
              </w:rPr>
              <w:t xml:space="preserve">Praze, </w:t>
            </w:r>
            <w:r w:rsidRPr="00113B94">
              <w:rPr>
                <w:rFonts w:ascii="Calibri" w:eastAsia="Calibri" w:hAnsi="Calibri" w:cs="Calibri"/>
                <w:u w:color="000000"/>
                <w:lang w:val="cs-CZ" w:eastAsia="cs-CZ"/>
              </w:rPr>
              <w:t xml:space="preserve">dne </w:t>
            </w:r>
            <w:r w:rsidR="00B7794A">
              <w:rPr>
                <w:rFonts w:eastAsia="Verdana"/>
                <w:bdr w:val="none" w:sz="0" w:space="0" w:color="auto" w:frame="1"/>
                <w:lang w:val="cs-CZ" w:eastAsia="cs-CZ"/>
              </w:rPr>
              <w:t>__________</w:t>
            </w:r>
            <w:r w:rsidR="009675C7">
              <w:rPr>
                <w:rFonts w:eastAsia="Verdana"/>
                <w:bdr w:val="none" w:sz="0" w:space="0" w:color="auto" w:frame="1"/>
                <w:lang w:val="cs-CZ" w:eastAsia="cs-CZ"/>
              </w:rPr>
              <w:t>_</w:t>
            </w:r>
          </w:p>
          <w:p w14:paraId="68B8D806"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rPr>
                <w:lang w:val="cs-CZ"/>
              </w:rPr>
            </w:pPr>
          </w:p>
          <w:p w14:paraId="16445159"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rPr>
                <w:lang w:val="cs-CZ"/>
              </w:rPr>
            </w:pPr>
          </w:p>
          <w:p w14:paraId="55F17DC6"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rPr>
                <w:lang w:val="cs-CZ"/>
              </w:rPr>
            </w:pPr>
          </w:p>
          <w:p w14:paraId="2C7308D8"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r w:rsidRPr="00113B94">
              <w:rPr>
                <w:lang w:val="cs-CZ"/>
              </w:rPr>
              <w:t>_________________________</w:t>
            </w:r>
          </w:p>
          <w:p w14:paraId="5427203B" w14:textId="59D98D7C" w:rsidR="003D1262" w:rsidRPr="00113B94" w:rsidRDefault="00650C6E" w:rsidP="00650C6E">
            <w:pPr>
              <w:pBdr>
                <w:top w:val="nil"/>
                <w:left w:val="nil"/>
                <w:bottom w:val="nil"/>
                <w:right w:val="nil"/>
                <w:between w:val="nil"/>
              </w:pBdr>
              <w:spacing w:after="0"/>
              <w:jc w:val="center"/>
              <w:rPr>
                <w:b/>
                <w:lang w:val="cs-CZ"/>
              </w:rPr>
            </w:pPr>
            <w:r w:rsidRPr="00113B94">
              <w:rPr>
                <w:b/>
                <w:lang w:val="cs-CZ"/>
              </w:rPr>
              <w:t>Broaddy s.r.o</w:t>
            </w:r>
            <w:r w:rsidR="003D1262" w:rsidRPr="00113B94">
              <w:rPr>
                <w:b/>
                <w:lang w:val="cs-CZ"/>
              </w:rPr>
              <w:t>.</w:t>
            </w:r>
          </w:p>
          <w:p w14:paraId="7C0C687F" w14:textId="2A52BC75" w:rsidR="003D1262" w:rsidRDefault="00650C6E" w:rsidP="007B6199">
            <w:pPr>
              <w:pBdr>
                <w:top w:val="nil"/>
                <w:left w:val="nil"/>
                <w:bottom w:val="nil"/>
                <w:right w:val="nil"/>
                <w:between w:val="nil"/>
              </w:pBdr>
              <w:spacing w:after="0"/>
              <w:jc w:val="center"/>
              <w:rPr>
                <w:lang w:val="cs-CZ"/>
              </w:rPr>
            </w:pPr>
            <w:r w:rsidRPr="00113B94">
              <w:rPr>
                <w:lang w:val="cs-CZ"/>
              </w:rPr>
              <w:t>Vít Bareš</w:t>
            </w:r>
          </w:p>
          <w:p w14:paraId="3C1D770E" w14:textId="64023D1F" w:rsidR="009675C7" w:rsidRDefault="009675C7" w:rsidP="007B6199">
            <w:pPr>
              <w:pBdr>
                <w:top w:val="nil"/>
                <w:left w:val="nil"/>
                <w:bottom w:val="nil"/>
                <w:right w:val="nil"/>
                <w:between w:val="nil"/>
              </w:pBdr>
              <w:spacing w:after="0"/>
              <w:jc w:val="center"/>
              <w:rPr>
                <w:lang w:val="cs-CZ"/>
              </w:rPr>
            </w:pPr>
            <w:r>
              <w:rPr>
                <w:lang w:val="cs-CZ"/>
              </w:rPr>
              <w:t xml:space="preserve">jednatel </w:t>
            </w:r>
          </w:p>
          <w:p w14:paraId="64179305" w14:textId="77777777" w:rsidR="009675C7" w:rsidRDefault="009675C7" w:rsidP="007B6199">
            <w:pPr>
              <w:pBdr>
                <w:top w:val="nil"/>
                <w:left w:val="nil"/>
                <w:bottom w:val="nil"/>
                <w:right w:val="nil"/>
                <w:between w:val="nil"/>
              </w:pBdr>
              <w:spacing w:after="0"/>
              <w:jc w:val="center"/>
              <w:rPr>
                <w:lang w:val="cs-CZ"/>
              </w:rPr>
            </w:pPr>
          </w:p>
          <w:p w14:paraId="53E9949F" w14:textId="77777777" w:rsidR="009675C7" w:rsidRDefault="009675C7" w:rsidP="007B6199">
            <w:pPr>
              <w:pBdr>
                <w:top w:val="nil"/>
                <w:left w:val="nil"/>
                <w:bottom w:val="nil"/>
                <w:right w:val="nil"/>
                <w:between w:val="nil"/>
              </w:pBdr>
              <w:spacing w:after="0"/>
              <w:jc w:val="center"/>
              <w:rPr>
                <w:lang w:val="cs-CZ"/>
              </w:rPr>
            </w:pPr>
          </w:p>
          <w:p w14:paraId="2937B285" w14:textId="77777777" w:rsidR="009675C7" w:rsidRDefault="009675C7" w:rsidP="007B6199">
            <w:pPr>
              <w:pBdr>
                <w:top w:val="nil"/>
                <w:left w:val="nil"/>
                <w:bottom w:val="nil"/>
                <w:right w:val="nil"/>
                <w:between w:val="nil"/>
              </w:pBdr>
              <w:spacing w:after="0"/>
              <w:jc w:val="center"/>
              <w:rPr>
                <w:lang w:val="cs-CZ"/>
              </w:rPr>
            </w:pPr>
          </w:p>
          <w:p w14:paraId="51E6CF6B" w14:textId="77777777" w:rsidR="009675C7" w:rsidRPr="00113B94" w:rsidRDefault="009675C7" w:rsidP="009675C7">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r w:rsidRPr="00113B94">
              <w:rPr>
                <w:lang w:val="cs-CZ"/>
              </w:rPr>
              <w:t>_________________________</w:t>
            </w:r>
          </w:p>
          <w:p w14:paraId="1EB00D52" w14:textId="77777777" w:rsidR="009675C7" w:rsidRPr="00113B94" w:rsidRDefault="009675C7" w:rsidP="009675C7">
            <w:pPr>
              <w:pBdr>
                <w:top w:val="nil"/>
                <w:left w:val="nil"/>
                <w:bottom w:val="nil"/>
                <w:right w:val="nil"/>
                <w:between w:val="nil"/>
              </w:pBdr>
              <w:spacing w:after="0"/>
              <w:jc w:val="center"/>
              <w:rPr>
                <w:b/>
                <w:lang w:val="cs-CZ"/>
              </w:rPr>
            </w:pPr>
            <w:r w:rsidRPr="00113B94">
              <w:rPr>
                <w:b/>
                <w:lang w:val="cs-CZ"/>
              </w:rPr>
              <w:t>Broaddy s.r.o.</w:t>
            </w:r>
          </w:p>
          <w:p w14:paraId="62FBC746" w14:textId="3812ACD6" w:rsidR="009675C7" w:rsidRDefault="00B125EF" w:rsidP="009675C7">
            <w:pPr>
              <w:pBdr>
                <w:top w:val="nil"/>
                <w:left w:val="nil"/>
                <w:bottom w:val="nil"/>
                <w:right w:val="nil"/>
                <w:between w:val="nil"/>
              </w:pBdr>
              <w:spacing w:after="0"/>
              <w:jc w:val="center"/>
              <w:rPr>
                <w:lang w:val="cs-CZ"/>
              </w:rPr>
            </w:pPr>
            <w:r>
              <w:rPr>
                <w:lang w:val="cs-CZ"/>
              </w:rPr>
              <w:t>Mikuláš Josek</w:t>
            </w:r>
          </w:p>
          <w:p w14:paraId="606B644B" w14:textId="7018A304" w:rsidR="009675C7" w:rsidRDefault="009675C7" w:rsidP="009675C7">
            <w:pPr>
              <w:pBdr>
                <w:top w:val="nil"/>
                <w:left w:val="nil"/>
                <w:bottom w:val="nil"/>
                <w:right w:val="nil"/>
                <w:between w:val="nil"/>
              </w:pBdr>
              <w:spacing w:after="0"/>
              <w:jc w:val="center"/>
              <w:rPr>
                <w:lang w:val="cs-CZ"/>
              </w:rPr>
            </w:pPr>
            <w:r>
              <w:rPr>
                <w:lang w:val="cs-CZ"/>
              </w:rPr>
              <w:t>jednatel</w:t>
            </w:r>
          </w:p>
          <w:p w14:paraId="0311D404"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p>
        </w:tc>
        <w:tc>
          <w:tcPr>
            <w:tcW w:w="4497" w:type="dxa"/>
          </w:tcPr>
          <w:p w14:paraId="5DFF44F0" w14:textId="5617203E" w:rsidR="003D1262" w:rsidRPr="00113B94" w:rsidRDefault="003D1262" w:rsidP="007B6199">
            <w:pPr>
              <w:suppressAutoHyphens/>
              <w:spacing w:after="0" w:line="288" w:lineRule="auto"/>
              <w:jc w:val="center"/>
              <w:rPr>
                <w:rFonts w:ascii="Calibri" w:eastAsia="Calibri" w:hAnsi="Calibri" w:cs="Calibri"/>
                <w:u w:color="000000"/>
                <w:lang w:val="cs-CZ" w:eastAsia="cs-CZ"/>
              </w:rPr>
            </w:pPr>
            <w:r w:rsidRPr="00113B94">
              <w:rPr>
                <w:rFonts w:ascii="Calibri" w:eastAsia="Calibri" w:hAnsi="Calibri" w:cs="Calibri"/>
                <w:u w:color="000000"/>
                <w:lang w:val="cs-CZ" w:eastAsia="cs-CZ"/>
              </w:rPr>
              <w:t>V </w:t>
            </w:r>
            <w:r w:rsidR="00B7794A">
              <w:rPr>
                <w:rFonts w:eastAsia="Verdana"/>
                <w:bdr w:val="none" w:sz="0" w:space="0" w:color="auto" w:frame="1"/>
                <w:lang w:val="cs-CZ" w:eastAsia="cs-CZ"/>
              </w:rPr>
              <w:t>Praze,</w:t>
            </w:r>
            <w:r w:rsidR="00B7794A" w:rsidRPr="00113B94">
              <w:rPr>
                <w:rFonts w:ascii="Calibri" w:eastAsia="Calibri" w:hAnsi="Calibri" w:cs="Calibri"/>
                <w:u w:color="000000"/>
                <w:lang w:val="cs-CZ" w:eastAsia="cs-CZ"/>
              </w:rPr>
              <w:t xml:space="preserve"> </w:t>
            </w:r>
            <w:r w:rsidRPr="00113B94">
              <w:rPr>
                <w:rFonts w:ascii="Calibri" w:eastAsia="Calibri" w:hAnsi="Calibri" w:cs="Calibri"/>
                <w:u w:color="000000"/>
                <w:lang w:val="cs-CZ" w:eastAsia="cs-CZ"/>
              </w:rPr>
              <w:t xml:space="preserve">dne </w:t>
            </w:r>
            <w:r w:rsidR="00B7794A">
              <w:rPr>
                <w:rFonts w:eastAsia="Verdana"/>
                <w:bdr w:val="none" w:sz="0" w:space="0" w:color="auto" w:frame="1"/>
                <w:lang w:val="cs-CZ" w:eastAsia="cs-CZ"/>
              </w:rPr>
              <w:t>___________</w:t>
            </w:r>
          </w:p>
          <w:p w14:paraId="2504A0D4"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b/>
                <w:lang w:val="cs-CZ"/>
              </w:rPr>
            </w:pPr>
          </w:p>
          <w:p w14:paraId="3D9AB63D"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p>
          <w:p w14:paraId="734E181A"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p>
          <w:p w14:paraId="15FF8466" w14:textId="77777777" w:rsidR="003D1262" w:rsidRPr="00113B94" w:rsidRDefault="003D1262"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r w:rsidRPr="00113B94">
              <w:rPr>
                <w:lang w:val="cs-CZ"/>
              </w:rPr>
              <w:t>_________________________</w:t>
            </w:r>
          </w:p>
          <w:p w14:paraId="068706B7" w14:textId="503CC842" w:rsidR="003D1262" w:rsidRPr="00113B94" w:rsidRDefault="00650C6E" w:rsidP="007B6199">
            <w:pPr>
              <w:spacing w:after="0"/>
              <w:jc w:val="center"/>
              <w:rPr>
                <w:b/>
                <w:lang w:val="cs-CZ"/>
              </w:rPr>
            </w:pPr>
            <w:r w:rsidRPr="00113B94">
              <w:rPr>
                <w:rFonts w:cstheme="minorHAnsi"/>
                <w:b/>
                <w:lang w:val="cs-CZ"/>
              </w:rPr>
              <w:t>Česká zemědělská univerzita v Praze</w:t>
            </w:r>
          </w:p>
          <w:p w14:paraId="1053A482" w14:textId="40ED03F6" w:rsidR="003D1262" w:rsidRDefault="00CB4601"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rFonts w:cstheme="minorHAnsi"/>
                <w:shd w:val="clear" w:color="auto" w:fill="FFFFFF"/>
                <w:lang w:val="cs-CZ"/>
              </w:rPr>
            </w:pPr>
            <w:r>
              <w:rPr>
                <w:lang w:val="cs-CZ"/>
              </w:rPr>
              <w:t xml:space="preserve">Ing. </w:t>
            </w:r>
            <w:r w:rsidR="00650C6E" w:rsidRPr="00B91FEA">
              <w:rPr>
                <w:rFonts w:cstheme="minorHAnsi"/>
                <w:lang w:val="cs-CZ"/>
              </w:rPr>
              <w:t xml:space="preserve">Jakub </w:t>
            </w:r>
            <w:r w:rsidR="00650C6E" w:rsidRPr="00B91FEA">
              <w:rPr>
                <w:rFonts w:cstheme="minorHAnsi"/>
                <w:shd w:val="clear" w:color="auto" w:fill="FFFFFF"/>
                <w:lang w:val="cs-CZ"/>
              </w:rPr>
              <w:t>Kleindienst</w:t>
            </w:r>
          </w:p>
          <w:p w14:paraId="05193CCD" w14:textId="11A8E27F" w:rsidR="00CB4601" w:rsidRPr="00113B94" w:rsidRDefault="00CB4601" w:rsidP="007B6199">
            <w:pPr>
              <w:pBdr>
                <w:top w:val="none" w:sz="0" w:space="0" w:color="000000"/>
                <w:left w:val="none" w:sz="0" w:space="0" w:color="000000"/>
                <w:bottom w:val="none" w:sz="0" w:space="0" w:color="000000"/>
                <w:right w:val="none" w:sz="0" w:space="0" w:color="000000"/>
                <w:between w:val="none" w:sz="0" w:space="0" w:color="000000"/>
              </w:pBdr>
              <w:spacing w:after="0" w:line="288" w:lineRule="auto"/>
              <w:jc w:val="center"/>
              <w:rPr>
                <w:lang w:val="cs-CZ"/>
              </w:rPr>
            </w:pPr>
            <w:r>
              <w:rPr>
                <w:rFonts w:cstheme="minorHAnsi"/>
                <w:shd w:val="clear" w:color="auto" w:fill="FFFFFF"/>
                <w:lang w:val="cs-CZ"/>
              </w:rPr>
              <w:t>kvestor</w:t>
            </w:r>
          </w:p>
        </w:tc>
      </w:tr>
    </w:tbl>
    <w:p w14:paraId="2F02CA7D" w14:textId="77777777" w:rsidR="003D1262" w:rsidRPr="00113B94" w:rsidRDefault="003D1262" w:rsidP="00113B94">
      <w:pPr>
        <w:rPr>
          <w:lang w:val="cs-CZ" w:eastAsia="hu-HU"/>
        </w:rPr>
      </w:pPr>
    </w:p>
    <w:sectPr w:rsidR="003D1262" w:rsidRPr="00113B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1F93" w14:textId="77777777" w:rsidR="00EB4715" w:rsidRDefault="00EB4715" w:rsidP="004E4F7F">
      <w:pPr>
        <w:spacing w:after="0" w:line="240" w:lineRule="auto"/>
      </w:pPr>
      <w:r>
        <w:separator/>
      </w:r>
    </w:p>
  </w:endnote>
  <w:endnote w:type="continuationSeparator" w:id="0">
    <w:p w14:paraId="1E97BF25" w14:textId="77777777" w:rsidR="00EB4715" w:rsidRDefault="00EB4715" w:rsidP="004E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FB99" w14:textId="77777777" w:rsidR="00DA37BA" w:rsidRDefault="00DA37B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C045" w14:textId="77777777" w:rsidR="00DA37BA" w:rsidRDefault="00DA37B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F921" w14:textId="77777777" w:rsidR="00DA37BA" w:rsidRDefault="00DA37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B3A6" w14:textId="77777777" w:rsidR="00EB4715" w:rsidRDefault="00EB4715" w:rsidP="004E4F7F">
      <w:pPr>
        <w:spacing w:after="0" w:line="240" w:lineRule="auto"/>
      </w:pPr>
      <w:r>
        <w:separator/>
      </w:r>
    </w:p>
  </w:footnote>
  <w:footnote w:type="continuationSeparator" w:id="0">
    <w:p w14:paraId="5C286A89" w14:textId="77777777" w:rsidR="00EB4715" w:rsidRDefault="00EB4715" w:rsidP="004E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F6DE" w14:textId="77777777" w:rsidR="00DA37BA" w:rsidRDefault="00DA37B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19F5" w14:textId="4648411B" w:rsidR="00523930" w:rsidRDefault="00523930" w:rsidP="00932BAC">
    <w:pPr>
      <w:pStyle w:val="Zhlav"/>
      <w:jc w:val="right"/>
    </w:pPr>
    <w:r>
      <w:t xml:space="preserve">PO </w:t>
    </w:r>
    <w:r w:rsidR="00DA37BA">
      <w:t>1974</w:t>
    </w:r>
    <w: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9766" w14:textId="77777777" w:rsidR="00DA37BA" w:rsidRDefault="00DA37B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3C9A"/>
    <w:multiLevelType w:val="multilevel"/>
    <w:tmpl w:val="ED36B01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1426" w:hanging="576"/>
      </w:pPr>
      <w:rPr>
        <w:i/>
        <w:iCs/>
        <w:specVanish w:val="0"/>
      </w:rPr>
    </w:lvl>
    <w:lvl w:ilvl="2">
      <w:start w:val="1"/>
      <w:numFmt w:val="decimal"/>
      <w:pStyle w:val="Nadpis3"/>
      <w:lvlText w:val="%1.%2.%3"/>
      <w:lvlJc w:val="left"/>
      <w:pPr>
        <w:ind w:left="1713" w:hanging="720"/>
      </w:pPr>
      <w:rPr>
        <w:rFonts w:hint="default"/>
        <w:specVanish w:val="0"/>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 w15:restartNumberingAfterBreak="0">
    <w:nsid w:val="2A761C2B"/>
    <w:multiLevelType w:val="hybridMultilevel"/>
    <w:tmpl w:val="14988F82"/>
    <w:lvl w:ilvl="0" w:tplc="EA2052DC">
      <w:start w:val="1"/>
      <w:numFmt w:val="decimal"/>
      <w:lvlText w:val="6.%1"/>
      <w:lvlJc w:val="left"/>
      <w:pPr>
        <w:ind w:left="720" w:hanging="360"/>
      </w:pPr>
      <w:rPr>
        <w:rFonts w:asciiTheme="minorHAnsi" w:hAnsiTheme="minorHAnsi" w:cs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3976A6"/>
    <w:multiLevelType w:val="multilevel"/>
    <w:tmpl w:val="18E21B02"/>
    <w:lvl w:ilvl="0">
      <w:start w:val="1"/>
      <w:numFmt w:val="lowerLetter"/>
      <w:lvlText w:val="%1)"/>
      <w:lvlJc w:val="left"/>
      <w:pPr>
        <w:ind w:left="1080" w:firstLine="2880"/>
      </w:p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abstractNum w:abstractNumId="3" w15:restartNumberingAfterBreak="0">
    <w:nsid w:val="2F6D370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75353D"/>
    <w:multiLevelType w:val="multilevel"/>
    <w:tmpl w:val="711A4F90"/>
    <w:numStyleLink w:val="Styl1"/>
  </w:abstractNum>
  <w:abstractNum w:abstractNumId="5" w15:restartNumberingAfterBreak="0">
    <w:nsid w:val="49FF6D9B"/>
    <w:multiLevelType w:val="multilevel"/>
    <w:tmpl w:val="711A4F90"/>
    <w:styleLink w:val="Styl1"/>
    <w:lvl w:ilvl="0">
      <w:start w:val="7"/>
      <w:numFmt w:val="decimal"/>
      <w:lvlText w:val="%1"/>
      <w:lvlJc w:val="left"/>
      <w:pPr>
        <w:ind w:left="1152" w:firstLine="3024"/>
      </w:pPr>
      <w:rPr>
        <w:b w:val="0"/>
        <w:i w:val="0"/>
        <w:smallCaps w:val="0"/>
        <w:strike w:val="0"/>
        <w:sz w:val="24"/>
        <w:szCs w:val="24"/>
        <w:u w:val="none"/>
        <w:vertAlign w:val="baseline"/>
      </w:rPr>
    </w:lvl>
    <w:lvl w:ilvl="1">
      <w:start w:val="1"/>
      <w:numFmt w:val="decimal"/>
      <w:lvlText w:val="%1.%2"/>
      <w:lvlJc w:val="left"/>
      <w:pPr>
        <w:ind w:left="1296" w:firstLine="3312"/>
      </w:pPr>
      <w:rPr>
        <w:b w:val="0"/>
        <w:sz w:val="24"/>
        <w:szCs w:val="24"/>
      </w:rPr>
    </w:lvl>
    <w:lvl w:ilvl="2">
      <w:start w:val="1"/>
      <w:numFmt w:val="decimal"/>
      <w:lvlText w:val="%1.%2.%3"/>
      <w:lvlJc w:val="left"/>
      <w:pPr>
        <w:ind w:left="6827" w:firstLine="19761"/>
      </w:pPr>
    </w:lvl>
    <w:lvl w:ilvl="3">
      <w:start w:val="1"/>
      <w:numFmt w:val="decimal"/>
      <w:lvlText w:val="%1.%2.%3.%4"/>
      <w:lvlJc w:val="left"/>
      <w:pPr>
        <w:ind w:left="1584" w:firstLine="3888"/>
      </w:pPr>
    </w:lvl>
    <w:lvl w:ilvl="4">
      <w:start w:val="1"/>
      <w:numFmt w:val="decimal"/>
      <w:lvlText w:val="%1.%2.%3.%4.%5"/>
      <w:lvlJc w:val="left"/>
      <w:pPr>
        <w:ind w:left="1728" w:firstLine="4176"/>
      </w:pPr>
    </w:lvl>
    <w:lvl w:ilvl="5">
      <w:start w:val="1"/>
      <w:numFmt w:val="decimal"/>
      <w:lvlText w:val="%1.%2.%3.%4.%5.%6"/>
      <w:lvlJc w:val="left"/>
      <w:pPr>
        <w:ind w:left="1872" w:firstLine="4463"/>
      </w:pPr>
    </w:lvl>
    <w:lvl w:ilvl="6">
      <w:start w:val="1"/>
      <w:numFmt w:val="decimal"/>
      <w:lvlText w:val="%1.%2.%3.%4.%5.%6.%7"/>
      <w:lvlJc w:val="left"/>
      <w:pPr>
        <w:ind w:left="2016" w:firstLine="4752"/>
      </w:pPr>
    </w:lvl>
    <w:lvl w:ilvl="7">
      <w:start w:val="1"/>
      <w:numFmt w:val="decimal"/>
      <w:lvlText w:val="%1.%2.%3.%4.%5.%6.%7.%8"/>
      <w:lvlJc w:val="left"/>
      <w:pPr>
        <w:ind w:left="2160" w:firstLine="5040"/>
      </w:pPr>
    </w:lvl>
    <w:lvl w:ilvl="8">
      <w:start w:val="1"/>
      <w:numFmt w:val="decimal"/>
      <w:lvlText w:val="%1.%2.%3.%4.%5.%6.%7.%8.%9"/>
      <w:lvlJc w:val="left"/>
      <w:pPr>
        <w:ind w:left="2304" w:firstLine="5327"/>
      </w:pPr>
    </w:lvl>
  </w:abstractNum>
  <w:num w:numId="1" w16cid:durableId="1212112926">
    <w:abstractNumId w:val="0"/>
  </w:num>
  <w:num w:numId="2" w16cid:durableId="194849538">
    <w:abstractNumId w:val="4"/>
    <w:lvlOverride w:ilvl="0">
      <w:lvl w:ilvl="0">
        <w:start w:val="7"/>
        <w:numFmt w:val="decimal"/>
        <w:lvlText w:val="%1"/>
        <w:lvlJc w:val="left"/>
        <w:pPr>
          <w:ind w:left="1152" w:firstLine="3024"/>
        </w:pPr>
        <w:rPr>
          <w:rFonts w:hint="default"/>
          <w:b w:val="0"/>
          <w:i w:val="0"/>
          <w:smallCaps w:val="0"/>
          <w:strike w:val="0"/>
          <w:sz w:val="24"/>
          <w:szCs w:val="24"/>
          <w:u w:val="none"/>
          <w:vertAlign w:val="baseline"/>
        </w:rPr>
      </w:lvl>
    </w:lvlOverride>
    <w:lvlOverride w:ilvl="1">
      <w:lvl w:ilvl="1">
        <w:start w:val="1"/>
        <w:numFmt w:val="decimal"/>
        <w:lvlText w:val="%1.%2"/>
        <w:lvlJc w:val="left"/>
        <w:pPr>
          <w:ind w:left="1296" w:firstLine="3312"/>
        </w:pPr>
        <w:rPr>
          <w:rFonts w:hint="default"/>
          <w:b w:val="0"/>
          <w:sz w:val="22"/>
          <w:szCs w:val="22"/>
        </w:rPr>
      </w:lvl>
    </w:lvlOverride>
    <w:lvlOverride w:ilvl="2">
      <w:lvl w:ilvl="2">
        <w:start w:val="1"/>
        <w:numFmt w:val="decimal"/>
        <w:lvlText w:val="%1.%2.%3"/>
        <w:lvlJc w:val="left"/>
        <w:pPr>
          <w:ind w:left="6827" w:firstLine="19761"/>
        </w:pPr>
        <w:rPr>
          <w:rFonts w:hint="default"/>
        </w:rPr>
      </w:lvl>
    </w:lvlOverride>
    <w:lvlOverride w:ilvl="3">
      <w:lvl w:ilvl="3">
        <w:start w:val="1"/>
        <w:numFmt w:val="decimal"/>
        <w:lvlText w:val="%1.%2.%3.%4"/>
        <w:lvlJc w:val="left"/>
        <w:pPr>
          <w:ind w:left="1584" w:firstLine="3888"/>
        </w:pPr>
        <w:rPr>
          <w:rFonts w:hint="default"/>
        </w:rPr>
      </w:lvl>
    </w:lvlOverride>
    <w:lvlOverride w:ilvl="4">
      <w:lvl w:ilvl="4">
        <w:start w:val="1"/>
        <w:numFmt w:val="decimal"/>
        <w:lvlText w:val="%1.%2.%3.%4.%5"/>
        <w:lvlJc w:val="left"/>
        <w:pPr>
          <w:ind w:left="1728" w:firstLine="4176"/>
        </w:pPr>
        <w:rPr>
          <w:rFonts w:hint="default"/>
        </w:rPr>
      </w:lvl>
    </w:lvlOverride>
    <w:lvlOverride w:ilvl="5">
      <w:lvl w:ilvl="5">
        <w:start w:val="1"/>
        <w:numFmt w:val="decimal"/>
        <w:lvlText w:val="%1.%2.%3.%4.%5.%6"/>
        <w:lvlJc w:val="left"/>
        <w:pPr>
          <w:ind w:left="1872" w:firstLine="4463"/>
        </w:pPr>
        <w:rPr>
          <w:rFonts w:hint="default"/>
        </w:rPr>
      </w:lvl>
    </w:lvlOverride>
    <w:lvlOverride w:ilvl="6">
      <w:lvl w:ilvl="6">
        <w:start w:val="1"/>
        <w:numFmt w:val="decimal"/>
        <w:lvlText w:val="%1.%2.%3.%4.%5.%6.%7"/>
        <w:lvlJc w:val="left"/>
        <w:pPr>
          <w:ind w:left="2016" w:firstLine="4752"/>
        </w:pPr>
        <w:rPr>
          <w:rFonts w:hint="default"/>
        </w:rPr>
      </w:lvl>
    </w:lvlOverride>
    <w:lvlOverride w:ilvl="7">
      <w:lvl w:ilvl="7">
        <w:start w:val="1"/>
        <w:numFmt w:val="decimal"/>
        <w:lvlText w:val="%1.%2.%3.%4.%5.%6.%7.%8"/>
        <w:lvlJc w:val="left"/>
        <w:pPr>
          <w:ind w:left="2160" w:firstLine="5040"/>
        </w:pPr>
        <w:rPr>
          <w:rFonts w:hint="default"/>
        </w:rPr>
      </w:lvl>
    </w:lvlOverride>
    <w:lvlOverride w:ilvl="8">
      <w:lvl w:ilvl="8">
        <w:start w:val="1"/>
        <w:numFmt w:val="decimal"/>
        <w:lvlText w:val="%1.%2.%3.%4.%5.%6.%7.%8.%9"/>
        <w:lvlJc w:val="left"/>
        <w:pPr>
          <w:ind w:left="2304" w:firstLine="5327"/>
        </w:pPr>
        <w:rPr>
          <w:rFonts w:hint="default"/>
        </w:rPr>
      </w:lvl>
    </w:lvlOverride>
  </w:num>
  <w:num w:numId="3" w16cid:durableId="838346376">
    <w:abstractNumId w:val="5"/>
  </w:num>
  <w:num w:numId="4" w16cid:durableId="708189325">
    <w:abstractNumId w:val="3"/>
  </w:num>
  <w:num w:numId="5" w16cid:durableId="477695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683491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061653">
    <w:abstractNumId w:val="0"/>
  </w:num>
  <w:num w:numId="8" w16cid:durableId="135345092">
    <w:abstractNumId w:val="1"/>
  </w:num>
  <w:num w:numId="9" w16cid:durableId="213150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S3NDIyNzQGQlNTcyUdpeDU4uLM/DyQAsNaAP3uHfksAAAA"/>
  </w:docVars>
  <w:rsids>
    <w:rsidRoot w:val="003866ED"/>
    <w:rsid w:val="00023429"/>
    <w:rsid w:val="00075526"/>
    <w:rsid w:val="000E6B0E"/>
    <w:rsid w:val="000F6FA8"/>
    <w:rsid w:val="000F769A"/>
    <w:rsid w:val="00103FCB"/>
    <w:rsid w:val="00113B94"/>
    <w:rsid w:val="00142CE7"/>
    <w:rsid w:val="00152D5D"/>
    <w:rsid w:val="00161679"/>
    <w:rsid w:val="001645DB"/>
    <w:rsid w:val="00166081"/>
    <w:rsid w:val="001C6D8E"/>
    <w:rsid w:val="001D3C37"/>
    <w:rsid w:val="001E0558"/>
    <w:rsid w:val="00210EA0"/>
    <w:rsid w:val="00211940"/>
    <w:rsid w:val="00216C88"/>
    <w:rsid w:val="002229F9"/>
    <w:rsid w:val="00237827"/>
    <w:rsid w:val="002476DA"/>
    <w:rsid w:val="0028667E"/>
    <w:rsid w:val="002B398A"/>
    <w:rsid w:val="0032767C"/>
    <w:rsid w:val="00344C0E"/>
    <w:rsid w:val="00352968"/>
    <w:rsid w:val="00355D65"/>
    <w:rsid w:val="00361B90"/>
    <w:rsid w:val="00367493"/>
    <w:rsid w:val="003866ED"/>
    <w:rsid w:val="003A16D6"/>
    <w:rsid w:val="003D1262"/>
    <w:rsid w:val="003E57EA"/>
    <w:rsid w:val="003F31A7"/>
    <w:rsid w:val="00405BB4"/>
    <w:rsid w:val="00456163"/>
    <w:rsid w:val="004831CF"/>
    <w:rsid w:val="004A073F"/>
    <w:rsid w:val="004D57C4"/>
    <w:rsid w:val="004E4F7F"/>
    <w:rsid w:val="004F2557"/>
    <w:rsid w:val="004F4827"/>
    <w:rsid w:val="00505693"/>
    <w:rsid w:val="005121D3"/>
    <w:rsid w:val="00516CD4"/>
    <w:rsid w:val="00523930"/>
    <w:rsid w:val="00531821"/>
    <w:rsid w:val="00546D1D"/>
    <w:rsid w:val="00561750"/>
    <w:rsid w:val="0057020C"/>
    <w:rsid w:val="005C15F0"/>
    <w:rsid w:val="005D3CA4"/>
    <w:rsid w:val="005D7252"/>
    <w:rsid w:val="005D7F0B"/>
    <w:rsid w:val="0062786E"/>
    <w:rsid w:val="0063686C"/>
    <w:rsid w:val="00650C6E"/>
    <w:rsid w:val="00685AD9"/>
    <w:rsid w:val="006A19E3"/>
    <w:rsid w:val="006C321F"/>
    <w:rsid w:val="00717FAA"/>
    <w:rsid w:val="007510E2"/>
    <w:rsid w:val="00753093"/>
    <w:rsid w:val="00760096"/>
    <w:rsid w:val="0076402A"/>
    <w:rsid w:val="0076498B"/>
    <w:rsid w:val="007657A4"/>
    <w:rsid w:val="007C4DAF"/>
    <w:rsid w:val="007F0E54"/>
    <w:rsid w:val="008030CC"/>
    <w:rsid w:val="00815972"/>
    <w:rsid w:val="0086316F"/>
    <w:rsid w:val="008A4164"/>
    <w:rsid w:val="008F3A1D"/>
    <w:rsid w:val="008F438E"/>
    <w:rsid w:val="008F4554"/>
    <w:rsid w:val="00903F94"/>
    <w:rsid w:val="00906DBE"/>
    <w:rsid w:val="00932BAC"/>
    <w:rsid w:val="0094329C"/>
    <w:rsid w:val="00955DA0"/>
    <w:rsid w:val="00967233"/>
    <w:rsid w:val="009675C7"/>
    <w:rsid w:val="00981597"/>
    <w:rsid w:val="00994E8C"/>
    <w:rsid w:val="009A520A"/>
    <w:rsid w:val="009A625B"/>
    <w:rsid w:val="009B061B"/>
    <w:rsid w:val="009C0216"/>
    <w:rsid w:val="009D0E66"/>
    <w:rsid w:val="009E7ACC"/>
    <w:rsid w:val="00A02DF9"/>
    <w:rsid w:val="00A1786C"/>
    <w:rsid w:val="00A34620"/>
    <w:rsid w:val="00A440ED"/>
    <w:rsid w:val="00A60B09"/>
    <w:rsid w:val="00A72537"/>
    <w:rsid w:val="00A7641F"/>
    <w:rsid w:val="00A96CC3"/>
    <w:rsid w:val="00AB12CF"/>
    <w:rsid w:val="00AC5A0F"/>
    <w:rsid w:val="00B00AD4"/>
    <w:rsid w:val="00B05D43"/>
    <w:rsid w:val="00B125EF"/>
    <w:rsid w:val="00B16E30"/>
    <w:rsid w:val="00B36C4E"/>
    <w:rsid w:val="00B424DB"/>
    <w:rsid w:val="00B507BF"/>
    <w:rsid w:val="00B7711D"/>
    <w:rsid w:val="00B7794A"/>
    <w:rsid w:val="00B81D45"/>
    <w:rsid w:val="00B8285B"/>
    <w:rsid w:val="00B91FEA"/>
    <w:rsid w:val="00BB1185"/>
    <w:rsid w:val="00BB1675"/>
    <w:rsid w:val="00BC11F4"/>
    <w:rsid w:val="00BD1939"/>
    <w:rsid w:val="00BD47B2"/>
    <w:rsid w:val="00BE6737"/>
    <w:rsid w:val="00C047D3"/>
    <w:rsid w:val="00C11D58"/>
    <w:rsid w:val="00C12E64"/>
    <w:rsid w:val="00C15900"/>
    <w:rsid w:val="00C312B5"/>
    <w:rsid w:val="00C457B9"/>
    <w:rsid w:val="00C63301"/>
    <w:rsid w:val="00C75B7D"/>
    <w:rsid w:val="00C77E31"/>
    <w:rsid w:val="00CA1396"/>
    <w:rsid w:val="00CB4601"/>
    <w:rsid w:val="00CC5A43"/>
    <w:rsid w:val="00CC7FAA"/>
    <w:rsid w:val="00CD5F33"/>
    <w:rsid w:val="00CE75EF"/>
    <w:rsid w:val="00D1608D"/>
    <w:rsid w:val="00D24760"/>
    <w:rsid w:val="00D269FE"/>
    <w:rsid w:val="00D5076B"/>
    <w:rsid w:val="00D51EFB"/>
    <w:rsid w:val="00D524CA"/>
    <w:rsid w:val="00D75211"/>
    <w:rsid w:val="00D77003"/>
    <w:rsid w:val="00DA37BA"/>
    <w:rsid w:val="00DD755E"/>
    <w:rsid w:val="00DE6AF3"/>
    <w:rsid w:val="00DF0839"/>
    <w:rsid w:val="00E115D7"/>
    <w:rsid w:val="00E26338"/>
    <w:rsid w:val="00E44C5B"/>
    <w:rsid w:val="00E53718"/>
    <w:rsid w:val="00E55EAC"/>
    <w:rsid w:val="00E67531"/>
    <w:rsid w:val="00E85577"/>
    <w:rsid w:val="00EB44ED"/>
    <w:rsid w:val="00EB4715"/>
    <w:rsid w:val="00EC7CAE"/>
    <w:rsid w:val="00ED27D9"/>
    <w:rsid w:val="00EF1AB5"/>
    <w:rsid w:val="00F16517"/>
    <w:rsid w:val="00F25D10"/>
    <w:rsid w:val="00F272C5"/>
    <w:rsid w:val="00F279B4"/>
    <w:rsid w:val="00F611F4"/>
    <w:rsid w:val="00F615FD"/>
    <w:rsid w:val="00F72284"/>
    <w:rsid w:val="00FB2F50"/>
    <w:rsid w:val="00FC3448"/>
    <w:rsid w:val="00FF3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3E1E9"/>
  <w15:chartTrackingRefBased/>
  <w15:docId w15:val="{15AF930E-CBD4-4ED1-BBD1-19DCF38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866ED"/>
    <w:rPr>
      <w:kern w:val="0"/>
      <w:lang w:val="en-GB"/>
      <w14:ligatures w14:val="none"/>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F615FD"/>
    <w:pPr>
      <w:keepNext/>
      <w:keepLines/>
      <w:widowControl w:val="0"/>
      <w:numPr>
        <w:numId w:val="1"/>
      </w:numPr>
      <w:suppressAutoHyphens/>
      <w:spacing w:before="240" w:after="240" w:line="240" w:lineRule="auto"/>
      <w:ind w:left="578" w:hanging="578"/>
      <w:outlineLvl w:val="0"/>
    </w:pPr>
    <w:rPr>
      <w:rFonts w:eastAsia="PMingLiU" w:cstheme="minorHAnsi"/>
      <w:b/>
      <w:bCs/>
      <w:snapToGrid w:val="0"/>
      <w:lang w:val="cs-CZ" w:eastAsia="hu-HU"/>
    </w:rPr>
  </w:style>
  <w:style w:type="paragraph" w:styleId="Nadpis2">
    <w:name w:val="heading 2"/>
    <w:aliases w:val="Odstavec"/>
    <w:basedOn w:val="Normln"/>
    <w:next w:val="Normln"/>
    <w:link w:val="Nadpis2Char"/>
    <w:uiPriority w:val="9"/>
    <w:qFormat/>
    <w:rsid w:val="008F4554"/>
    <w:pPr>
      <w:keepNext/>
      <w:widowControl w:val="0"/>
      <w:numPr>
        <w:ilvl w:val="1"/>
        <w:numId w:val="1"/>
      </w:numPr>
      <w:spacing w:before="120" w:after="120" w:line="320" w:lineRule="exact"/>
      <w:ind w:left="578" w:hanging="578"/>
      <w:jc w:val="both"/>
      <w:outlineLvl w:val="1"/>
    </w:pPr>
    <w:rPr>
      <w:rFonts w:eastAsia="Times New Roman" w:cs="Times New Roman"/>
      <w:bCs/>
      <w:snapToGrid w:val="0"/>
      <w:color w:val="000000"/>
      <w:lang w:eastAsia="hu-HU"/>
    </w:rPr>
  </w:style>
  <w:style w:type="paragraph" w:styleId="Nadpis3">
    <w:name w:val="heading 3"/>
    <w:basedOn w:val="Nadpis2"/>
    <w:next w:val="Normln"/>
    <w:link w:val="Nadpis3Char"/>
    <w:uiPriority w:val="9"/>
    <w:unhideWhenUsed/>
    <w:qFormat/>
    <w:rsid w:val="00EF1AB5"/>
    <w:pPr>
      <w:numPr>
        <w:ilvl w:val="2"/>
      </w:numPr>
      <w:ind w:left="1418" w:hanging="851"/>
      <w:outlineLvl w:val="2"/>
    </w:pPr>
    <w:rPr>
      <w:lang w:val="cs-CZ"/>
    </w:rPr>
  </w:style>
  <w:style w:type="paragraph" w:styleId="Nadpis4">
    <w:name w:val="heading 4"/>
    <w:basedOn w:val="Normln"/>
    <w:next w:val="Normln"/>
    <w:link w:val="Nadpis4Char"/>
    <w:uiPriority w:val="9"/>
    <w:semiHidden/>
    <w:unhideWhenUsed/>
    <w:rsid w:val="00717FAA"/>
    <w:pPr>
      <w:keepNext/>
      <w:keepLines/>
      <w:spacing w:before="40" w:after="0"/>
      <w:ind w:left="864" w:hanging="864"/>
      <w:jc w:val="both"/>
      <w:outlineLvl w:val="3"/>
    </w:pPr>
    <w:rPr>
      <w:rFonts w:asciiTheme="majorHAnsi" w:eastAsiaTheme="majorEastAsia" w:hAnsiTheme="majorHAnsi" w:cstheme="majorBidi"/>
      <w:i/>
      <w:iCs/>
      <w:color w:val="2F5496" w:themeColor="accent1" w:themeShade="BF"/>
      <w:kern w:val="2"/>
      <w:lang w:val="cs-CZ"/>
      <w14:ligatures w14:val="standardContextual"/>
    </w:rPr>
  </w:style>
  <w:style w:type="paragraph" w:styleId="Nadpis5">
    <w:name w:val="heading 5"/>
    <w:basedOn w:val="Normln"/>
    <w:next w:val="Normln"/>
    <w:link w:val="Nadpis5Char"/>
    <w:uiPriority w:val="9"/>
    <w:unhideWhenUsed/>
    <w:qFormat/>
    <w:rsid w:val="003866E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3866E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3866E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3866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3866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basedOn w:val="Standardnpsmoodstavce"/>
    <w:link w:val="Nadpis1"/>
    <w:uiPriority w:val="9"/>
    <w:rsid w:val="00F615FD"/>
    <w:rPr>
      <w:rFonts w:eastAsia="PMingLiU" w:cstheme="minorHAnsi"/>
      <w:b/>
      <w:bCs/>
      <w:snapToGrid w:val="0"/>
      <w:kern w:val="0"/>
      <w:lang w:eastAsia="hu-HU"/>
      <w14:ligatures w14:val="none"/>
    </w:rPr>
  </w:style>
  <w:style w:type="character" w:customStyle="1" w:styleId="Nadpis2Char">
    <w:name w:val="Nadpis 2 Char"/>
    <w:aliases w:val="Odstavec Char"/>
    <w:basedOn w:val="Standardnpsmoodstavce"/>
    <w:link w:val="Nadpis2"/>
    <w:uiPriority w:val="9"/>
    <w:rsid w:val="008F4554"/>
    <w:rPr>
      <w:rFonts w:eastAsia="Times New Roman" w:cs="Times New Roman"/>
      <w:bCs/>
      <w:snapToGrid w:val="0"/>
      <w:color w:val="000000"/>
      <w:kern w:val="0"/>
      <w:lang w:val="en-GB" w:eastAsia="hu-HU"/>
      <w14:ligatures w14:val="none"/>
    </w:rPr>
  </w:style>
  <w:style w:type="character" w:customStyle="1" w:styleId="Nadpis3Char">
    <w:name w:val="Nadpis 3 Char"/>
    <w:basedOn w:val="Standardnpsmoodstavce"/>
    <w:link w:val="Nadpis3"/>
    <w:uiPriority w:val="9"/>
    <w:rsid w:val="00EF1AB5"/>
    <w:rPr>
      <w:rFonts w:eastAsia="Times New Roman" w:cs="Times New Roman"/>
      <w:bCs/>
      <w:snapToGrid w:val="0"/>
      <w:color w:val="000000"/>
      <w:kern w:val="0"/>
      <w:lang w:eastAsia="hu-HU"/>
      <w14:ligatures w14:val="none"/>
    </w:rPr>
  </w:style>
  <w:style w:type="character" w:customStyle="1" w:styleId="Nadpis5Char">
    <w:name w:val="Nadpis 5 Char"/>
    <w:basedOn w:val="Standardnpsmoodstavce"/>
    <w:link w:val="Nadpis5"/>
    <w:rsid w:val="003866ED"/>
    <w:rPr>
      <w:rFonts w:asciiTheme="majorHAnsi" w:eastAsiaTheme="majorEastAsia" w:hAnsiTheme="majorHAnsi" w:cstheme="majorBidi"/>
      <w:color w:val="2F5496" w:themeColor="accent1" w:themeShade="BF"/>
      <w:kern w:val="0"/>
      <w:lang w:val="en-GB"/>
      <w14:ligatures w14:val="none"/>
    </w:rPr>
  </w:style>
  <w:style w:type="character" w:customStyle="1" w:styleId="Nadpis6Char">
    <w:name w:val="Nadpis 6 Char"/>
    <w:basedOn w:val="Standardnpsmoodstavce"/>
    <w:link w:val="Nadpis6"/>
    <w:rsid w:val="003866ED"/>
    <w:rPr>
      <w:rFonts w:asciiTheme="majorHAnsi" w:eastAsiaTheme="majorEastAsia" w:hAnsiTheme="majorHAnsi" w:cstheme="majorBidi"/>
      <w:color w:val="1F3763" w:themeColor="accent1" w:themeShade="7F"/>
      <w:kern w:val="0"/>
      <w:lang w:val="en-GB"/>
      <w14:ligatures w14:val="none"/>
    </w:rPr>
  </w:style>
  <w:style w:type="character" w:customStyle="1" w:styleId="Nadpis7Char">
    <w:name w:val="Nadpis 7 Char"/>
    <w:basedOn w:val="Standardnpsmoodstavce"/>
    <w:link w:val="Nadpis7"/>
    <w:rsid w:val="003866ED"/>
    <w:rPr>
      <w:rFonts w:asciiTheme="majorHAnsi" w:eastAsiaTheme="majorEastAsia" w:hAnsiTheme="majorHAnsi" w:cstheme="majorBidi"/>
      <w:i/>
      <w:iCs/>
      <w:color w:val="1F3763" w:themeColor="accent1" w:themeShade="7F"/>
      <w:kern w:val="0"/>
      <w:lang w:val="en-GB"/>
      <w14:ligatures w14:val="none"/>
    </w:rPr>
  </w:style>
  <w:style w:type="character" w:customStyle="1" w:styleId="Nadpis8Char">
    <w:name w:val="Nadpis 8 Char"/>
    <w:basedOn w:val="Standardnpsmoodstavce"/>
    <w:link w:val="Nadpis8"/>
    <w:uiPriority w:val="9"/>
    <w:rsid w:val="003866ED"/>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Nadpis9Char">
    <w:name w:val="Nadpis 9 Char"/>
    <w:basedOn w:val="Standardnpsmoodstavce"/>
    <w:link w:val="Nadpis9"/>
    <w:uiPriority w:val="9"/>
    <w:rsid w:val="003866ED"/>
    <w:rPr>
      <w:rFonts w:asciiTheme="majorHAnsi" w:eastAsiaTheme="majorEastAsia" w:hAnsiTheme="majorHAnsi" w:cstheme="majorBidi"/>
      <w:i/>
      <w:iCs/>
      <w:color w:val="272727" w:themeColor="text1" w:themeTint="D8"/>
      <w:kern w:val="0"/>
      <w:sz w:val="21"/>
      <w:szCs w:val="21"/>
      <w:lang w:val="en-GB"/>
      <w14:ligatures w14:val="none"/>
    </w:rPr>
  </w:style>
  <w:style w:type="numbering" w:customStyle="1" w:styleId="Styl1">
    <w:name w:val="Styl1"/>
    <w:uiPriority w:val="99"/>
    <w:rsid w:val="003866ED"/>
    <w:pPr>
      <w:numPr>
        <w:numId w:val="3"/>
      </w:numPr>
    </w:pPr>
  </w:style>
  <w:style w:type="paragraph" w:styleId="Odstavecseseznamem">
    <w:name w:val="List Paragraph"/>
    <w:basedOn w:val="Normln"/>
    <w:uiPriority w:val="34"/>
    <w:qFormat/>
    <w:rsid w:val="00B05D43"/>
    <w:pPr>
      <w:ind w:left="720"/>
      <w:contextualSpacing/>
    </w:pPr>
  </w:style>
  <w:style w:type="character" w:styleId="Odkaznakoment">
    <w:name w:val="annotation reference"/>
    <w:basedOn w:val="Standardnpsmoodstavce"/>
    <w:uiPriority w:val="99"/>
    <w:semiHidden/>
    <w:unhideWhenUsed/>
    <w:rsid w:val="00A1786C"/>
    <w:rPr>
      <w:sz w:val="16"/>
      <w:szCs w:val="16"/>
    </w:rPr>
  </w:style>
  <w:style w:type="paragraph" w:styleId="Textkomente">
    <w:name w:val="annotation text"/>
    <w:basedOn w:val="Normln"/>
    <w:link w:val="TextkomenteChar"/>
    <w:uiPriority w:val="99"/>
    <w:unhideWhenUsed/>
    <w:rsid w:val="00A1786C"/>
    <w:pPr>
      <w:spacing w:line="240" w:lineRule="auto"/>
    </w:pPr>
    <w:rPr>
      <w:sz w:val="20"/>
      <w:szCs w:val="20"/>
    </w:rPr>
  </w:style>
  <w:style w:type="character" w:customStyle="1" w:styleId="TextkomenteChar">
    <w:name w:val="Text komentáře Char"/>
    <w:basedOn w:val="Standardnpsmoodstavce"/>
    <w:link w:val="Textkomente"/>
    <w:uiPriority w:val="99"/>
    <w:rsid w:val="00A1786C"/>
    <w:rPr>
      <w:kern w:val="0"/>
      <w:sz w:val="20"/>
      <w:szCs w:val="20"/>
      <w:lang w:val="en-GB"/>
      <w14:ligatures w14:val="none"/>
    </w:rPr>
  </w:style>
  <w:style w:type="paragraph" w:styleId="Pedmtkomente">
    <w:name w:val="annotation subject"/>
    <w:basedOn w:val="Textkomente"/>
    <w:next w:val="Textkomente"/>
    <w:link w:val="PedmtkomenteChar"/>
    <w:uiPriority w:val="99"/>
    <w:semiHidden/>
    <w:unhideWhenUsed/>
    <w:rsid w:val="00A1786C"/>
    <w:rPr>
      <w:b/>
      <w:bCs/>
    </w:rPr>
  </w:style>
  <w:style w:type="character" w:customStyle="1" w:styleId="PedmtkomenteChar">
    <w:name w:val="Předmět komentáře Char"/>
    <w:basedOn w:val="TextkomenteChar"/>
    <w:link w:val="Pedmtkomente"/>
    <w:uiPriority w:val="99"/>
    <w:semiHidden/>
    <w:rsid w:val="00A1786C"/>
    <w:rPr>
      <w:b/>
      <w:bCs/>
      <w:kern w:val="0"/>
      <w:sz w:val="20"/>
      <w:szCs w:val="20"/>
      <w:lang w:val="en-GB"/>
      <w14:ligatures w14:val="none"/>
    </w:rPr>
  </w:style>
  <w:style w:type="paragraph" w:styleId="Zhlav">
    <w:name w:val="header"/>
    <w:basedOn w:val="Normln"/>
    <w:link w:val="ZhlavChar"/>
    <w:uiPriority w:val="99"/>
    <w:unhideWhenUsed/>
    <w:rsid w:val="004E4F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4F7F"/>
    <w:rPr>
      <w:kern w:val="0"/>
      <w:lang w:val="en-GB"/>
      <w14:ligatures w14:val="none"/>
    </w:rPr>
  </w:style>
  <w:style w:type="paragraph" w:styleId="Zpat">
    <w:name w:val="footer"/>
    <w:basedOn w:val="Normln"/>
    <w:link w:val="ZpatChar"/>
    <w:uiPriority w:val="99"/>
    <w:unhideWhenUsed/>
    <w:rsid w:val="004E4F7F"/>
    <w:pPr>
      <w:tabs>
        <w:tab w:val="center" w:pos="4536"/>
        <w:tab w:val="right" w:pos="9072"/>
      </w:tabs>
      <w:spacing w:after="0" w:line="240" w:lineRule="auto"/>
    </w:pPr>
  </w:style>
  <w:style w:type="character" w:customStyle="1" w:styleId="ZpatChar">
    <w:name w:val="Zápatí Char"/>
    <w:basedOn w:val="Standardnpsmoodstavce"/>
    <w:link w:val="Zpat"/>
    <w:uiPriority w:val="99"/>
    <w:rsid w:val="004E4F7F"/>
    <w:rPr>
      <w:kern w:val="0"/>
      <w:lang w:val="en-GB"/>
      <w14:ligatures w14:val="none"/>
    </w:rPr>
  </w:style>
  <w:style w:type="paragraph" w:styleId="Revize">
    <w:name w:val="Revision"/>
    <w:hidden/>
    <w:uiPriority w:val="99"/>
    <w:semiHidden/>
    <w:rsid w:val="00523930"/>
    <w:pPr>
      <w:spacing w:after="0" w:line="240" w:lineRule="auto"/>
    </w:pPr>
    <w:rPr>
      <w:kern w:val="0"/>
      <w:lang w:val="en-GB"/>
      <w14:ligatures w14:val="none"/>
    </w:rPr>
  </w:style>
  <w:style w:type="character" w:customStyle="1" w:styleId="Nadpis4Char">
    <w:name w:val="Nadpis 4 Char"/>
    <w:basedOn w:val="Standardnpsmoodstavce"/>
    <w:link w:val="Nadpis4"/>
    <w:uiPriority w:val="9"/>
    <w:semiHidden/>
    <w:rsid w:val="00717FA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D81BB-63AF-4178-9D84-76D5DCEB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5F78D-1BFD-4FFA-82B1-A99E1857F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1078</Words>
  <Characters>6364</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Bárta</dc:creator>
  <cp:keywords/>
  <dc:description/>
  <cp:lastModifiedBy>Macáková Lenka</cp:lastModifiedBy>
  <cp:revision>5</cp:revision>
  <cp:lastPrinted>2024-01-25T08:53:00Z</cp:lastPrinted>
  <dcterms:created xsi:type="dcterms:W3CDTF">2024-01-25T08:50:00Z</dcterms:created>
  <dcterms:modified xsi:type="dcterms:W3CDTF">2024-01-25T08:59:00Z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198df0bcacdf55e3a7a697422f27666d67ee808cd08f0db954b1bd6b1bc6cc28</vt:lpwstr>
  </property>
</Properties>
</file>