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CD5F9" w14:textId="77777777" w:rsidR="00454A2E" w:rsidRDefault="00722B34">
      <w:pPr>
        <w:spacing w:after="0"/>
        <w:ind w:left="0" w:right="106" w:firstLine="0"/>
        <w:jc w:val="right"/>
      </w:pPr>
      <w:r>
        <w:rPr>
          <w:sz w:val="42"/>
        </w:rPr>
        <w:t>4</w:t>
      </w:r>
    </w:p>
    <w:tbl>
      <w:tblPr>
        <w:tblStyle w:val="TableGrid"/>
        <w:tblW w:w="2354" w:type="dxa"/>
        <w:tblInd w:w="7430" w:type="dxa"/>
        <w:tblCellMar>
          <w:top w:w="0" w:type="dxa"/>
          <w:left w:w="140" w:type="dxa"/>
          <w:bottom w:w="75" w:type="dxa"/>
          <w:right w:w="96" w:type="dxa"/>
        </w:tblCellMar>
        <w:tblLook w:val="04A0" w:firstRow="1" w:lastRow="0" w:firstColumn="1" w:lastColumn="0" w:noHBand="0" w:noVBand="1"/>
      </w:tblPr>
      <w:tblGrid>
        <w:gridCol w:w="2354"/>
      </w:tblGrid>
      <w:tr w:rsidR="00454A2E" w14:paraId="578C0F7F" w14:textId="77777777">
        <w:trPr>
          <w:trHeight w:val="533"/>
        </w:trPr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B98E11" w14:textId="77777777" w:rsidR="00454A2E" w:rsidRDefault="00722B34">
            <w:pPr>
              <w:spacing w:after="0"/>
              <w:ind w:left="0" w:right="0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ak.číslo</w:t>
            </w:r>
            <w:proofErr w:type="spellEnd"/>
            <w:proofErr w:type="gramEnd"/>
            <w:r>
              <w:rPr>
                <w:sz w:val="26"/>
              </w:rPr>
              <w:t xml:space="preserve"> .</w:t>
            </w:r>
            <w:r>
              <w:rPr>
                <w:noProof/>
              </w:rPr>
              <w:drawing>
                <wp:inline distT="0" distB="0" distL="0" distR="0" wp14:anchorId="66B2B570" wp14:editId="70E7768E">
                  <wp:extent cx="774296" cy="231670"/>
                  <wp:effectExtent l="0" t="0" r="0" b="0"/>
                  <wp:docPr id="1733" name="Picture 1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" name="Picture 17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296" cy="231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3B5580" w14:textId="77777777" w:rsidR="00454A2E" w:rsidRDefault="00722B34">
      <w:pPr>
        <w:pStyle w:val="Nadpis1"/>
      </w:pPr>
      <w:r>
        <w:t>SMLOUVA</w:t>
      </w:r>
    </w:p>
    <w:p w14:paraId="064BEB97" w14:textId="77777777" w:rsidR="00454A2E" w:rsidRDefault="00722B34">
      <w:pPr>
        <w:spacing w:after="121"/>
        <w:ind w:left="1412" w:right="14" w:hanging="1042"/>
      </w:pPr>
      <w:r>
        <w:t xml:space="preserve">o napojení elektrické požární signalizace na radiotelefonní monitorovací pult NAM PCO NET-G provozovaný společností PATROL </w:t>
      </w:r>
      <w:proofErr w:type="spellStart"/>
      <w:r>
        <w:t>group</w:t>
      </w:r>
      <w:proofErr w:type="spellEnd"/>
      <w:r>
        <w:t xml:space="preserve"> s.r.o. na krajském operačním informačním středisku Hasičského záchranného sboru Jihomoravského kraje.</w:t>
      </w:r>
    </w:p>
    <w:p w14:paraId="2999BC66" w14:textId="77777777" w:rsidR="00454A2E" w:rsidRDefault="00722B34">
      <w:pPr>
        <w:spacing w:after="499"/>
        <w:ind w:left="614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ABC22DD" wp14:editId="1E926D1A">
                <wp:extent cx="5295087" cy="27435"/>
                <wp:effectExtent l="0" t="0" r="0" b="0"/>
                <wp:docPr id="26588" name="Group 26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5087" cy="27435"/>
                          <a:chOff x="0" y="0"/>
                          <a:chExt cx="5295087" cy="27435"/>
                        </a:xfrm>
                      </wpg:grpSpPr>
                      <wps:wsp>
                        <wps:cNvPr id="26587" name="Shape 26587"/>
                        <wps:cNvSpPr/>
                        <wps:spPr>
                          <a:xfrm>
                            <a:off x="0" y="0"/>
                            <a:ext cx="5295087" cy="27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5087" h="27435">
                                <a:moveTo>
                                  <a:pt x="0" y="13717"/>
                                </a:moveTo>
                                <a:lnTo>
                                  <a:pt x="5295087" y="13717"/>
                                </a:lnTo>
                              </a:path>
                            </a:pathLst>
                          </a:custGeom>
                          <a:ln w="274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88" style="width:416.936pt;height:2.1602pt;mso-position-horizontal-relative:char;mso-position-vertical-relative:line" coordsize="52950,274">
                <v:shape id="Shape 26587" style="position:absolute;width:52950;height:274;left:0;top:0;" coordsize="5295087,27435" path="m0,13717l5295087,13717">
                  <v:stroke weight="2.16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8483" w:type="dxa"/>
        <w:tblInd w:w="32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37"/>
        <w:gridCol w:w="6846"/>
      </w:tblGrid>
      <w:tr w:rsidR="00454A2E" w14:paraId="1D1CB5BE" w14:textId="77777777">
        <w:trPr>
          <w:trHeight w:val="1259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14:paraId="09DD65E8" w14:textId="77777777" w:rsidR="00454A2E" w:rsidRDefault="00722B34">
            <w:pPr>
              <w:spacing w:after="0"/>
              <w:ind w:left="10" w:right="0" w:firstLine="0"/>
              <w:jc w:val="left"/>
            </w:pPr>
            <w:r>
              <w:rPr>
                <w:sz w:val="26"/>
              </w:rPr>
              <w:t>Objednatel: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</w:tcPr>
          <w:p w14:paraId="0D9B2863" w14:textId="77777777" w:rsidR="00454A2E" w:rsidRDefault="00722B34">
            <w:pPr>
              <w:spacing w:after="270" w:line="232" w:lineRule="auto"/>
              <w:ind w:left="53" w:right="346" w:hanging="53"/>
            </w:pPr>
            <w:r>
              <w:rPr>
                <w:sz w:val="24"/>
              </w:rPr>
              <w:t>Muzeum romské kultury, státní příspěvková organizace Bratislavská 67, 602 00 Brno</w:t>
            </w:r>
          </w:p>
          <w:p w14:paraId="14690CCC" w14:textId="77777777" w:rsidR="00454A2E" w:rsidRDefault="00722B34">
            <w:pPr>
              <w:spacing w:after="0"/>
              <w:ind w:left="504" w:right="1858" w:firstLine="0"/>
              <w:jc w:val="left"/>
            </w:pPr>
            <w:proofErr w:type="spellStart"/>
            <w:r>
              <w:t>lč</w:t>
            </w:r>
            <w:proofErr w:type="spellEnd"/>
            <w:r>
              <w:t>: 71239812</w:t>
            </w:r>
            <w:r>
              <w:tab/>
              <w:t>DIČ: CZ71239812 zastoupená</w:t>
            </w:r>
          </w:p>
        </w:tc>
      </w:tr>
      <w:tr w:rsidR="00454A2E" w14:paraId="73CBDA39" w14:textId="77777777">
        <w:trPr>
          <w:trHeight w:val="881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14:paraId="7175065F" w14:textId="77777777" w:rsidR="00454A2E" w:rsidRDefault="00722B34">
            <w:pPr>
              <w:spacing w:after="0"/>
              <w:ind w:left="5" w:right="0" w:firstLine="0"/>
              <w:jc w:val="left"/>
            </w:pPr>
            <w:proofErr w:type="gramStart"/>
            <w:r>
              <w:rPr>
                <w:sz w:val="26"/>
              </w:rPr>
              <w:t>Dodavatel :</w:t>
            </w:r>
            <w:proofErr w:type="gramEnd"/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</w:tcPr>
          <w:p w14:paraId="31826E3D" w14:textId="77777777" w:rsidR="00454A2E" w:rsidRDefault="00722B34">
            <w:pPr>
              <w:spacing w:after="0"/>
              <w:ind w:left="557" w:right="0" w:hanging="418"/>
            </w:pPr>
            <w:r>
              <w:t xml:space="preserve">PATROL </w:t>
            </w:r>
            <w:proofErr w:type="spellStart"/>
            <w:r>
              <w:t>group</w:t>
            </w:r>
            <w:proofErr w:type="spellEnd"/>
            <w:r>
              <w:t xml:space="preserve"> </w:t>
            </w:r>
            <w:proofErr w:type="gramStart"/>
            <w:r>
              <w:t>s.r.o. ,</w:t>
            </w:r>
            <w:proofErr w:type="gramEnd"/>
            <w:r>
              <w:t xml:space="preserve"> Romana Havelky 4957/5b , 586 Ol JIHLAVA </w:t>
            </w:r>
            <w:proofErr w:type="spellStart"/>
            <w:r>
              <w:t>lč</w:t>
            </w:r>
            <w:proofErr w:type="spellEnd"/>
            <w:r>
              <w:t xml:space="preserve">: 46981233 DIČ: CZ46981233 </w:t>
            </w:r>
            <w:proofErr w:type="spellStart"/>
            <w:r>
              <w:t>zastupená</w:t>
            </w:r>
            <w:proofErr w:type="spellEnd"/>
            <w:r>
              <w:t xml:space="preserve"> ředitelem společnost</w:t>
            </w:r>
            <w:r>
              <w:t>i Ing. Pavlem Volencem</w:t>
            </w:r>
          </w:p>
        </w:tc>
      </w:tr>
      <w:tr w:rsidR="00454A2E" w14:paraId="1D42F9AB" w14:textId="77777777">
        <w:trPr>
          <w:trHeight w:val="347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FA228" w14:textId="77777777" w:rsidR="00454A2E" w:rsidRDefault="00722B34">
            <w:pPr>
              <w:spacing w:after="0"/>
              <w:ind w:left="0" w:right="0" w:firstLine="0"/>
              <w:jc w:val="left"/>
            </w:pPr>
            <w:r>
              <w:rPr>
                <w:sz w:val="26"/>
              </w:rPr>
              <w:t>Místo určení: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7CD6A3" w14:textId="77777777" w:rsidR="00454A2E" w:rsidRDefault="00722B34">
            <w:pPr>
              <w:spacing w:after="0"/>
              <w:ind w:left="144" w:right="0" w:firstLine="0"/>
              <w:jc w:val="left"/>
            </w:pPr>
            <w:r>
              <w:rPr>
                <w:sz w:val="24"/>
              </w:rPr>
              <w:t>Bratislavská 67, Brno 602 00</w:t>
            </w:r>
          </w:p>
        </w:tc>
      </w:tr>
    </w:tbl>
    <w:p w14:paraId="2D70CF6B" w14:textId="77777777" w:rsidR="00454A2E" w:rsidRDefault="00722B34">
      <w:pPr>
        <w:spacing w:after="403"/>
        <w:ind w:left="1982" w:right="494" w:hanging="169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27038D0" wp14:editId="56407082">
            <wp:simplePos x="0" y="0"/>
            <wp:positionH relativeFrom="page">
              <wp:posOffset>365809</wp:posOffset>
            </wp:positionH>
            <wp:positionV relativeFrom="page">
              <wp:posOffset>182897</wp:posOffset>
            </wp:positionV>
            <wp:extent cx="140227" cy="576127"/>
            <wp:effectExtent l="0" t="0" r="0" b="0"/>
            <wp:wrapSquare wrapText="bothSides"/>
            <wp:docPr id="1765" name="Picture 17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" name="Picture 176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227" cy="576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Předmět </w:t>
      </w:r>
      <w:proofErr w:type="gramStart"/>
      <w:r>
        <w:t>plnění :</w:t>
      </w:r>
      <w:proofErr w:type="gramEnd"/>
      <w:r>
        <w:t xml:space="preserve"> napojení elektrické požární signalizace na </w:t>
      </w:r>
      <w:proofErr w:type="spellStart"/>
      <w:r>
        <w:t>rádiotelefonní</w:t>
      </w:r>
      <w:proofErr w:type="spellEnd"/>
      <w:r>
        <w:t xml:space="preserve"> pult centralizované ochrany hasičského záchranného sboru Jihomoravského kraje - krajské operační informační středisko Brno</w:t>
      </w:r>
    </w:p>
    <w:p w14:paraId="5BD1FB7C" w14:textId="77777777" w:rsidR="00454A2E" w:rsidRDefault="00722B34">
      <w:pPr>
        <w:spacing w:after="187"/>
        <w:ind w:left="576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1290944" wp14:editId="1E55279C">
                <wp:extent cx="5325571" cy="27435"/>
                <wp:effectExtent l="0" t="0" r="0" b="0"/>
                <wp:docPr id="26590" name="Group 26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5571" cy="27435"/>
                          <a:chOff x="0" y="0"/>
                          <a:chExt cx="5325571" cy="27435"/>
                        </a:xfrm>
                      </wpg:grpSpPr>
                      <wps:wsp>
                        <wps:cNvPr id="26589" name="Shape 26589"/>
                        <wps:cNvSpPr/>
                        <wps:spPr>
                          <a:xfrm>
                            <a:off x="0" y="0"/>
                            <a:ext cx="5325571" cy="27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5571" h="27435">
                                <a:moveTo>
                                  <a:pt x="0" y="13717"/>
                                </a:moveTo>
                                <a:lnTo>
                                  <a:pt x="5325571" y="13717"/>
                                </a:lnTo>
                              </a:path>
                            </a:pathLst>
                          </a:custGeom>
                          <a:ln w="274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90" style="width:419.336pt;height:2.16022pt;mso-position-horizontal-relative:char;mso-position-vertical-relative:line" coordsize="53255,274">
                <v:shape id="Shape 26589" style="position:absolute;width:53255;height:274;left:0;top:0;" coordsize="5325571,27435" path="m0,13717l5325571,13717">
                  <v:stroke weight="2.160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1A9A60E" w14:textId="77777777" w:rsidR="00454A2E" w:rsidRDefault="00722B34">
      <w:pPr>
        <w:spacing w:after="0"/>
        <w:ind w:left="293" w:right="0"/>
        <w:jc w:val="center"/>
      </w:pPr>
      <w:r>
        <w:rPr>
          <w:sz w:val="26"/>
        </w:rPr>
        <w:t>1.</w:t>
      </w:r>
    </w:p>
    <w:p w14:paraId="0454310B" w14:textId="77777777" w:rsidR="00454A2E" w:rsidRDefault="00722B34">
      <w:pPr>
        <w:pStyle w:val="Nadpis2"/>
        <w:spacing w:after="418"/>
      </w:pPr>
      <w:r>
        <w:t>Předmět smlouvy</w:t>
      </w:r>
    </w:p>
    <w:p w14:paraId="2CEA3130" w14:textId="77777777" w:rsidR="00454A2E" w:rsidRDefault="00722B34">
      <w:pPr>
        <w:spacing w:after="554"/>
        <w:ind w:left="283" w:right="14" w:firstLine="278"/>
      </w:pPr>
      <w:r>
        <w:t>Předmět smlouvy je stanovení podmínek a úprava vztahů vznikajících mezi objednavatelem služby (dále jen objednavatel) a dodavatelem služby (dále jen dodavatel) napojením elektrické požární signalizace (EPS) vybudované v objektu uvedeném v záhlaví této smlo</w:t>
      </w:r>
      <w:r>
        <w:t xml:space="preserve">uvy — místo určení — na </w:t>
      </w:r>
      <w:proofErr w:type="spellStart"/>
      <w:r>
        <w:t>rádiotelefonní</w:t>
      </w:r>
      <w:proofErr w:type="spellEnd"/>
      <w:r>
        <w:t xml:space="preserve"> pult centralizované ochrany (RPCO</w:t>
      </w:r>
      <w:proofErr w:type="gramStart"/>
      <w:r>
        <w:t>) ,</w:t>
      </w:r>
      <w:proofErr w:type="gramEnd"/>
      <w:r>
        <w:t xml:space="preserve"> který provozuje dodavatel na krajském operačním informačním středisku (KOPIS) HZS </w:t>
      </w:r>
      <w:proofErr w:type="spellStart"/>
      <w:r>
        <w:t>JmK</w:t>
      </w:r>
      <w:proofErr w:type="spellEnd"/>
      <w:r>
        <w:t xml:space="preserve"> v Brně.</w:t>
      </w:r>
    </w:p>
    <w:p w14:paraId="2F6DCF23" w14:textId="77777777" w:rsidR="00454A2E" w:rsidRDefault="00722B34">
      <w:pPr>
        <w:spacing w:after="26"/>
        <w:ind w:left="259" w:right="0" w:firstLine="0"/>
        <w:jc w:val="center"/>
      </w:pPr>
      <w:r>
        <w:rPr>
          <w:sz w:val="24"/>
        </w:rPr>
        <w:t>11.</w:t>
      </w:r>
    </w:p>
    <w:p w14:paraId="22B03D3F" w14:textId="77777777" w:rsidR="00454A2E" w:rsidRDefault="00722B34">
      <w:pPr>
        <w:pStyle w:val="Nadpis2"/>
        <w:spacing w:after="108"/>
        <w:ind w:right="24"/>
      </w:pPr>
      <w:r>
        <w:t>Místo plnění</w:t>
      </w:r>
    </w:p>
    <w:p w14:paraId="5E2A50F5" w14:textId="77777777" w:rsidR="00454A2E" w:rsidRDefault="00722B34">
      <w:pPr>
        <w:spacing w:after="299"/>
        <w:ind w:left="283" w:right="14" w:firstLine="427"/>
      </w:pPr>
      <w:r>
        <w:t xml:space="preserve">Místem plnění předmětu této smlouvy je objekt: Muzeum romské kultury </w:t>
      </w:r>
      <w:r>
        <w:t xml:space="preserve">(dále jen </w:t>
      </w:r>
      <w:proofErr w:type="gramStart"/>
      <w:r>
        <w:t>„ objekt</w:t>
      </w:r>
      <w:proofErr w:type="gramEnd"/>
      <w:r>
        <w:t xml:space="preserve"> 'G) </w:t>
      </w:r>
      <w:r>
        <w:rPr>
          <w:noProof/>
        </w:rPr>
        <w:drawing>
          <wp:inline distT="0" distB="0" distL="0" distR="0" wp14:anchorId="43DD3E1A" wp14:editId="19A433CB">
            <wp:extent cx="24388" cy="39627"/>
            <wp:effectExtent l="0" t="0" r="0" b="0"/>
            <wp:docPr id="1734" name="Picture 1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" name="Picture 173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88" cy="39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kde se nachází ústředna EPS , na straně jedné a KOPIS HZS , kde se nachází vyhodnocovací část ZPPP (zařízení pro přenos požárního poplachu) , na straně druhé. Podmínkou plnění předmětu této smlouvy mezi oběma místy je zajištění bezp</w:t>
      </w:r>
      <w:r>
        <w:t>oruchového a správného přenosu informací rádiovou sítí dodavatele.</w:t>
      </w:r>
    </w:p>
    <w:p w14:paraId="1870B441" w14:textId="77777777" w:rsidR="00454A2E" w:rsidRDefault="00722B34">
      <w:pPr>
        <w:spacing w:after="51"/>
        <w:ind w:left="235" w:right="0" w:firstLine="0"/>
        <w:jc w:val="center"/>
      </w:pPr>
      <w:r>
        <w:t>111.</w:t>
      </w:r>
    </w:p>
    <w:p w14:paraId="36BFCEA5" w14:textId="77777777" w:rsidR="00454A2E" w:rsidRDefault="00722B34">
      <w:pPr>
        <w:pStyle w:val="Nadpis2"/>
        <w:spacing w:after="291"/>
        <w:ind w:right="38"/>
      </w:pPr>
      <w:r>
        <w:t>Smluvní podmínky</w:t>
      </w:r>
    </w:p>
    <w:p w14:paraId="77677025" w14:textId="77777777" w:rsidR="00454A2E" w:rsidRDefault="00722B34">
      <w:pPr>
        <w:numPr>
          <w:ilvl w:val="0"/>
          <w:numId w:val="1"/>
        </w:numPr>
        <w:spacing w:after="86"/>
        <w:ind w:right="14" w:hanging="360"/>
      </w:pPr>
      <w:r>
        <w:t>Napojení bude provedeno rádiovým způsobem</w:t>
      </w:r>
    </w:p>
    <w:p w14:paraId="56464456" w14:textId="77777777" w:rsidR="00454A2E" w:rsidRDefault="00722B34">
      <w:pPr>
        <w:numPr>
          <w:ilvl w:val="0"/>
          <w:numId w:val="1"/>
        </w:numPr>
        <w:ind w:right="14" w:hanging="360"/>
      </w:pPr>
      <w:r>
        <w:t xml:space="preserve">Doba zkušebního provozu se stanovuje na jeden měsíc. Podmínkou k ukončení zkušebního provozu zařízení je vydání souhlasu HZS </w:t>
      </w:r>
      <w:r>
        <w:t xml:space="preserve">k zahájení trvalého provozu a sepsání smlouvy mezi objednatelem a </w:t>
      </w:r>
      <w:proofErr w:type="spellStart"/>
      <w:r>
        <w:t>ředitestvím</w:t>
      </w:r>
      <w:proofErr w:type="spellEnd"/>
      <w:r>
        <w:t xml:space="preserve"> HZS Jihomoravského kraje</w:t>
      </w:r>
    </w:p>
    <w:p w14:paraId="60B86BAF" w14:textId="77777777" w:rsidR="00454A2E" w:rsidRDefault="00722B34">
      <w:pPr>
        <w:numPr>
          <w:ilvl w:val="0"/>
          <w:numId w:val="1"/>
        </w:numPr>
        <w:spacing w:after="77"/>
        <w:ind w:right="14" w:hanging="360"/>
      </w:pPr>
      <w:r>
        <w:lastRenderedPageBreak/>
        <w:t xml:space="preserve">Jedenkrát měsíčně provádí objednatel zkoušku funkčnosti propojeného </w:t>
      </w:r>
      <w:proofErr w:type="gramStart"/>
      <w:r>
        <w:t>systému .</w:t>
      </w:r>
      <w:proofErr w:type="gramEnd"/>
    </w:p>
    <w:p w14:paraId="1E080D9D" w14:textId="77777777" w:rsidR="00454A2E" w:rsidRDefault="00722B34">
      <w:pPr>
        <w:numPr>
          <w:ilvl w:val="0"/>
          <w:numId w:val="1"/>
        </w:numPr>
        <w:spacing w:after="110"/>
        <w:ind w:right="14" w:hanging="360"/>
      </w:pPr>
      <w:r>
        <w:t>Dodavatel nepřebírá hmotnou ani jinou odpovědnost za chráněný majetek objednatele včetně EPS v objektu.</w:t>
      </w:r>
    </w:p>
    <w:p w14:paraId="35FF0F3C" w14:textId="77777777" w:rsidR="00454A2E" w:rsidRDefault="00722B34">
      <w:pPr>
        <w:numPr>
          <w:ilvl w:val="0"/>
          <w:numId w:val="1"/>
        </w:numPr>
        <w:spacing w:after="117"/>
        <w:ind w:right="14" w:hanging="360"/>
      </w:pPr>
      <w:r>
        <w:t>Dodavatel nenese odpovědnost za požárem způsobené škody a ani za případné důsledky pro požární bezpečnost objektu, pokud informoval objednatele o poruše</w:t>
      </w:r>
      <w:r>
        <w:t xml:space="preserve"> EPS a PCO nebo pokud se obsluze dozorového pracoviště dodavatele nepodařilo i přes několikeré pokusy kontaktovat osoby uvedené v příloze č. I</w:t>
      </w:r>
    </w:p>
    <w:p w14:paraId="14F84A6A" w14:textId="77777777" w:rsidR="00454A2E" w:rsidRDefault="00722B34">
      <w:pPr>
        <w:numPr>
          <w:ilvl w:val="0"/>
          <w:numId w:val="1"/>
        </w:numPr>
        <w:spacing w:after="129"/>
        <w:ind w:right="14" w:hanging="360"/>
      </w:pPr>
      <w:r>
        <w:t>Dodavatel zodpovídá za vady a škody způsobené vlastní obsluhou, opravou nebo údržbou, prováděnou v rozporu s prov</w:t>
      </w:r>
      <w:r>
        <w:t>ozními předpisy nebo návody k obsluze a za výkon činnosti prováděný jinou právnickou osobou jménem dodavatele. Pro případ takto vzniklé škody má dodavatel uzavřenou pojistnou smlouvu.</w:t>
      </w:r>
    </w:p>
    <w:p w14:paraId="144B8147" w14:textId="77777777" w:rsidR="00454A2E" w:rsidRDefault="00722B34">
      <w:pPr>
        <w:numPr>
          <w:ilvl w:val="0"/>
          <w:numId w:val="1"/>
        </w:numPr>
        <w:spacing w:after="93"/>
        <w:ind w:right="14" w:hanging="360"/>
      </w:pPr>
      <w:r>
        <w:t xml:space="preserve">Objednatel plně hradí škody způsobené neodborným zásahem do propojeného </w:t>
      </w:r>
      <w:r>
        <w:t>systému.</w:t>
      </w:r>
    </w:p>
    <w:p w14:paraId="2FAB402F" w14:textId="77777777" w:rsidR="00454A2E" w:rsidRDefault="00722B34">
      <w:pPr>
        <w:numPr>
          <w:ilvl w:val="0"/>
          <w:numId w:val="1"/>
        </w:numPr>
        <w:spacing w:after="91"/>
        <w:ind w:right="14" w:hanging="360"/>
      </w:pPr>
      <w:r>
        <w:t>Odpovědnost za ostatní škody se řídí příslušnými právními předpisy.</w:t>
      </w:r>
    </w:p>
    <w:p w14:paraId="57CA182D" w14:textId="77777777" w:rsidR="00454A2E" w:rsidRDefault="00722B34">
      <w:pPr>
        <w:numPr>
          <w:ilvl w:val="0"/>
          <w:numId w:val="1"/>
        </w:numPr>
        <w:ind w:right="14" w:hanging="360"/>
      </w:pPr>
      <w:r>
        <w:t>Smluvní strany určují pro vzájemný styk tyto odpovědně osoby:</w:t>
      </w:r>
    </w:p>
    <w:tbl>
      <w:tblPr>
        <w:tblStyle w:val="TableGrid"/>
        <w:tblW w:w="9001" w:type="dxa"/>
        <w:tblInd w:w="689" w:type="dxa"/>
        <w:tblCellMar>
          <w:top w:w="55" w:type="dxa"/>
          <w:left w:w="7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3156"/>
        <w:gridCol w:w="3185"/>
      </w:tblGrid>
      <w:tr w:rsidR="00454A2E" w14:paraId="3CAA72E1" w14:textId="77777777">
        <w:trPr>
          <w:trHeight w:val="264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E4CA9" w14:textId="77777777" w:rsidR="00454A2E" w:rsidRDefault="00722B34">
            <w:pPr>
              <w:spacing w:after="0"/>
              <w:ind w:left="2" w:right="0" w:firstLine="0"/>
              <w:jc w:val="left"/>
            </w:pPr>
            <w:proofErr w:type="spellStart"/>
            <w:r>
              <w:t>Ob'ednatel</w:t>
            </w:r>
            <w:proofErr w:type="spellEnd"/>
          </w:p>
        </w:tc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FF930" w14:textId="77777777" w:rsidR="00454A2E" w:rsidRDefault="00454A2E">
            <w:pPr>
              <w:spacing w:after="160"/>
              <w:ind w:left="0" w:right="0" w:firstLine="0"/>
              <w:jc w:val="left"/>
            </w:pPr>
          </w:p>
        </w:tc>
        <w:tc>
          <w:tcPr>
            <w:tcW w:w="3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781C7" w14:textId="77777777" w:rsidR="00454A2E" w:rsidRDefault="00722B34">
            <w:pPr>
              <w:spacing w:after="0"/>
              <w:ind w:left="0" w:right="0" w:firstLine="0"/>
              <w:jc w:val="left"/>
            </w:pPr>
            <w:r>
              <w:t>tel.:</w:t>
            </w:r>
          </w:p>
        </w:tc>
      </w:tr>
      <w:tr w:rsidR="00454A2E" w14:paraId="796114DC" w14:textId="77777777">
        <w:trPr>
          <w:trHeight w:val="265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5F56E" w14:textId="77777777" w:rsidR="00454A2E" w:rsidRDefault="00722B34">
            <w:pPr>
              <w:spacing w:after="0"/>
              <w:ind w:left="12" w:right="0" w:firstLine="0"/>
              <w:jc w:val="left"/>
            </w:pPr>
            <w:r>
              <w:t>HZS</w:t>
            </w:r>
          </w:p>
        </w:tc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5790A" w14:textId="77777777" w:rsidR="00454A2E" w:rsidRDefault="00722B34">
            <w:pPr>
              <w:spacing w:after="0"/>
              <w:ind w:left="2" w:right="0" w:firstLine="0"/>
              <w:jc w:val="left"/>
            </w:pPr>
            <w:r>
              <w:t xml:space="preserve">P 1k. </w:t>
            </w:r>
            <w:proofErr w:type="spellStart"/>
            <w:r>
              <w:t>Fo•tl</w:t>
            </w:r>
            <w:proofErr w:type="spellEnd"/>
          </w:p>
        </w:tc>
        <w:tc>
          <w:tcPr>
            <w:tcW w:w="3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16D0C" w14:textId="77777777" w:rsidR="00454A2E" w:rsidRDefault="00722B34">
            <w:pPr>
              <w:spacing w:after="0"/>
              <w:ind w:left="0" w:right="0" w:firstLine="0"/>
              <w:jc w:val="left"/>
            </w:pPr>
            <w:r>
              <w:t>tel.: 950631121</w:t>
            </w:r>
          </w:p>
        </w:tc>
      </w:tr>
      <w:tr w:rsidR="00454A2E" w14:paraId="6E5182BD" w14:textId="77777777">
        <w:trPr>
          <w:trHeight w:val="272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A4245" w14:textId="77777777" w:rsidR="00454A2E" w:rsidRDefault="00722B34">
            <w:pPr>
              <w:spacing w:after="0"/>
              <w:ind w:left="7" w:right="0" w:firstLine="0"/>
              <w:jc w:val="left"/>
            </w:pPr>
            <w:r>
              <w:t>Dodavatel</w:t>
            </w:r>
          </w:p>
        </w:tc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D1EC5" w14:textId="77777777" w:rsidR="00454A2E" w:rsidRDefault="00722B34">
            <w:pPr>
              <w:spacing w:after="0"/>
              <w:ind w:left="2" w:right="0" w:firstLine="0"/>
              <w:jc w:val="left"/>
            </w:pPr>
            <w:proofErr w:type="gramStart"/>
            <w:r>
              <w:t>In .</w:t>
            </w:r>
            <w:proofErr w:type="gramEnd"/>
            <w:r>
              <w:t xml:space="preserve"> </w:t>
            </w:r>
            <w:proofErr w:type="spellStart"/>
            <w:r>
              <w:t>Nies</w:t>
            </w:r>
            <w:proofErr w:type="spellEnd"/>
            <w:r>
              <w:t xml:space="preserve"> Ivan</w:t>
            </w:r>
          </w:p>
        </w:tc>
        <w:tc>
          <w:tcPr>
            <w:tcW w:w="3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22CE7" w14:textId="77777777" w:rsidR="00454A2E" w:rsidRDefault="00722B34">
            <w:pPr>
              <w:spacing w:after="0"/>
              <w:ind w:left="0" w:right="0" w:firstLine="0"/>
              <w:jc w:val="left"/>
            </w:pPr>
            <w:r>
              <w:t xml:space="preserve">tel.: </w:t>
            </w:r>
            <w:proofErr w:type="gramStart"/>
            <w:r>
              <w:t>602518312 ,</w:t>
            </w:r>
            <w:proofErr w:type="gramEnd"/>
            <w:r>
              <w:t xml:space="preserve"> 602565656</w:t>
            </w:r>
          </w:p>
        </w:tc>
      </w:tr>
    </w:tbl>
    <w:p w14:paraId="48119148" w14:textId="77777777" w:rsidR="00454A2E" w:rsidRDefault="00722B34">
      <w:pPr>
        <w:numPr>
          <w:ilvl w:val="0"/>
          <w:numId w:val="2"/>
        </w:numPr>
        <w:spacing w:after="0"/>
        <w:ind w:left="672" w:right="0" w:hanging="418"/>
        <w:jc w:val="left"/>
      </w:pPr>
      <w:r>
        <w:rPr>
          <w:sz w:val="26"/>
        </w:rPr>
        <w:t>objednatel se zavazuje:</w:t>
      </w:r>
    </w:p>
    <w:p w14:paraId="64FF647A" w14:textId="77777777" w:rsidR="00454A2E" w:rsidRDefault="00722B34">
      <w:pPr>
        <w:numPr>
          <w:ilvl w:val="1"/>
          <w:numId w:val="2"/>
        </w:numPr>
        <w:spacing w:after="27" w:line="269" w:lineRule="auto"/>
        <w:ind w:right="14" w:hanging="365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B63A15A" wp14:editId="4831D2C9">
            <wp:simplePos x="0" y="0"/>
            <wp:positionH relativeFrom="page">
              <wp:posOffset>313986</wp:posOffset>
            </wp:positionH>
            <wp:positionV relativeFrom="page">
              <wp:posOffset>786459</wp:posOffset>
            </wp:positionV>
            <wp:extent cx="3048" cy="3048"/>
            <wp:effectExtent l="0" t="0" r="0" b="0"/>
            <wp:wrapSquare wrapText="bothSides"/>
            <wp:docPr id="4509" name="Picture 45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9" name="Picture 450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řádně hradit faktury vystavené dodavatelem za služby poskytované v souladu s touto smlouvou,</w:t>
      </w:r>
    </w:p>
    <w:p w14:paraId="34BE76AF" w14:textId="77777777" w:rsidR="00454A2E" w:rsidRDefault="00722B34">
      <w:pPr>
        <w:numPr>
          <w:ilvl w:val="1"/>
          <w:numId w:val="2"/>
        </w:numPr>
        <w:spacing w:after="27" w:line="216" w:lineRule="auto"/>
        <w:ind w:right="14" w:hanging="365"/>
      </w:pPr>
      <w:r>
        <w:rPr>
          <w:sz w:val="24"/>
        </w:rPr>
        <w:t>provozovat systém EPS včetně radiového vysílače v souladu s touto smlouvou, platnými právními a technickými předpisy, písemnými pokyny HZS a neprodleně hlásit smluvním partnerům veškeré změny údajů souvisejících se střeženým systémem a objektem,</w:t>
      </w:r>
    </w:p>
    <w:p w14:paraId="09DBF3AA" w14:textId="77777777" w:rsidR="00454A2E" w:rsidRDefault="00722B34">
      <w:pPr>
        <w:numPr>
          <w:ilvl w:val="1"/>
          <w:numId w:val="2"/>
        </w:numPr>
        <w:spacing w:after="27" w:line="269" w:lineRule="auto"/>
        <w:ind w:right="14" w:hanging="365"/>
      </w:pPr>
      <w:r>
        <w:rPr>
          <w:sz w:val="24"/>
        </w:rPr>
        <w:t>umožnit do</w:t>
      </w:r>
      <w:r>
        <w:rPr>
          <w:sz w:val="24"/>
        </w:rPr>
        <w:t>davateli provádět kontroly provozuschopnosti zařízení ZPPP,</w:t>
      </w:r>
    </w:p>
    <w:p w14:paraId="561F7D4D" w14:textId="77777777" w:rsidR="00454A2E" w:rsidRDefault="00722B34">
      <w:pPr>
        <w:numPr>
          <w:ilvl w:val="1"/>
          <w:numId w:val="2"/>
        </w:numPr>
        <w:spacing w:after="162"/>
        <w:ind w:right="14" w:hanging="365"/>
      </w:pPr>
      <w:r>
        <w:t>v případě ukončení platnosti tohoto smluvního vztahu dále neprovozovat radiový vysílač.</w:t>
      </w:r>
    </w:p>
    <w:p w14:paraId="1116C3D3" w14:textId="77777777" w:rsidR="00454A2E" w:rsidRDefault="00722B34">
      <w:pPr>
        <w:numPr>
          <w:ilvl w:val="0"/>
          <w:numId w:val="2"/>
        </w:numPr>
        <w:spacing w:after="0"/>
        <w:ind w:left="672" w:right="0" w:hanging="418"/>
        <w:jc w:val="left"/>
      </w:pPr>
      <w:r>
        <w:rPr>
          <w:sz w:val="26"/>
        </w:rPr>
        <w:t>dodavatel se zavazuje:</w:t>
      </w:r>
    </w:p>
    <w:p w14:paraId="316328C1" w14:textId="77777777" w:rsidR="00454A2E" w:rsidRDefault="00722B34">
      <w:pPr>
        <w:numPr>
          <w:ilvl w:val="1"/>
          <w:numId w:val="2"/>
        </w:numPr>
        <w:ind w:right="14" w:hanging="365"/>
      </w:pPr>
      <w:r>
        <w:t>monitorovat na svém dozorovém pracovišti chod krajského systému ZPPP, včetně vyhodnoc</w:t>
      </w:r>
      <w:r>
        <w:t>ování poruchových stavů EPS v napojeném objektu</w:t>
      </w:r>
    </w:p>
    <w:p w14:paraId="441F494F" w14:textId="77777777" w:rsidR="00454A2E" w:rsidRDefault="00722B34">
      <w:pPr>
        <w:numPr>
          <w:ilvl w:val="1"/>
          <w:numId w:val="2"/>
        </w:numPr>
        <w:ind w:right="14" w:hanging="365"/>
      </w:pPr>
      <w:r>
        <w:t>informovat neprodleně objednatele o poruše napojené EPS v objektu v souvislosti s nutností zajistit servisní zásah ze strany servisu EPS a zajištění náhradních opatření k zajištění požární bezpečnosti v objek</w:t>
      </w:r>
      <w:r>
        <w:t>tu po dobu opravy EPS</w:t>
      </w:r>
    </w:p>
    <w:p w14:paraId="7F4C2354" w14:textId="77777777" w:rsidR="00454A2E" w:rsidRDefault="00722B34">
      <w:pPr>
        <w:numPr>
          <w:ilvl w:val="1"/>
          <w:numId w:val="2"/>
        </w:numPr>
        <w:spacing w:after="0" w:line="269" w:lineRule="auto"/>
        <w:ind w:right="14" w:hanging="365"/>
      </w:pPr>
      <w:r>
        <w:rPr>
          <w:sz w:val="24"/>
        </w:rPr>
        <w:t xml:space="preserve">používat pouze homologovaná zařízení </w:t>
      </w:r>
      <w:proofErr w:type="gramStart"/>
      <w:r>
        <w:rPr>
          <w:sz w:val="24"/>
        </w:rPr>
        <w:t>ZPPP ,</w:t>
      </w:r>
      <w:proofErr w:type="gramEnd"/>
      <w:r>
        <w:rPr>
          <w:sz w:val="24"/>
        </w:rPr>
        <w:t xml:space="preserve"> odpovídající platným právním a technickým předpisům,</w:t>
      </w:r>
    </w:p>
    <w:p w14:paraId="26F4403C" w14:textId="77777777" w:rsidR="00454A2E" w:rsidRDefault="00722B34">
      <w:pPr>
        <w:numPr>
          <w:ilvl w:val="1"/>
          <w:numId w:val="2"/>
        </w:numPr>
        <w:ind w:right="14" w:hanging="365"/>
      </w:pPr>
      <w:r>
        <w:t>aktualizovat podklady o objektu, uložené v databázi obslužného pole,</w:t>
      </w:r>
    </w:p>
    <w:p w14:paraId="0350F4E0" w14:textId="77777777" w:rsidR="00454A2E" w:rsidRDefault="00722B34">
      <w:pPr>
        <w:numPr>
          <w:ilvl w:val="1"/>
          <w:numId w:val="2"/>
        </w:numPr>
        <w:ind w:right="14" w:hanging="365"/>
      </w:pPr>
      <w:r>
        <w:t>udržovat celý systém ZPPP v trvale provozuschopném stavu,</w:t>
      </w:r>
    </w:p>
    <w:p w14:paraId="53CED5E5" w14:textId="77777777" w:rsidR="00454A2E" w:rsidRDefault="00722B34">
      <w:pPr>
        <w:numPr>
          <w:ilvl w:val="1"/>
          <w:numId w:val="2"/>
        </w:numPr>
        <w:spacing w:after="27" w:line="218" w:lineRule="auto"/>
        <w:ind w:right="14" w:hanging="365"/>
      </w:pPr>
      <w:r>
        <w:rPr>
          <w:sz w:val="24"/>
        </w:rPr>
        <w:t xml:space="preserve">při poruše propojeného systému zařízení ZPPP od technologického rozhraní po počítačovou </w:t>
      </w:r>
      <w:proofErr w:type="spellStart"/>
      <w:r>
        <w:rPr>
          <w:sz w:val="24"/>
        </w:rPr>
        <w:t>nádstavbu</w:t>
      </w:r>
      <w:proofErr w:type="spellEnd"/>
      <w:r>
        <w:rPr>
          <w:sz w:val="24"/>
        </w:rPr>
        <w:t xml:space="preserve"> RPCO zahájit opravu zařízení do 6 hodin od nahlášení a na své části odstranit závadu do 24 hodin,</w:t>
      </w:r>
    </w:p>
    <w:p w14:paraId="40F08597" w14:textId="77777777" w:rsidR="00454A2E" w:rsidRDefault="00722B34">
      <w:pPr>
        <w:numPr>
          <w:ilvl w:val="1"/>
          <w:numId w:val="2"/>
        </w:numPr>
        <w:ind w:right="14" w:hanging="365"/>
      </w:pPr>
      <w:r>
        <w:t>pr</w:t>
      </w:r>
      <w:r>
        <w:t>ovádět kontroly provozuschopnosti zařízení ZPPP dle platných předpisů, kontroly zajišťuje dodavatel ve stanovených termínech dle vlastního plánu kontrol</w:t>
      </w:r>
    </w:p>
    <w:p w14:paraId="6641C2B3" w14:textId="77777777" w:rsidR="00454A2E" w:rsidRDefault="00722B34">
      <w:pPr>
        <w:numPr>
          <w:ilvl w:val="1"/>
          <w:numId w:val="2"/>
        </w:numPr>
        <w:ind w:right="14" w:hanging="365"/>
      </w:pPr>
      <w:r>
        <w:t>při podpisu této smlouvy předat objednateli seznam oprávněných servisních pracovníků, včetně operativní</w:t>
      </w:r>
      <w:r>
        <w:t xml:space="preserve">ho spojení, a tento </w:t>
      </w:r>
      <w:proofErr w:type="spellStart"/>
      <w:r>
        <w:t>přijakékoli</w:t>
      </w:r>
      <w:proofErr w:type="spellEnd"/>
      <w:r>
        <w:t xml:space="preserve"> změně aktualizovat.</w:t>
      </w:r>
    </w:p>
    <w:p w14:paraId="03D74CDC" w14:textId="77777777" w:rsidR="00454A2E" w:rsidRDefault="00722B34">
      <w:pPr>
        <w:pStyle w:val="Nadpis2"/>
        <w:spacing w:after="315"/>
        <w:ind w:right="662"/>
      </w:pPr>
      <w:r>
        <w:t>Cenové podmínky a úhrada služby</w:t>
      </w:r>
    </w:p>
    <w:p w14:paraId="75AC42C0" w14:textId="77777777" w:rsidR="00454A2E" w:rsidRDefault="00722B34">
      <w:pPr>
        <w:numPr>
          <w:ilvl w:val="0"/>
          <w:numId w:val="3"/>
        </w:numPr>
        <w:spacing w:after="175"/>
        <w:ind w:right="50" w:hanging="360"/>
      </w:pPr>
      <w:r>
        <w:t xml:space="preserve">Smluvní cena za služby dle této smlouvy je </w:t>
      </w:r>
      <w:proofErr w:type="gramStart"/>
      <w:r>
        <w:t>2.000,-</w:t>
      </w:r>
      <w:proofErr w:type="gramEnd"/>
      <w:r>
        <w:t xml:space="preserve"> Kč ( dva tisíce ) bez DPH měsíčně.</w:t>
      </w:r>
    </w:p>
    <w:p w14:paraId="6C89ADBE" w14:textId="77777777" w:rsidR="00454A2E" w:rsidRDefault="00722B34">
      <w:pPr>
        <w:spacing w:after="82"/>
        <w:ind w:left="389" w:right="0"/>
        <w:jc w:val="left"/>
      </w:pPr>
      <w:r>
        <w:rPr>
          <w:sz w:val="24"/>
          <w:u w:val="single" w:color="000000"/>
        </w:rPr>
        <w:t xml:space="preserve">V ceně jsou zahrnuty </w:t>
      </w:r>
      <w:proofErr w:type="gramStart"/>
      <w:r>
        <w:rPr>
          <w:sz w:val="24"/>
          <w:u w:val="single" w:color="000000"/>
        </w:rPr>
        <w:t>služby .</w:t>
      </w:r>
      <w:proofErr w:type="gramEnd"/>
      <w:r>
        <w:rPr>
          <w:noProof/>
        </w:rPr>
        <w:drawing>
          <wp:inline distT="0" distB="0" distL="0" distR="0" wp14:anchorId="3A7041BC" wp14:editId="7F96A588">
            <wp:extent cx="9145" cy="18290"/>
            <wp:effectExtent l="0" t="0" r="0" b="0"/>
            <wp:docPr id="7011" name="Picture 70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1" name="Picture 701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B44BC" w14:textId="77777777" w:rsidR="00454A2E" w:rsidRDefault="00722B34">
      <w:pPr>
        <w:numPr>
          <w:ilvl w:val="2"/>
          <w:numId w:val="4"/>
        </w:numPr>
        <w:spacing w:after="130"/>
        <w:ind w:left="1070" w:right="14" w:hanging="355"/>
      </w:pPr>
      <w:proofErr w:type="spellStart"/>
      <w:r>
        <w:lastRenderedPageBreak/>
        <w:t>Zaj</w:t>
      </w:r>
      <w:proofErr w:type="spellEnd"/>
      <w:r>
        <w:t xml:space="preserve"> </w:t>
      </w:r>
      <w:proofErr w:type="spellStart"/>
      <w:r>
        <w:t>ištění</w:t>
      </w:r>
      <w:proofErr w:type="spellEnd"/>
      <w:r>
        <w:t xml:space="preserve"> přenosu signálů ze střeženého objektu na PCO</w:t>
      </w:r>
      <w:r>
        <w:t xml:space="preserve"> prostřednictvím rádiové sítě dodavatele (v souladu s Telekomunikačním zákonem), napojení na pult centralizované ochrany dodavatele provozovaný na KOPIS HZS </w:t>
      </w:r>
      <w:proofErr w:type="spellStart"/>
      <w:r>
        <w:t>JmK</w:t>
      </w:r>
      <w:proofErr w:type="spellEnd"/>
    </w:p>
    <w:p w14:paraId="0EE8E419" w14:textId="77777777" w:rsidR="00454A2E" w:rsidRDefault="00722B34">
      <w:pPr>
        <w:numPr>
          <w:ilvl w:val="2"/>
          <w:numId w:val="4"/>
        </w:numPr>
        <w:spacing w:after="190"/>
        <w:ind w:left="1070" w:right="14" w:hanging="355"/>
      </w:pPr>
      <w:r>
        <w:t>Poplatek Českému telekomunikačnímu úřadu za provoz rádiového zařízení na objektu</w:t>
      </w:r>
    </w:p>
    <w:p w14:paraId="17835A0B" w14:textId="77777777" w:rsidR="00454A2E" w:rsidRDefault="00722B34">
      <w:pPr>
        <w:numPr>
          <w:ilvl w:val="2"/>
          <w:numId w:val="4"/>
        </w:numPr>
        <w:spacing w:after="122"/>
        <w:ind w:left="1070" w:right="14" w:hanging="355"/>
      </w:pPr>
      <w:proofErr w:type="spellStart"/>
      <w:r>
        <w:t>Zaj</w:t>
      </w:r>
      <w:proofErr w:type="spellEnd"/>
      <w:r>
        <w:t xml:space="preserve"> </w:t>
      </w:r>
      <w:proofErr w:type="spellStart"/>
      <w:r>
        <w:t>ištění</w:t>
      </w:r>
      <w:proofErr w:type="spellEnd"/>
      <w:r>
        <w:t xml:space="preserve"> trv</w:t>
      </w:r>
      <w:r>
        <w:t xml:space="preserve">alé servisní pohotovosti k opravě </w:t>
      </w:r>
      <w:proofErr w:type="gramStart"/>
      <w:r>
        <w:t>ZPPP ,</w:t>
      </w:r>
      <w:proofErr w:type="gramEnd"/>
      <w:r>
        <w:t xml:space="preserve"> rádiové sítě a systému PCO</w:t>
      </w:r>
    </w:p>
    <w:p w14:paraId="25220C00" w14:textId="77777777" w:rsidR="00454A2E" w:rsidRDefault="00722B34">
      <w:pPr>
        <w:numPr>
          <w:ilvl w:val="2"/>
          <w:numId w:val="4"/>
        </w:numPr>
        <w:spacing w:after="107"/>
        <w:ind w:left="1070" w:right="14" w:hanging="355"/>
      </w:pPr>
      <w:r>
        <w:t xml:space="preserve">roční a půlroční kontroly provozuschopnosti ZPPP dle platných vyhlášek a norem </w:t>
      </w:r>
      <w:proofErr w:type="gramStart"/>
      <w:r>
        <w:t>( Vyhl.MV</w:t>
      </w:r>
      <w:proofErr w:type="gramEnd"/>
      <w:r>
        <w:t xml:space="preserve"> ČR č.246/2001 ) , </w:t>
      </w:r>
      <w:proofErr w:type="spellStart"/>
      <w:r>
        <w:t>periodiká</w:t>
      </w:r>
      <w:proofErr w:type="spellEnd"/>
      <w:r>
        <w:t xml:space="preserve"> revize elektrického zařízení v souladu s ČSN</w:t>
      </w:r>
    </w:p>
    <w:p w14:paraId="263311BA" w14:textId="77777777" w:rsidR="00454A2E" w:rsidRDefault="00722B34">
      <w:pPr>
        <w:numPr>
          <w:ilvl w:val="2"/>
          <w:numId w:val="4"/>
        </w:numPr>
        <w:spacing w:after="573"/>
        <w:ind w:left="1070" w:right="14" w:hanging="355"/>
      </w:pPr>
      <w:r>
        <w:t>Monitoring poruchových stavů EPS na dozorovém pracovišti dodavatele</w:t>
      </w:r>
    </w:p>
    <w:p w14:paraId="103BC91E" w14:textId="77777777" w:rsidR="00454A2E" w:rsidRDefault="00722B34">
      <w:pPr>
        <w:spacing w:after="0"/>
        <w:ind w:left="389" w:right="0"/>
        <w:jc w:val="left"/>
      </w:pPr>
      <w:r>
        <w:rPr>
          <w:sz w:val="24"/>
          <w:u w:val="single" w:color="000000"/>
        </w:rPr>
        <w:t xml:space="preserve">V ceně nejsou zahrnuty </w:t>
      </w:r>
      <w:proofErr w:type="gramStart"/>
      <w:r>
        <w:rPr>
          <w:sz w:val="24"/>
          <w:u w:val="single" w:color="000000"/>
        </w:rPr>
        <w:t>slu</w:t>
      </w:r>
      <w:r>
        <w:rPr>
          <w:sz w:val="24"/>
          <w:u w:val="single" w:color="000000"/>
        </w:rPr>
        <w:t>žby :</w:t>
      </w:r>
      <w:proofErr w:type="gramEnd"/>
    </w:p>
    <w:p w14:paraId="609F2E62" w14:textId="77777777" w:rsidR="00454A2E" w:rsidRDefault="00722B34">
      <w:pPr>
        <w:spacing w:after="353"/>
        <w:ind w:left="740" w:right="14"/>
      </w:pPr>
      <w:r>
        <w:t>• náklady na materiál a náhradní díly při pozáruční opravě ZPPP.</w:t>
      </w:r>
    </w:p>
    <w:p w14:paraId="55C33F11" w14:textId="77777777" w:rsidR="00454A2E" w:rsidRDefault="00722B34">
      <w:pPr>
        <w:numPr>
          <w:ilvl w:val="0"/>
          <w:numId w:val="3"/>
        </w:numPr>
        <w:spacing w:after="111"/>
        <w:ind w:right="50" w:hanging="360"/>
      </w:pPr>
      <w:r>
        <w:t>Poplatek bude placen měsíčně na základě vystavené faktury — daňového dokladu. Fakturu — daňový doklad vystaví dodavatel vždy k poslednímu dni v měsíci. Variabilním symbolem je číslo fak</w:t>
      </w:r>
      <w:r>
        <w:t>tury.</w:t>
      </w:r>
    </w:p>
    <w:p w14:paraId="3E57445F" w14:textId="77777777" w:rsidR="00454A2E" w:rsidRDefault="00722B34">
      <w:pPr>
        <w:numPr>
          <w:ilvl w:val="0"/>
          <w:numId w:val="3"/>
        </w:numPr>
        <w:spacing w:after="97"/>
        <w:ind w:right="50" w:hanging="360"/>
      </w:pPr>
      <w:r>
        <w:t xml:space="preserve">Vzájemně bylo </w:t>
      </w:r>
      <w:proofErr w:type="gramStart"/>
      <w:r>
        <w:t>dohodnuto ,</w:t>
      </w:r>
      <w:proofErr w:type="gramEnd"/>
      <w:r>
        <w:t xml:space="preserve"> že poplatek může být formou oboustranně odsouhlaseného písemného dodatku ke smlouvě dodavatelem každoročně vždy na počátku roku upraven o oficiální inflační koeficient vyhlášený Českým statistickým úřadem.</w:t>
      </w:r>
    </w:p>
    <w:p w14:paraId="34E6B825" w14:textId="77777777" w:rsidR="00454A2E" w:rsidRDefault="00722B34">
      <w:pPr>
        <w:numPr>
          <w:ilvl w:val="0"/>
          <w:numId w:val="3"/>
        </w:numPr>
        <w:spacing w:after="756" w:line="329" w:lineRule="auto"/>
        <w:ind w:right="50" w:hanging="360"/>
      </w:pPr>
      <w:r>
        <w:t xml:space="preserve">Smluvní pokuta za </w:t>
      </w:r>
      <w:r>
        <w:t>nedodržení termínu splatnosti faktury (bod IV. l.) činí 0,05 % z hrazené částky za každý den prodlení od ukončení data splatnosti faktury</w:t>
      </w:r>
    </w:p>
    <w:p w14:paraId="12332FCC" w14:textId="77777777" w:rsidR="00454A2E" w:rsidRDefault="00722B34">
      <w:pPr>
        <w:pStyle w:val="Nadpis2"/>
        <w:spacing w:after="146"/>
        <w:ind w:right="557"/>
      </w:pPr>
      <w:r>
        <w:t>Odstoupení od smlouvy</w:t>
      </w:r>
    </w:p>
    <w:p w14:paraId="50BD5C1B" w14:textId="77777777" w:rsidR="00454A2E" w:rsidRDefault="00722B34">
      <w:pPr>
        <w:numPr>
          <w:ilvl w:val="0"/>
          <w:numId w:val="5"/>
        </w:numPr>
        <w:spacing w:after="128"/>
        <w:ind w:right="14" w:hanging="360"/>
      </w:pPr>
      <w:r>
        <w:t>Opakované porušování platebních podmínek ze strany objednatele, respektive neuhrazení dvou měsíč</w:t>
      </w:r>
      <w:r>
        <w:t xml:space="preserve">ních poplatků (bod IV. </w:t>
      </w:r>
      <w:proofErr w:type="gramStart"/>
      <w:r>
        <w:t>1. )</w:t>
      </w:r>
      <w:proofErr w:type="gramEnd"/>
      <w:r>
        <w:t xml:space="preserve"> je oprávněným důvodem dodavatele k odstoupení od této smlouvy.</w:t>
      </w:r>
    </w:p>
    <w:p w14:paraId="0B835E17" w14:textId="77777777" w:rsidR="00454A2E" w:rsidRDefault="00722B34">
      <w:pPr>
        <w:numPr>
          <w:ilvl w:val="0"/>
          <w:numId w:val="5"/>
        </w:numPr>
        <w:spacing w:after="53" w:line="311" w:lineRule="auto"/>
        <w:ind w:right="14" w:hanging="360"/>
      </w:pPr>
      <w:r>
        <w:t>Odstoupení od smlouvy nabývá účinnosti dnem doručení písemného oznámení o odstoupení od smlouvy objednateli.</w:t>
      </w:r>
    </w:p>
    <w:p w14:paraId="49BD4982" w14:textId="77777777" w:rsidR="00454A2E" w:rsidRDefault="00722B34">
      <w:pPr>
        <w:numPr>
          <w:ilvl w:val="0"/>
          <w:numId w:val="5"/>
        </w:numPr>
        <w:spacing w:after="128"/>
        <w:ind w:right="14" w:hanging="360"/>
      </w:pPr>
      <w:r>
        <w:t xml:space="preserve">Do deseti dnů od nabytí účinnosti odstoupení od smlouvy </w:t>
      </w:r>
      <w:r>
        <w:t xml:space="preserve">dodavatel zajistí odpojení objednatele od zařízení ZPPP a provede opatření ke </w:t>
      </w:r>
      <w:proofErr w:type="spellStart"/>
      <w:r>
        <w:t>znefunkčnění</w:t>
      </w:r>
      <w:proofErr w:type="spellEnd"/>
      <w:r>
        <w:t xml:space="preserve"> vysokofrekvenční části vysílače (vyjmutím paměti EPROM z desky kodéru). O vypnutí a </w:t>
      </w:r>
      <w:proofErr w:type="spellStart"/>
      <w:r>
        <w:t>znefukčnění</w:t>
      </w:r>
      <w:proofErr w:type="spellEnd"/>
      <w:r>
        <w:t xml:space="preserve"> vysílače bude proveden písemný protokol.</w:t>
      </w:r>
    </w:p>
    <w:p w14:paraId="7DB9E00E" w14:textId="77777777" w:rsidR="00454A2E" w:rsidRDefault="00722B34">
      <w:pPr>
        <w:numPr>
          <w:ilvl w:val="0"/>
          <w:numId w:val="5"/>
        </w:numPr>
        <w:spacing w:after="617" w:line="274" w:lineRule="auto"/>
        <w:ind w:right="14" w:hanging="360"/>
      </w:pPr>
      <w:r>
        <w:t xml:space="preserve">Vysílací zařízení pracuje na </w:t>
      </w:r>
      <w:proofErr w:type="gramStart"/>
      <w:r>
        <w:t>frekvenci</w:t>
      </w:r>
      <w:proofErr w:type="gramEnd"/>
      <w:r>
        <w:t xml:space="preserve"> jehož provoz je vázán povolením Českého telekomunikačního úřadu. Nositelem povolení je dodavatel, objednavatel nesmí vysílač zapnout. Vysílací zařízení, které je zapnuto bez vědomí dodavatele je považováno za rušič li</w:t>
      </w:r>
      <w:r>
        <w:t>cencované rádiové sítě a je řešeno sankcemi stanovenými Českým telekomunikačním úřadem.</w:t>
      </w:r>
    </w:p>
    <w:p w14:paraId="5ED58580" w14:textId="77777777" w:rsidR="00454A2E" w:rsidRDefault="00722B34">
      <w:pPr>
        <w:spacing w:after="0"/>
        <w:ind w:left="188" w:right="408"/>
        <w:jc w:val="center"/>
      </w:pPr>
      <w:proofErr w:type="spellStart"/>
      <w:r>
        <w:rPr>
          <w:sz w:val="28"/>
        </w:rPr>
        <w:t>Vl</w:t>
      </w:r>
      <w:proofErr w:type="spellEnd"/>
      <w:r>
        <w:rPr>
          <w:sz w:val="28"/>
        </w:rPr>
        <w:t>.</w:t>
      </w:r>
    </w:p>
    <w:p w14:paraId="406F68A0" w14:textId="77777777" w:rsidR="00454A2E" w:rsidRDefault="00722B34">
      <w:pPr>
        <w:pStyle w:val="Nadpis3"/>
        <w:spacing w:after="0"/>
        <w:ind w:left="0" w:right="221"/>
      </w:pPr>
      <w:r>
        <w:t>Výpovědní lhůta</w:t>
      </w:r>
    </w:p>
    <w:p w14:paraId="0D0D95E6" w14:textId="77777777" w:rsidR="00454A2E" w:rsidRDefault="00722B34">
      <w:pPr>
        <w:numPr>
          <w:ilvl w:val="0"/>
          <w:numId w:val="6"/>
        </w:numPr>
        <w:spacing w:after="84"/>
        <w:ind w:left="648" w:right="14" w:hanging="365"/>
      </w:pPr>
      <w:r>
        <w:t xml:space="preserve">Smlouva se uzavírá na dobu neurčitou s výpovědní lhůtou 3 (tři) </w:t>
      </w:r>
      <w:proofErr w:type="gramStart"/>
      <w:r>
        <w:t>měsíců</w:t>
      </w:r>
      <w:proofErr w:type="gramEnd"/>
      <w:r>
        <w:t xml:space="preserve"> pokud se smluvní strany nedohodnou jinak. Výpovědní lhůta počíná běžet </w:t>
      </w:r>
      <w:proofErr w:type="gramStart"/>
      <w:r>
        <w:t>l .</w:t>
      </w:r>
      <w:proofErr w:type="gramEnd"/>
      <w:r>
        <w:t xml:space="preserve"> dnem měsíce, který následuje po dni doručení výpovědi poslední ze smluvních stran. Výpověď se podává v písemné</w:t>
      </w:r>
      <w:r>
        <w:t xml:space="preserve"> podobě ostatním smluvním stranám.</w:t>
      </w:r>
    </w:p>
    <w:p w14:paraId="5D3C4EE0" w14:textId="77777777" w:rsidR="00454A2E" w:rsidRDefault="00722B34">
      <w:pPr>
        <w:numPr>
          <w:ilvl w:val="0"/>
          <w:numId w:val="6"/>
        </w:numPr>
        <w:spacing w:after="886"/>
        <w:ind w:left="648" w:right="14" w:hanging="365"/>
      </w:pPr>
      <w:r>
        <w:t>Smlouvu lze kdykoliv ukončit písemnou dohodou všech smluvních stran.</w:t>
      </w:r>
    </w:p>
    <w:p w14:paraId="6DAADBA9" w14:textId="77777777" w:rsidR="00454A2E" w:rsidRDefault="00722B34">
      <w:pPr>
        <w:spacing w:after="0"/>
        <w:ind w:left="188" w:right="0"/>
        <w:jc w:val="center"/>
      </w:pPr>
      <w:r>
        <w:rPr>
          <w:sz w:val="28"/>
        </w:rPr>
        <w:lastRenderedPageBreak/>
        <w:t>VII.</w:t>
      </w:r>
    </w:p>
    <w:p w14:paraId="4EB9DF00" w14:textId="77777777" w:rsidR="00454A2E" w:rsidRDefault="00722B34">
      <w:pPr>
        <w:pStyle w:val="Nadpis2"/>
        <w:ind w:right="86"/>
      </w:pPr>
      <w:r>
        <w:t>Závěrečná ustanovení</w:t>
      </w:r>
    </w:p>
    <w:p w14:paraId="4BACDF89" w14:textId="77777777" w:rsidR="00454A2E" w:rsidRDefault="00722B34">
      <w:pPr>
        <w:numPr>
          <w:ilvl w:val="0"/>
          <w:numId w:val="7"/>
        </w:numPr>
        <w:spacing w:after="90"/>
        <w:ind w:right="14" w:hanging="288"/>
      </w:pPr>
      <w:r>
        <w:t xml:space="preserve">Každá smluvní strana obdrží jedno vyhotovení smlouvy podepsané stranami. Změny a dodatky k této smlouvě jsou </w:t>
      </w:r>
      <w:proofErr w:type="gramStart"/>
      <w:r>
        <w:t>platné</w:t>
      </w:r>
      <w:proofErr w:type="gramEnd"/>
      <w:r>
        <w:t xml:space="preserve"> pokud budo</w:t>
      </w:r>
      <w:r>
        <w:t>u uzavřeny v písemné podobě a podepsány všemi smluvními stranami. Každá smluvní strana obdrží jedno vyhotovení dodatku.</w:t>
      </w:r>
    </w:p>
    <w:p w14:paraId="4208711F" w14:textId="77777777" w:rsidR="00454A2E" w:rsidRDefault="00722B34">
      <w:pPr>
        <w:numPr>
          <w:ilvl w:val="0"/>
          <w:numId w:val="7"/>
        </w:numPr>
        <w:spacing w:after="95"/>
        <w:ind w:right="14" w:hanging="288"/>
      </w:pPr>
      <w:r>
        <w:t>Smluvní strany se zavazují vytvořit podmínky k zamezení úniku informací o ostatních (zbývajících) dotčených zúčastněných stranách a o sk</w:t>
      </w:r>
      <w:r>
        <w:t>utečnostech, se kterými se seznámily při naplňování předmětu činnosti této smlouvy.</w:t>
      </w:r>
    </w:p>
    <w:p w14:paraId="58E890BF" w14:textId="77777777" w:rsidR="00454A2E" w:rsidRDefault="00722B34">
      <w:pPr>
        <w:numPr>
          <w:ilvl w:val="0"/>
          <w:numId w:val="7"/>
        </w:numPr>
        <w:spacing w:after="58" w:line="274" w:lineRule="auto"/>
        <w:ind w:right="14" w:hanging="288"/>
      </w:pPr>
      <w:r>
        <w:t>Vztahy mezi HZS a dodavatelem jsou upraveny zvláštní smlouvou. Práva a povinnosti k provozu propojeného systému které nejsou upraveny touto smlouvou jsou řešeny v návaznost</w:t>
      </w:r>
      <w:r>
        <w:t>í ve smlouvě uzavřené mezi objednatelem a krajským ředitelstvím HZS</w:t>
      </w:r>
    </w:p>
    <w:p w14:paraId="6D05CB19" w14:textId="77777777" w:rsidR="00454A2E" w:rsidRDefault="00722B34">
      <w:pPr>
        <w:numPr>
          <w:ilvl w:val="0"/>
          <w:numId w:val="7"/>
        </w:numPr>
        <w:spacing w:after="58" w:line="274" w:lineRule="auto"/>
        <w:ind w:right="14" w:hanging="288"/>
      </w:pPr>
      <w:r>
        <w:t xml:space="preserve">Účastníci této smlouvy svým podpisem stvrzují, že ji před podpisem přečetli, že byla uzavřena po vzájemné dohodě, podle jejich svobodné a pravé vůle, určitě, vážně a srozumitelně, nikoliv </w:t>
      </w:r>
      <w:r>
        <w:t xml:space="preserve">v tísni </w:t>
      </w:r>
      <w:proofErr w:type="spellStart"/>
      <w:r>
        <w:t>zajednostranně</w:t>
      </w:r>
      <w:proofErr w:type="spellEnd"/>
      <w:r>
        <w:t xml:space="preserve"> nevýhodných podmínek.</w:t>
      </w:r>
    </w:p>
    <w:p w14:paraId="124D6483" w14:textId="77777777" w:rsidR="00454A2E" w:rsidRDefault="00722B34">
      <w:pPr>
        <w:numPr>
          <w:ilvl w:val="0"/>
          <w:numId w:val="7"/>
        </w:numPr>
        <w:spacing w:after="72"/>
        <w:ind w:right="14" w:hanging="288"/>
      </w:pPr>
      <w:r>
        <w:t>Smluvní strany se dohodly, že vztahy neupravené touto smlouvou se řídí příslušnými ustanoveními obchodního zákoníku.</w:t>
      </w:r>
    </w:p>
    <w:p w14:paraId="3E15B4C1" w14:textId="77777777" w:rsidR="00454A2E" w:rsidRDefault="00722B34">
      <w:pPr>
        <w:numPr>
          <w:ilvl w:val="0"/>
          <w:numId w:val="7"/>
        </w:numPr>
        <w:spacing w:after="39"/>
        <w:ind w:right="14" w:hanging="288"/>
      </w:pPr>
      <w:r>
        <w:t>Smlouva nabývá platnosti dnem podpisu obou smluvních stran.</w:t>
      </w:r>
    </w:p>
    <w:p w14:paraId="61C42EAC" w14:textId="77777777" w:rsidR="00454A2E" w:rsidRDefault="00722B34">
      <w:pPr>
        <w:numPr>
          <w:ilvl w:val="0"/>
          <w:numId w:val="7"/>
        </w:numPr>
        <w:spacing w:after="33"/>
        <w:ind w:right="14" w:hanging="288"/>
      </w:pPr>
      <w:r>
        <w:t>Nedílnou součástí smlouvy jsou následující přílohy:</w:t>
      </w:r>
    </w:p>
    <w:p w14:paraId="3E3F5F2A" w14:textId="77777777" w:rsidR="00454A2E" w:rsidRDefault="00722B34">
      <w:pPr>
        <w:spacing w:after="627" w:line="341" w:lineRule="auto"/>
        <w:ind w:left="1886" w:right="14" w:hanging="1315"/>
      </w:pPr>
      <w:r>
        <w:t>- příloha č. I — Seznam a z</w:t>
      </w:r>
      <w:r>
        <w:t>působ vyrozumění osob určených objednatelem k předání informací o poruše EPS v objektu</w:t>
      </w:r>
    </w:p>
    <w:p w14:paraId="2032B091" w14:textId="0050A426" w:rsidR="00454A2E" w:rsidRDefault="00722B34">
      <w:pPr>
        <w:tabs>
          <w:tab w:val="center" w:pos="845"/>
          <w:tab w:val="center" w:pos="7827"/>
        </w:tabs>
        <w:spacing w:after="26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V Brně </w:t>
      </w:r>
      <w:proofErr w:type="gramStart"/>
      <w:r>
        <w:t>dne :</w:t>
      </w:r>
      <w:proofErr w:type="gramEnd"/>
      <w:r>
        <w:tab/>
        <w:t>V Jihlavě dne:</w:t>
      </w:r>
    </w:p>
    <w:p w14:paraId="48FDF4D7" w14:textId="77777777" w:rsidR="000B5F62" w:rsidRDefault="00722B34">
      <w:pPr>
        <w:tabs>
          <w:tab w:val="center" w:pos="2059"/>
          <w:tab w:val="center" w:pos="7465"/>
        </w:tabs>
        <w:ind w:left="0" w:right="0" w:firstLine="0"/>
        <w:jc w:val="left"/>
        <w:rPr>
          <w:noProof/>
        </w:rPr>
      </w:pPr>
      <w:r>
        <w:rPr>
          <w:rFonts w:ascii="Calibri" w:eastAsia="Calibri" w:hAnsi="Calibri" w:cs="Calibri"/>
        </w:rPr>
        <w:tab/>
      </w:r>
      <w:r w:rsidR="000B5F62">
        <w:rPr>
          <w:noProof/>
        </w:rPr>
        <w:t xml:space="preserve"> </w:t>
      </w:r>
    </w:p>
    <w:p w14:paraId="0151911A" w14:textId="77777777" w:rsidR="000B5F62" w:rsidRDefault="000B5F62">
      <w:pPr>
        <w:tabs>
          <w:tab w:val="center" w:pos="2059"/>
          <w:tab w:val="center" w:pos="7465"/>
        </w:tabs>
        <w:ind w:left="0" w:right="0" w:firstLine="0"/>
        <w:jc w:val="left"/>
        <w:rPr>
          <w:noProof/>
        </w:rPr>
      </w:pPr>
    </w:p>
    <w:p w14:paraId="56ED9FC2" w14:textId="77777777" w:rsidR="000B5F62" w:rsidRDefault="000B5F62">
      <w:pPr>
        <w:tabs>
          <w:tab w:val="center" w:pos="2059"/>
          <w:tab w:val="center" w:pos="7465"/>
        </w:tabs>
        <w:ind w:left="0" w:right="0" w:firstLine="0"/>
        <w:jc w:val="left"/>
        <w:rPr>
          <w:noProof/>
        </w:rPr>
      </w:pPr>
    </w:p>
    <w:p w14:paraId="06A1C657" w14:textId="77777777" w:rsidR="000B5F62" w:rsidRDefault="000B5F62">
      <w:pPr>
        <w:tabs>
          <w:tab w:val="center" w:pos="2059"/>
          <w:tab w:val="center" w:pos="7465"/>
        </w:tabs>
        <w:ind w:left="0" w:right="0" w:firstLine="0"/>
        <w:jc w:val="left"/>
        <w:rPr>
          <w:noProof/>
        </w:rPr>
      </w:pPr>
    </w:p>
    <w:p w14:paraId="21543134" w14:textId="77777777" w:rsidR="000B5F62" w:rsidRDefault="000B5F62">
      <w:pPr>
        <w:tabs>
          <w:tab w:val="center" w:pos="2059"/>
          <w:tab w:val="center" w:pos="7465"/>
        </w:tabs>
        <w:ind w:left="0" w:right="0" w:firstLine="0"/>
        <w:jc w:val="left"/>
        <w:rPr>
          <w:noProof/>
        </w:rPr>
      </w:pPr>
    </w:p>
    <w:p w14:paraId="6070D0D5" w14:textId="77777777" w:rsidR="000B5F62" w:rsidRDefault="000B5F62">
      <w:pPr>
        <w:tabs>
          <w:tab w:val="center" w:pos="2059"/>
          <w:tab w:val="center" w:pos="7465"/>
        </w:tabs>
        <w:ind w:left="0" w:right="0" w:firstLine="0"/>
        <w:jc w:val="left"/>
        <w:rPr>
          <w:noProof/>
        </w:rPr>
      </w:pPr>
    </w:p>
    <w:p w14:paraId="53AC6A24" w14:textId="7172A6C2" w:rsidR="00454A2E" w:rsidRDefault="00722B34">
      <w:pPr>
        <w:tabs>
          <w:tab w:val="center" w:pos="2059"/>
          <w:tab w:val="center" w:pos="7465"/>
        </w:tabs>
        <w:ind w:left="0" w:right="0" w:firstLine="0"/>
        <w:jc w:val="left"/>
      </w:pPr>
      <w:r>
        <w:tab/>
      </w:r>
      <w:r w:rsidR="000B5F62">
        <w:t>………………………………..                                                     …………………………......................</w:t>
      </w:r>
    </w:p>
    <w:p w14:paraId="76E676DA" w14:textId="6F421EC8" w:rsidR="000B5F62" w:rsidRDefault="00722B34">
      <w:pPr>
        <w:spacing w:after="225"/>
        <w:ind w:left="509" w:right="566" w:hanging="106"/>
      </w:pPr>
      <w:r>
        <w:t>PhDr. Jana Horváthová</w:t>
      </w:r>
      <w:r>
        <w:tab/>
      </w:r>
      <w:r w:rsidR="000B5F62">
        <w:t xml:space="preserve">                                                             </w:t>
      </w:r>
      <w:r>
        <w:t>Ing. Pavel Volene</w:t>
      </w:r>
      <w:r w:rsidR="000B5F62">
        <w:t>c</w:t>
      </w:r>
    </w:p>
    <w:p w14:paraId="1870BB27" w14:textId="77356E5A" w:rsidR="00454A2E" w:rsidRDefault="000B5F62">
      <w:pPr>
        <w:spacing w:after="225"/>
        <w:ind w:left="509" w:right="566" w:hanging="106"/>
      </w:pPr>
      <w:r>
        <w:t xml:space="preserve">ředitelka MRK                                                                                </w:t>
      </w:r>
      <w:r w:rsidR="00722B34">
        <w:t xml:space="preserve">ředitel PATROL </w:t>
      </w:r>
      <w:proofErr w:type="spellStart"/>
      <w:r w:rsidR="00722B34">
        <w:t>group</w:t>
      </w:r>
      <w:proofErr w:type="spellEnd"/>
      <w:r w:rsidR="00722B34">
        <w:t xml:space="preserve"> s.r.o</w:t>
      </w:r>
    </w:p>
    <w:p w14:paraId="4F6302EB" w14:textId="049CA007" w:rsidR="00454A2E" w:rsidRDefault="00454A2E">
      <w:pPr>
        <w:spacing w:after="526"/>
        <w:ind w:left="1075" w:right="0" w:firstLine="0"/>
        <w:jc w:val="left"/>
      </w:pPr>
    </w:p>
    <w:p w14:paraId="21363D8E" w14:textId="77777777" w:rsidR="00454A2E" w:rsidRDefault="00454A2E">
      <w:pPr>
        <w:sectPr w:rsidR="00454A2E">
          <w:footerReference w:type="even" r:id="rId12"/>
          <w:footerReference w:type="default" r:id="rId13"/>
          <w:footerReference w:type="first" r:id="rId14"/>
          <w:pgSz w:w="11920" w:h="16840"/>
          <w:pgMar w:top="360" w:right="1253" w:bottom="1242" w:left="1018" w:header="708" w:footer="874" w:gutter="0"/>
          <w:cols w:space="708"/>
        </w:sectPr>
      </w:pPr>
    </w:p>
    <w:p w14:paraId="38E43C90" w14:textId="77777777" w:rsidR="00454A2E" w:rsidRDefault="00722B34">
      <w:pPr>
        <w:spacing w:after="170"/>
        <w:ind w:left="0" w:right="34" w:firstLine="0"/>
        <w:jc w:val="right"/>
      </w:pPr>
      <w:proofErr w:type="spellStart"/>
      <w:proofErr w:type="gramStart"/>
      <w:r>
        <w:rPr>
          <w:sz w:val="26"/>
        </w:rPr>
        <w:lastRenderedPageBreak/>
        <w:t>Zak.číslo</w:t>
      </w:r>
      <w:proofErr w:type="spellEnd"/>
      <w:r>
        <w:rPr>
          <w:sz w:val="26"/>
        </w:rPr>
        <w:t xml:space="preserve"> :</w:t>
      </w:r>
      <w:proofErr w:type="gramEnd"/>
      <w:r>
        <w:rPr>
          <w:sz w:val="26"/>
        </w:rPr>
        <w:t xml:space="preserve"> 10740234</w:t>
      </w:r>
    </w:p>
    <w:p w14:paraId="26F44132" w14:textId="77777777" w:rsidR="00454A2E" w:rsidRDefault="00722B34">
      <w:pPr>
        <w:pStyle w:val="Nadpis1"/>
        <w:ind w:left="0" w:right="14"/>
      </w:pPr>
      <w:r>
        <w:rPr>
          <w:rFonts w:ascii="Calibri" w:eastAsia="Calibri" w:hAnsi="Calibri" w:cs="Calibri"/>
          <w:sz w:val="60"/>
        </w:rPr>
        <w:t>SMLOUVA</w:t>
      </w:r>
    </w:p>
    <w:p w14:paraId="0375EFB0" w14:textId="77777777" w:rsidR="00454A2E" w:rsidRDefault="00722B34">
      <w:pPr>
        <w:spacing w:after="121"/>
        <w:ind w:left="499" w:right="14" w:hanging="91"/>
      </w:pPr>
      <w:r>
        <w:t xml:space="preserve">o napojení elektrické požární signalizace na radiotelefonní monitorovací pult NAM PCO NET-G provozovaný společností PATROL </w:t>
      </w:r>
      <w:proofErr w:type="spellStart"/>
      <w:r>
        <w:t>group</w:t>
      </w:r>
      <w:proofErr w:type="spellEnd"/>
      <w:r>
        <w:t xml:space="preserve"> s.r.o. na krajském operačním informačním středisku</w:t>
      </w:r>
    </w:p>
    <w:p w14:paraId="5E78E237" w14:textId="0C8BB92F" w:rsidR="00454A2E" w:rsidRDefault="00722B34">
      <w:pPr>
        <w:ind w:left="3907" w:right="1522" w:hanging="1699"/>
      </w:pPr>
      <w:r>
        <w:t xml:space="preserve">Hasičského záchranného sboru Jihomoravského kraje. Dodatek </w:t>
      </w:r>
      <w:proofErr w:type="gramStart"/>
      <w:r>
        <w:t>číslo :</w:t>
      </w:r>
      <w:proofErr w:type="gramEnd"/>
      <w:r>
        <w:t xml:space="preserve"> </w:t>
      </w:r>
      <w:r w:rsidR="000B5F62">
        <w:t>1</w:t>
      </w:r>
    </w:p>
    <w:p w14:paraId="5E8B496C" w14:textId="77777777" w:rsidR="00454A2E" w:rsidRDefault="00722B34">
      <w:pPr>
        <w:spacing w:after="211"/>
        <w:ind w:left="288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B173EA9" wp14:editId="25CBCF2F">
                <wp:extent cx="5307281" cy="24386"/>
                <wp:effectExtent l="0" t="0" r="0" b="0"/>
                <wp:docPr id="26604" name="Group 26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7281" cy="24386"/>
                          <a:chOff x="0" y="0"/>
                          <a:chExt cx="5307281" cy="24386"/>
                        </a:xfrm>
                      </wpg:grpSpPr>
                      <wps:wsp>
                        <wps:cNvPr id="26603" name="Shape 26603"/>
                        <wps:cNvSpPr/>
                        <wps:spPr>
                          <a:xfrm>
                            <a:off x="0" y="0"/>
                            <a:ext cx="5307281" cy="24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7281" h="24386">
                                <a:moveTo>
                                  <a:pt x="0" y="12193"/>
                                </a:moveTo>
                                <a:lnTo>
                                  <a:pt x="5307281" y="12193"/>
                                </a:lnTo>
                              </a:path>
                            </a:pathLst>
                          </a:custGeom>
                          <a:ln w="2438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604" style="width:417.896pt;height:1.92018pt;mso-position-horizontal-relative:char;mso-position-vertical-relative:line" coordsize="53072,243">
                <v:shape id="Shape 26603" style="position:absolute;width:53072;height:243;left:0;top:0;" coordsize="5307281,24386" path="m0,12193l5307281,12193">
                  <v:stroke weight="1.9201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8502" w:type="dxa"/>
        <w:tblInd w:w="19" w:type="dxa"/>
        <w:tblCellMar>
          <w:top w:w="1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23"/>
        <w:gridCol w:w="6779"/>
      </w:tblGrid>
      <w:tr w:rsidR="00454A2E" w14:paraId="615F9FF2" w14:textId="77777777">
        <w:trPr>
          <w:trHeight w:val="1151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14:paraId="208C8E3A" w14:textId="77777777" w:rsidR="00454A2E" w:rsidRDefault="00722B34">
            <w:pPr>
              <w:spacing w:after="0"/>
              <w:ind w:left="0" w:right="0" w:firstLine="0"/>
              <w:jc w:val="left"/>
            </w:pPr>
            <w:r>
              <w:rPr>
                <w:sz w:val="26"/>
              </w:rPr>
              <w:t>Obj</w:t>
            </w:r>
            <w:r>
              <w:rPr>
                <w:sz w:val="26"/>
              </w:rPr>
              <w:t>ednatel:</w:t>
            </w:r>
          </w:p>
        </w:tc>
        <w:tc>
          <w:tcPr>
            <w:tcW w:w="6779" w:type="dxa"/>
            <w:tcBorders>
              <w:top w:val="nil"/>
              <w:left w:val="nil"/>
              <w:bottom w:val="nil"/>
              <w:right w:val="nil"/>
            </w:tcBorders>
          </w:tcPr>
          <w:p w14:paraId="4B390051" w14:textId="77777777" w:rsidR="00454A2E" w:rsidRDefault="00722B34">
            <w:pPr>
              <w:spacing w:after="0"/>
              <w:ind w:left="24" w:right="0" w:firstLine="0"/>
              <w:jc w:val="left"/>
            </w:pPr>
            <w:r>
              <w:rPr>
                <w:sz w:val="26"/>
              </w:rPr>
              <w:t>Muzeum romské kultury, státní příspěvková organizace</w:t>
            </w:r>
          </w:p>
          <w:p w14:paraId="64CDF492" w14:textId="77777777" w:rsidR="00454A2E" w:rsidRDefault="00722B34">
            <w:pPr>
              <w:spacing w:after="0" w:line="216" w:lineRule="auto"/>
              <w:ind w:left="413" w:right="3010" w:hanging="413"/>
              <w:jc w:val="left"/>
            </w:pPr>
            <w:r>
              <w:rPr>
                <w:sz w:val="24"/>
              </w:rPr>
              <w:t xml:space="preserve">Bratislavská 67, 602 00 Brno </w:t>
            </w:r>
            <w:proofErr w:type="spellStart"/>
            <w:r>
              <w:rPr>
                <w:sz w:val="24"/>
              </w:rPr>
              <w:t>lč</w:t>
            </w:r>
            <w:proofErr w:type="spellEnd"/>
            <w:r>
              <w:rPr>
                <w:sz w:val="24"/>
              </w:rPr>
              <w:t xml:space="preserve">: 71239812 </w:t>
            </w:r>
            <w:r>
              <w:rPr>
                <w:sz w:val="24"/>
              </w:rPr>
              <w:tab/>
              <w:t>DIČ: CZ71239812</w:t>
            </w:r>
          </w:p>
          <w:p w14:paraId="4C2C7A60" w14:textId="77777777" w:rsidR="00454A2E" w:rsidRDefault="00722B34">
            <w:pPr>
              <w:spacing w:after="0"/>
              <w:ind w:left="413" w:right="0" w:firstLine="0"/>
              <w:jc w:val="left"/>
            </w:pPr>
            <w:r>
              <w:t>Zastupuje: PhDr. Jana Horváthová, ředitelka</w:t>
            </w:r>
          </w:p>
        </w:tc>
      </w:tr>
      <w:tr w:rsidR="00454A2E" w14:paraId="0FEF0BD0" w14:textId="77777777">
        <w:trPr>
          <w:trHeight w:val="1010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14:paraId="2C87F669" w14:textId="77777777" w:rsidR="00454A2E" w:rsidRDefault="00722B34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4"/>
              </w:rPr>
              <w:t>Dodavatel :</w:t>
            </w:r>
            <w:proofErr w:type="gramEnd"/>
          </w:p>
        </w:tc>
        <w:tc>
          <w:tcPr>
            <w:tcW w:w="6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4D868" w14:textId="77777777" w:rsidR="00454A2E" w:rsidRDefault="00722B34">
            <w:pPr>
              <w:spacing w:after="0"/>
              <w:ind w:left="470" w:right="0" w:hanging="422"/>
            </w:pPr>
            <w:r>
              <w:t xml:space="preserve">PATROL </w:t>
            </w:r>
            <w:proofErr w:type="spellStart"/>
            <w:r>
              <w:t>group</w:t>
            </w:r>
            <w:proofErr w:type="spellEnd"/>
            <w:r>
              <w:t xml:space="preserve"> </w:t>
            </w:r>
            <w:proofErr w:type="gramStart"/>
            <w:r>
              <w:t>s.r.o. ,</w:t>
            </w:r>
            <w:proofErr w:type="gramEnd"/>
            <w:r>
              <w:t xml:space="preserve"> Romana Havelky 4957/5b , 586 01 JIHLAVA </w:t>
            </w:r>
            <w:proofErr w:type="spellStart"/>
            <w:r>
              <w:t>lč</w:t>
            </w:r>
            <w:proofErr w:type="spellEnd"/>
            <w:r>
              <w:t>: 46981233 DIČ: CZ46981233 zastoupená ředitelem společnosti Ing. Pavlem Volencem</w:t>
            </w:r>
          </w:p>
        </w:tc>
      </w:tr>
      <w:tr w:rsidR="00454A2E" w14:paraId="3C611F6C" w14:textId="77777777">
        <w:trPr>
          <w:trHeight w:val="638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4F21E" w14:textId="77777777" w:rsidR="00454A2E" w:rsidRDefault="00722B34">
            <w:pPr>
              <w:spacing w:after="0"/>
              <w:ind w:left="0" w:right="0" w:firstLine="0"/>
              <w:jc w:val="left"/>
            </w:pPr>
            <w:r>
              <w:rPr>
                <w:sz w:val="26"/>
              </w:rPr>
              <w:t>Místo určení:</w:t>
            </w:r>
          </w:p>
        </w:tc>
        <w:tc>
          <w:tcPr>
            <w:tcW w:w="6779" w:type="dxa"/>
            <w:tcBorders>
              <w:top w:val="nil"/>
              <w:left w:val="nil"/>
              <w:bottom w:val="nil"/>
              <w:right w:val="nil"/>
            </w:tcBorders>
          </w:tcPr>
          <w:p w14:paraId="32E954A5" w14:textId="77777777" w:rsidR="00454A2E" w:rsidRDefault="00722B34">
            <w:pPr>
              <w:spacing w:after="0"/>
              <w:ind w:left="43" w:right="499" w:firstLine="14"/>
              <w:jc w:val="left"/>
            </w:pPr>
            <w:r>
              <w:rPr>
                <w:sz w:val="24"/>
              </w:rPr>
              <w:t xml:space="preserve">Muzeum romské kultury, Bratislavská 67, 602 00 Brno </w:t>
            </w:r>
            <w:proofErr w:type="spellStart"/>
            <w:r>
              <w:rPr>
                <w:sz w:val="24"/>
              </w:rPr>
              <w:t>crÄTA</w:t>
            </w:r>
            <w:proofErr w:type="spellEnd"/>
            <w:r>
              <w:rPr>
                <w:sz w:val="24"/>
              </w:rPr>
              <w:t>//</w:t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 wp14:anchorId="16D8063C" wp14:editId="7873DC33">
                  <wp:extent cx="57920" cy="109738"/>
                  <wp:effectExtent l="0" t="0" r="0" b="0"/>
                  <wp:docPr id="11835" name="Picture 11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" name="Picture 1183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20" cy="109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 wp14:anchorId="0FD37768" wp14:editId="3E989365">
                  <wp:extent cx="91452" cy="82304"/>
                  <wp:effectExtent l="0" t="0" r="0" b="0"/>
                  <wp:docPr id="11836" name="Picture 11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6" name="Picture 1183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2" cy="82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E5B4F85" wp14:editId="1006AC9D">
                  <wp:extent cx="118888" cy="30483"/>
                  <wp:effectExtent l="0" t="0" r="0" b="0"/>
                  <wp:docPr id="11834" name="Picture 11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4" name="Picture 1183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88" cy="30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 wp14:anchorId="6B18A9EC" wp14:editId="2C3BA6FD">
                  <wp:extent cx="1338252" cy="158511"/>
                  <wp:effectExtent l="0" t="0" r="0" b="0"/>
                  <wp:docPr id="11878" name="Picture 11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8" name="Picture 1187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252" cy="158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FF5822" w14:textId="77777777" w:rsidR="00454A2E" w:rsidRDefault="00722B34">
      <w:pPr>
        <w:spacing w:after="401"/>
        <w:ind w:left="1718" w:right="187" w:hanging="1699"/>
      </w:pPr>
      <w:r>
        <w:t xml:space="preserve">Předmět </w:t>
      </w:r>
      <w:proofErr w:type="gramStart"/>
      <w:r>
        <w:t>plnění :</w:t>
      </w:r>
      <w:proofErr w:type="gramEnd"/>
      <w:r>
        <w:t xml:space="preserve"> napojení elektrické požární signalizace na </w:t>
      </w:r>
      <w:proofErr w:type="spellStart"/>
      <w:r>
        <w:t>rádiotelefonní</w:t>
      </w:r>
      <w:proofErr w:type="spellEnd"/>
      <w:r>
        <w:t xml:space="preserve"> pult centralizované ochrany Hasičského záchranného sboru Jihomoravského kraje - krajské operační informační střed</w:t>
      </w:r>
      <w:r>
        <w:t>isko Brno</w:t>
      </w:r>
    </w:p>
    <w:p w14:paraId="02E511C2" w14:textId="77777777" w:rsidR="00454A2E" w:rsidRDefault="00722B34">
      <w:pPr>
        <w:spacing w:after="149"/>
        <w:ind w:left="278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7821340" wp14:editId="242941D6">
                <wp:extent cx="5328619" cy="24386"/>
                <wp:effectExtent l="0" t="0" r="0" b="0"/>
                <wp:docPr id="26606" name="Group 266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8619" cy="24386"/>
                          <a:chOff x="0" y="0"/>
                          <a:chExt cx="5328619" cy="24386"/>
                        </a:xfrm>
                      </wpg:grpSpPr>
                      <wps:wsp>
                        <wps:cNvPr id="26605" name="Shape 26605"/>
                        <wps:cNvSpPr/>
                        <wps:spPr>
                          <a:xfrm>
                            <a:off x="0" y="0"/>
                            <a:ext cx="5328619" cy="24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8619" h="24386">
                                <a:moveTo>
                                  <a:pt x="0" y="12193"/>
                                </a:moveTo>
                                <a:lnTo>
                                  <a:pt x="5328619" y="12193"/>
                                </a:lnTo>
                              </a:path>
                            </a:pathLst>
                          </a:custGeom>
                          <a:ln w="2438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606" style="width:419.576pt;height:1.9202pt;mso-position-horizontal-relative:char;mso-position-vertical-relative:line" coordsize="53286,243">
                <v:shape id="Shape 26605" style="position:absolute;width:53286;height:243;left:0;top:0;" coordsize="5328619,24386" path="m0,12193l5328619,12193">
                  <v:stroke weight="1.92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8E6E744" w14:textId="77777777" w:rsidR="00454A2E" w:rsidRDefault="00722B34">
      <w:pPr>
        <w:spacing w:after="0"/>
        <w:ind w:left="293" w:right="302"/>
        <w:jc w:val="center"/>
      </w:pPr>
      <w:r>
        <w:rPr>
          <w:sz w:val="26"/>
        </w:rPr>
        <w:t>1.</w:t>
      </w:r>
    </w:p>
    <w:p w14:paraId="3D42E07D" w14:textId="77777777" w:rsidR="00454A2E" w:rsidRDefault="00722B34">
      <w:pPr>
        <w:pStyle w:val="Nadpis2"/>
        <w:spacing w:after="505"/>
        <w:ind w:right="293"/>
      </w:pPr>
      <w:r>
        <w:t>Předmět dodatku</w:t>
      </w:r>
    </w:p>
    <w:p w14:paraId="49AB0283" w14:textId="77777777" w:rsidR="00454A2E" w:rsidRDefault="00722B34">
      <w:pPr>
        <w:spacing w:after="133" w:line="269" w:lineRule="auto"/>
        <w:ind w:left="375" w:right="14" w:hanging="327"/>
      </w:pPr>
      <w:r>
        <w:rPr>
          <w:sz w:val="24"/>
        </w:rPr>
        <w:t xml:space="preserve">l. Hlava IV čl. 1 smluvní cena za služby dle této smlouvy je navýšena na </w:t>
      </w:r>
      <w:proofErr w:type="gramStart"/>
      <w:r>
        <w:rPr>
          <w:sz w:val="24"/>
        </w:rPr>
        <w:t>2.182,-</w:t>
      </w:r>
      <w:proofErr w:type="gramEnd"/>
      <w:r>
        <w:rPr>
          <w:sz w:val="24"/>
        </w:rPr>
        <w:t xml:space="preserve"> Kč bez DPH o meziroční míru inflace vyjádřenou přírůstkem průměrného ročního indexu spotřebitelských cen , vydaný Českým statistickým úřadem, který aktuálně činil v roce 2007 </w:t>
      </w:r>
      <w:r>
        <w:rPr>
          <w:sz w:val="24"/>
        </w:rPr>
        <w:t>2,8% a v roce 2008 6,3% , tj. celkem 9,1%. Smluvní strany se dohodly, že takto vzniklý doplatek ceny služeb je oprávněn PATROL vyúčtovat zpětně od 1. ledna 2009, a to v kalendářním měsíci následujícím po měsíci podpisu dodatku smluvními stranami.</w:t>
      </w:r>
    </w:p>
    <w:p w14:paraId="408C3308" w14:textId="77777777" w:rsidR="00454A2E" w:rsidRDefault="00722B34">
      <w:pPr>
        <w:numPr>
          <w:ilvl w:val="0"/>
          <w:numId w:val="8"/>
        </w:numPr>
        <w:spacing w:after="75" w:line="269" w:lineRule="auto"/>
        <w:ind w:right="16" w:hanging="355"/>
      </w:pPr>
      <w:r>
        <w:rPr>
          <w:sz w:val="24"/>
        </w:rPr>
        <w:t xml:space="preserve">Do hlavy </w:t>
      </w:r>
      <w:r>
        <w:rPr>
          <w:sz w:val="24"/>
        </w:rPr>
        <w:t>IV se doplňuje a mění text</w:t>
      </w:r>
    </w:p>
    <w:p w14:paraId="5D8E92C5" w14:textId="77777777" w:rsidR="00454A2E" w:rsidRDefault="00722B34">
      <w:pPr>
        <w:numPr>
          <w:ilvl w:val="1"/>
          <w:numId w:val="8"/>
        </w:numPr>
        <w:spacing w:after="27" w:line="269" w:lineRule="auto"/>
        <w:ind w:right="16" w:hanging="365"/>
      </w:pPr>
      <w:r>
        <w:rPr>
          <w:sz w:val="24"/>
        </w:rPr>
        <w:t>Smluvní strany se výslovně dohodly, že PATROL je oprávněn od 1. ledna 2010 cenu služeb každoročně valorizovat o meziroční míru inflace vyjádřenou přírůstkem průměrného ročního indexu spotřebitelských cen, která je každoročně zveř</w:t>
      </w:r>
      <w:r>
        <w:rPr>
          <w:sz w:val="24"/>
        </w:rPr>
        <w:t xml:space="preserve">ejňována Českým statistickým </w:t>
      </w:r>
      <w:proofErr w:type="gramStart"/>
      <w:r>
        <w:rPr>
          <w:sz w:val="24"/>
        </w:rPr>
        <w:t>úřadem 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S</w:t>
      </w:r>
      <w:proofErr w:type="gramEnd"/>
      <w:r>
        <w:rPr>
          <w:sz w:val="24"/>
        </w:rPr>
        <w:t xml:space="preserve"> mluvní strany se dohodly, že takto vzniklý doplatek ceny služeb je oprávněn PATROL vyúčtovat každoročně zpětně od l. ledna příslušného kalendářního roku, a to v kalendářním měsíci následujícím po měsíci zveřejnění mí</w:t>
      </w:r>
      <w:r>
        <w:rPr>
          <w:sz w:val="24"/>
        </w:rPr>
        <w:t xml:space="preserve">ry inflace. Smluvní strany se dále dohodly, že bude-li obdobným způsobem zveřejněna </w:t>
      </w:r>
      <w:r>
        <w:rPr>
          <w:sz w:val="24"/>
        </w:rPr>
        <w:lastRenderedPageBreak/>
        <w:t>míra deflace, bude adekvátně shora popsanému postupu snížena cena služeb ve prospěch zákazníka, případný přeplatek na ceně služeb bude řešen formou dobropisu.</w:t>
      </w:r>
    </w:p>
    <w:p w14:paraId="41A179BD" w14:textId="77777777" w:rsidR="00454A2E" w:rsidRDefault="00722B34">
      <w:pPr>
        <w:numPr>
          <w:ilvl w:val="1"/>
          <w:numId w:val="8"/>
        </w:numPr>
        <w:spacing w:after="785" w:line="258" w:lineRule="auto"/>
        <w:ind w:right="16" w:hanging="365"/>
      </w:pPr>
      <w:r>
        <w:rPr>
          <w:rFonts w:ascii="Calibri" w:eastAsia="Calibri" w:hAnsi="Calibri" w:cs="Calibri"/>
          <w:sz w:val="24"/>
        </w:rPr>
        <w:t>Smluvní stran</w:t>
      </w:r>
      <w:r>
        <w:rPr>
          <w:rFonts w:ascii="Calibri" w:eastAsia="Calibri" w:hAnsi="Calibri" w:cs="Calibri"/>
          <w:sz w:val="24"/>
        </w:rPr>
        <w:t>y se zavazují, že v případě, že by roční inflace (deflace) nebyla zveřejňována formou, jak je uvedeno v předchozím odstavci tohoto článku, uzavřou dodatek k této smlouvě obsahově odpovídající způsobu aktuálního zveřejňování, jímž nahradí tuto valorizační d</w:t>
      </w:r>
      <w:r>
        <w:rPr>
          <w:rFonts w:ascii="Calibri" w:eastAsia="Calibri" w:hAnsi="Calibri" w:cs="Calibri"/>
          <w:sz w:val="24"/>
        </w:rPr>
        <w:t>oložku.</w:t>
      </w:r>
    </w:p>
    <w:p w14:paraId="6AC83042" w14:textId="77777777" w:rsidR="00454A2E" w:rsidRDefault="00722B34">
      <w:pPr>
        <w:numPr>
          <w:ilvl w:val="0"/>
          <w:numId w:val="8"/>
        </w:numPr>
        <w:spacing w:after="785" w:line="258" w:lineRule="auto"/>
        <w:ind w:right="16" w:hanging="355"/>
      </w:pPr>
      <w:r>
        <w:rPr>
          <w:rFonts w:ascii="Calibri" w:eastAsia="Calibri" w:hAnsi="Calibri" w:cs="Calibri"/>
          <w:sz w:val="24"/>
        </w:rPr>
        <w:t>Ostatní ustanovení smlouvy nejsou tímto dodatkem dotčena.</w:t>
      </w:r>
    </w:p>
    <w:p w14:paraId="1CF043B2" w14:textId="77777777" w:rsidR="00454A2E" w:rsidRDefault="00454A2E">
      <w:pPr>
        <w:sectPr w:rsidR="00454A2E">
          <w:footerReference w:type="even" r:id="rId19"/>
          <w:footerReference w:type="default" r:id="rId20"/>
          <w:footerReference w:type="first" r:id="rId21"/>
          <w:pgSz w:w="11920" w:h="16840"/>
          <w:pgMar w:top="1119" w:right="1459" w:bottom="2184" w:left="1363" w:header="708" w:footer="708" w:gutter="0"/>
          <w:cols w:space="708"/>
        </w:sectPr>
      </w:pPr>
    </w:p>
    <w:p w14:paraId="186E2B8F" w14:textId="114829B0" w:rsidR="00454A2E" w:rsidRDefault="00454A2E">
      <w:pPr>
        <w:spacing w:after="82"/>
        <w:ind w:left="-182" w:right="0" w:firstLine="0"/>
        <w:jc w:val="left"/>
      </w:pPr>
    </w:p>
    <w:p w14:paraId="3AE60C78" w14:textId="1B6D579B" w:rsidR="000B5F62" w:rsidRDefault="000B5F62" w:rsidP="000B5F62">
      <w:pPr>
        <w:spacing w:after="526"/>
        <w:ind w:left="0" w:right="-7180" w:firstLine="0"/>
        <w:jc w:val="left"/>
      </w:pPr>
    </w:p>
    <w:p w14:paraId="18740887" w14:textId="77777777" w:rsidR="000B5F62" w:rsidRDefault="000B5F62">
      <w:pPr>
        <w:spacing w:after="82"/>
        <w:ind w:left="-182" w:right="0" w:firstLine="0"/>
        <w:jc w:val="left"/>
      </w:pPr>
    </w:p>
    <w:sectPr w:rsidR="000B5F62">
      <w:type w:val="continuous"/>
      <w:pgSz w:w="11920" w:h="16840"/>
      <w:pgMar w:top="1440" w:right="2011" w:bottom="1293" w:left="1363" w:header="708" w:footer="708" w:gutter="0"/>
      <w:cols w:num="2" w:space="708" w:equalWidth="0">
        <w:col w:w="1325" w:space="4652"/>
        <w:col w:w="256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F31A0" w14:textId="77777777" w:rsidR="00722B34" w:rsidRDefault="00722B34">
      <w:pPr>
        <w:spacing w:after="0" w:line="240" w:lineRule="auto"/>
      </w:pPr>
      <w:r>
        <w:separator/>
      </w:r>
    </w:p>
  </w:endnote>
  <w:endnote w:type="continuationSeparator" w:id="0">
    <w:p w14:paraId="33E257CE" w14:textId="77777777" w:rsidR="00722B34" w:rsidRDefault="00722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BFAEC" w14:textId="77777777" w:rsidR="00454A2E" w:rsidRDefault="00722B34">
    <w:pPr>
      <w:spacing w:after="0"/>
      <w:ind w:left="21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1CF54" w14:textId="77777777" w:rsidR="00454A2E" w:rsidRDefault="00722B34">
    <w:pPr>
      <w:spacing w:after="0"/>
      <w:ind w:left="21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FAAA" w14:textId="77777777" w:rsidR="00454A2E" w:rsidRDefault="00722B34">
    <w:pPr>
      <w:spacing w:after="0"/>
      <w:ind w:left="21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7DB30" w14:textId="77777777" w:rsidR="00454A2E" w:rsidRDefault="00454A2E">
    <w:pPr>
      <w:spacing w:after="160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7C45" w14:textId="77777777" w:rsidR="00454A2E" w:rsidRDefault="00454A2E">
    <w:pPr>
      <w:spacing w:after="160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D5AB5" w14:textId="77777777" w:rsidR="00454A2E" w:rsidRDefault="00454A2E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06605" w14:textId="77777777" w:rsidR="00722B34" w:rsidRDefault="00722B34">
      <w:pPr>
        <w:spacing w:after="0" w:line="240" w:lineRule="auto"/>
      </w:pPr>
      <w:r>
        <w:separator/>
      </w:r>
    </w:p>
  </w:footnote>
  <w:footnote w:type="continuationSeparator" w:id="0">
    <w:p w14:paraId="5DCE887B" w14:textId="77777777" w:rsidR="00722B34" w:rsidRDefault="00722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50" style="width:6pt;height:6.5pt" coordsize="" o:spt="100" o:bullet="t" adj="0,,0" path="" stroked="f">
        <v:stroke joinstyle="miter"/>
        <v:imagedata r:id="rId1" o:title="image25"/>
        <v:formulas/>
        <v:path o:connecttype="segments"/>
      </v:shape>
    </w:pict>
  </w:numPicBullet>
  <w:abstractNum w:abstractNumId="0" w15:restartNumberingAfterBreak="0">
    <w:nsid w:val="1CA21E63"/>
    <w:multiLevelType w:val="hybridMultilevel"/>
    <w:tmpl w:val="0638FC82"/>
    <w:lvl w:ilvl="0" w:tplc="C5FE2488">
      <w:start w:val="1"/>
      <w:numFmt w:val="decimal"/>
      <w:lvlText w:val="%1.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2A3060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A6305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142D6A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BED2CC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BA5C48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128290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EEA8AC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2251C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196D86"/>
    <w:multiLevelType w:val="hybridMultilevel"/>
    <w:tmpl w:val="E702BDAC"/>
    <w:lvl w:ilvl="0" w:tplc="08D2CCC0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B62E336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B063862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572F4E2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65EDC88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C0CA17E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8BEBAE8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E845752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D06FDD0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7B318E"/>
    <w:multiLevelType w:val="hybridMultilevel"/>
    <w:tmpl w:val="91EE01D2"/>
    <w:lvl w:ilvl="0" w:tplc="2006D814">
      <w:start w:val="8"/>
      <w:numFmt w:val="decimal"/>
      <w:lvlText w:val="%1."/>
      <w:lvlJc w:val="left"/>
      <w:pPr>
        <w:ind w:left="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AC28042">
      <w:start w:val="1"/>
      <w:numFmt w:val="lowerLetter"/>
      <w:lvlText w:val="%2)"/>
      <w:lvlJc w:val="left"/>
      <w:pPr>
        <w:ind w:left="1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E4E694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5ED4DE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6456B4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747DC0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D455B4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ACEE78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5E3EAC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9B7BEC"/>
    <w:multiLevelType w:val="hybridMultilevel"/>
    <w:tmpl w:val="D3F2A74E"/>
    <w:lvl w:ilvl="0" w:tplc="0A76ADDA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806BC0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C88FAE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2EC904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783A8A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9E155E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1AF7CA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50B628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26C5D4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07569B"/>
    <w:multiLevelType w:val="hybridMultilevel"/>
    <w:tmpl w:val="9A24068A"/>
    <w:lvl w:ilvl="0" w:tplc="1DF834F6">
      <w:start w:val="1"/>
      <w:numFmt w:val="decimal"/>
      <w:lvlText w:val="%1."/>
      <w:lvlJc w:val="left"/>
      <w:pPr>
        <w:ind w:left="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1704BB2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99E4E0C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A7E5340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8A48B16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976DBA6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5E84E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9544458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B14B752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B3499F"/>
    <w:multiLevelType w:val="hybridMultilevel"/>
    <w:tmpl w:val="5148AFA4"/>
    <w:lvl w:ilvl="0" w:tplc="DA044F20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F92B1D6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256AEC2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36E2C3E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5E0926E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2704DC2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158DD66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D7CC8FA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4C6EBA8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0908CD"/>
    <w:multiLevelType w:val="hybridMultilevel"/>
    <w:tmpl w:val="8E6E9EC8"/>
    <w:lvl w:ilvl="0" w:tplc="CEE83A62">
      <w:start w:val="2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041A62">
      <w:start w:val="1"/>
      <w:numFmt w:val="decimal"/>
      <w:lvlText w:val="%2)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CC5674">
      <w:start w:val="1"/>
      <w:numFmt w:val="lowerRoman"/>
      <w:lvlText w:val="%3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8606FE">
      <w:start w:val="1"/>
      <w:numFmt w:val="decimal"/>
      <w:lvlText w:val="%4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821A8C">
      <w:start w:val="1"/>
      <w:numFmt w:val="lowerLetter"/>
      <w:lvlText w:val="%5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A62962">
      <w:start w:val="1"/>
      <w:numFmt w:val="lowerRoman"/>
      <w:lvlText w:val="%6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FC15D8">
      <w:start w:val="1"/>
      <w:numFmt w:val="decimal"/>
      <w:lvlText w:val="%7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0493AA">
      <w:start w:val="1"/>
      <w:numFmt w:val="lowerLetter"/>
      <w:lvlText w:val="%8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863694">
      <w:start w:val="1"/>
      <w:numFmt w:val="lowerRoman"/>
      <w:lvlText w:val="%9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AA7753"/>
    <w:multiLevelType w:val="hybridMultilevel"/>
    <w:tmpl w:val="1624DA16"/>
    <w:lvl w:ilvl="0" w:tplc="F5BA688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180600">
      <w:start w:val="1"/>
      <w:numFmt w:val="bullet"/>
      <w:lvlText w:val="o"/>
      <w:lvlJc w:val="left"/>
      <w:pPr>
        <w:ind w:left="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8C3130">
      <w:start w:val="1"/>
      <w:numFmt w:val="bullet"/>
      <w:lvlRestart w:val="0"/>
      <w:lvlText w:val="•"/>
      <w:lvlPicBulletId w:val="0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C66918">
      <w:start w:val="1"/>
      <w:numFmt w:val="bullet"/>
      <w:lvlText w:val="•"/>
      <w:lvlJc w:val="left"/>
      <w:pPr>
        <w:ind w:left="2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0EA506">
      <w:start w:val="1"/>
      <w:numFmt w:val="bullet"/>
      <w:lvlText w:val="o"/>
      <w:lvlJc w:val="left"/>
      <w:pPr>
        <w:ind w:left="2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8E95BC">
      <w:start w:val="1"/>
      <w:numFmt w:val="bullet"/>
      <w:lvlText w:val="▪"/>
      <w:lvlJc w:val="left"/>
      <w:pPr>
        <w:ind w:left="3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2AB912">
      <w:start w:val="1"/>
      <w:numFmt w:val="bullet"/>
      <w:lvlText w:val="•"/>
      <w:lvlJc w:val="left"/>
      <w:pPr>
        <w:ind w:left="4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DE7E90">
      <w:start w:val="1"/>
      <w:numFmt w:val="bullet"/>
      <w:lvlText w:val="o"/>
      <w:lvlJc w:val="left"/>
      <w:pPr>
        <w:ind w:left="5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B2FA9E">
      <w:start w:val="1"/>
      <w:numFmt w:val="bullet"/>
      <w:lvlText w:val="▪"/>
      <w:lvlJc w:val="left"/>
      <w:pPr>
        <w:ind w:left="5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2E"/>
    <w:rsid w:val="000B5F62"/>
    <w:rsid w:val="00454A2E"/>
    <w:rsid w:val="0072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2C470"/>
  <w15:docId w15:val="{A278886A-443C-49D6-9CDC-E19EF76D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/>
      <w:ind w:left="380" w:right="19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346"/>
      <w:jc w:val="center"/>
      <w:outlineLvl w:val="0"/>
    </w:pPr>
    <w:rPr>
      <w:rFonts w:ascii="Times New Roman" w:eastAsia="Times New Roman" w:hAnsi="Times New Roman" w:cs="Times New Roman"/>
      <w:color w:val="000000"/>
      <w:sz w:val="5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69" w:line="265" w:lineRule="auto"/>
      <w:ind w:left="298" w:hanging="10"/>
      <w:jc w:val="center"/>
      <w:outlineLvl w:val="1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82"/>
      <w:ind w:left="370"/>
      <w:jc w:val="center"/>
      <w:outlineLvl w:val="2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5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2.xml"/><Relationship Id="rId18" Type="http://schemas.openxmlformats.org/officeDocument/2006/relationships/image" Target="media/image10.jpg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theme" Target="theme/theme1.xml"/><Relationship Id="rId10" Type="http://schemas.openxmlformats.org/officeDocument/2006/relationships/image" Target="media/image5.jpg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1682</Words>
  <Characters>9930</Characters>
  <Application>Microsoft Office Word</Application>
  <DocSecurity>0</DocSecurity>
  <Lines>82</Lines>
  <Paragraphs>23</Paragraphs>
  <ScaleCrop>false</ScaleCrop>
  <Company/>
  <LinksUpToDate>false</LinksUpToDate>
  <CharactersWithSpaces>11589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Lesja Dudčuková</dc:creator>
  <cp:keywords/>
  <cp:lastModifiedBy>Lesja Dudčuková</cp:lastModifiedBy>
  <cp:revision>2</cp:revision>
  <dcterms:created xsi:type="dcterms:W3CDTF">2024-02-06T13:58:00Z</dcterms:created>
  <dcterms:modified xsi:type="dcterms:W3CDTF">2024-02-06T13:58:00Z</dcterms:modified>
</cp:coreProperties>
</file>