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39" w:rsidRDefault="00D349AB">
      <w:pPr>
        <w:tabs>
          <w:tab w:val="center" w:pos="9626"/>
        </w:tabs>
        <w:spacing w:after="78"/>
      </w:pPr>
      <w:r>
        <w:rPr>
          <w:rFonts w:ascii="Times New Roman" w:eastAsia="Times New Roman" w:hAnsi="Times New Roman" w:cs="Times New Roman"/>
          <w:b/>
          <w:sz w:val="19"/>
        </w:rPr>
        <w:t xml:space="preserve">          SMLOUVA O NÁJMU (Operativní leasing s volitelnými službami)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noProof/>
        </w:rPr>
        <w:drawing>
          <wp:inline distT="0" distB="0" distL="0" distR="0">
            <wp:extent cx="926122" cy="54866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122" cy="5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39" w:rsidRDefault="00D349AB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č. 4701759</w:t>
      </w:r>
    </w:p>
    <w:p w:rsidR="00886E39" w:rsidRDefault="00D349AB">
      <w:pPr>
        <w:spacing w:after="0"/>
        <w:ind w:left="86"/>
        <w:jc w:val="center"/>
      </w:pPr>
      <w:r>
        <w:rPr>
          <w:rFonts w:ascii="Times New Roman" w:eastAsia="Times New Roman" w:hAnsi="Times New Roman" w:cs="Times New Roman"/>
          <w:sz w:val="13"/>
        </w:rPr>
        <w:t>uzavřená dle § 1746 odst.2 zákona č. 89/2012 Sb., občanský zákoník</w:t>
      </w:r>
    </w:p>
    <w:tbl>
      <w:tblPr>
        <w:tblStyle w:val="TableGrid"/>
        <w:tblW w:w="10646" w:type="dxa"/>
        <w:tblInd w:w="-23" w:type="dxa"/>
        <w:tblCellMar>
          <w:top w:w="26" w:type="dxa"/>
          <w:left w:w="25" w:type="dxa"/>
          <w:bottom w:w="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5438"/>
        <w:gridCol w:w="1727"/>
      </w:tblGrid>
      <w:tr w:rsidR="00886E39">
        <w:trPr>
          <w:trHeight w:val="2185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uzavřená mezi stranami</w:t>
            </w:r>
          </w:p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LEASINGOVÝ NÁJEMCE </w:t>
            </w:r>
          </w:p>
          <w:p w:rsidR="00886E39" w:rsidRDefault="00D349A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Obch.jméno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/Jméno Příjmení, sídlo/bydliště:</w:t>
            </w:r>
          </w:p>
          <w:p w:rsidR="00886E39" w:rsidRDefault="00D349AB">
            <w:pPr>
              <w:spacing w:after="0" w:line="240" w:lineRule="auto"/>
              <w:ind w:right="162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Zapsaný v obch. rejstříku: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</w:rPr>
              <w:t>IČ/DIČ nebo RČ:</w:t>
            </w:r>
          </w:p>
          <w:p w:rsidR="00886E39" w:rsidRDefault="00D349AB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13"/>
              </w:rPr>
              <w:t>Bankovní spojení:</w:t>
            </w:r>
          </w:p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LEASINGOVÝ PRONAJÍMATEL </w:t>
            </w:r>
          </w:p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Obch. jméno, sídlo:</w:t>
            </w:r>
          </w:p>
          <w:p w:rsidR="00886E39" w:rsidRDefault="00D349AB">
            <w:pPr>
              <w:spacing w:after="1" w:line="240" w:lineRule="auto"/>
              <w:ind w:right="156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Zapsaná v obch. rejstříku: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</w:rPr>
              <w:t>IČ/DIČ:</w:t>
            </w:r>
          </w:p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Bankovní spojení:</w:t>
            </w:r>
          </w:p>
        </w:tc>
        <w:tc>
          <w:tcPr>
            <w:tcW w:w="54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886E39" w:rsidRDefault="00D349A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3"/>
              </w:rPr>
              <w:t>PLATO Ostrava, příspěvková organizace, Prokešovo náměstí 1803/8, 70200 Ostrava</w:t>
            </w:r>
          </w:p>
          <w:p w:rsidR="00886E39" w:rsidRDefault="00D349AB">
            <w:pPr>
              <w:spacing w:after="16" w:line="240" w:lineRule="auto"/>
              <w:ind w:left="114" w:right="179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Krajský soud v Ostravě, spis.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zn.Pr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/5244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</w:rPr>
              <w:t>71294538/CZ71294538</w:t>
            </w:r>
          </w:p>
          <w:p w:rsidR="00886E39" w:rsidRDefault="000B3E8A">
            <w:pPr>
              <w:tabs>
                <w:tab w:val="center" w:pos="29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 w:rsidR="00706DB3">
              <w:rPr>
                <w:rFonts w:ascii="Times New Roman" w:eastAsia="Times New Roman" w:hAnsi="Times New Roman" w:cs="Times New Roman"/>
                <w:sz w:val="13"/>
              </w:rPr>
              <w:t>XXX</w:t>
            </w:r>
            <w:r w:rsidR="00D349AB">
              <w:rPr>
                <w:rFonts w:ascii="Times New Roman" w:eastAsia="Times New Roman" w:hAnsi="Times New Roman" w:cs="Times New Roman"/>
                <w:sz w:val="13"/>
              </w:rPr>
              <w:tab/>
            </w:r>
            <w:proofErr w:type="spellStart"/>
            <w:r w:rsidR="00D349AB">
              <w:rPr>
                <w:rFonts w:ascii="Times New Roman" w:eastAsia="Times New Roman" w:hAnsi="Times New Roman" w:cs="Times New Roman"/>
                <w:sz w:val="13"/>
              </w:rPr>
              <w:t>č.účtu</w:t>
            </w:r>
            <w:proofErr w:type="spellEnd"/>
            <w:r w:rsidR="00D349AB">
              <w:rPr>
                <w:rFonts w:ascii="Times New Roman" w:eastAsia="Times New Roman" w:hAnsi="Times New Roman" w:cs="Times New Roman"/>
                <w:sz w:val="13"/>
              </w:rPr>
              <w:t>:</w:t>
            </w:r>
          </w:p>
          <w:p w:rsidR="00886E39" w:rsidRDefault="000B3E8A">
            <w:pPr>
              <w:tabs>
                <w:tab w:val="center" w:pos="1162"/>
                <w:tab w:val="center" w:pos="2988"/>
              </w:tabs>
              <w:spacing w:after="30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 w:rsidR="00D349AB">
              <w:rPr>
                <w:rFonts w:ascii="Times New Roman" w:eastAsia="Times New Roman" w:hAnsi="Times New Roman" w:cs="Times New Roman"/>
                <w:sz w:val="13"/>
              </w:rPr>
              <w:t>SWIFT:</w:t>
            </w:r>
            <w:r w:rsidR="00D349AB"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XXX</w:t>
            </w:r>
            <w:r w:rsidR="00D349AB">
              <w:rPr>
                <w:rFonts w:ascii="Times New Roman" w:eastAsia="Times New Roman" w:hAnsi="Times New Roman" w:cs="Times New Roman"/>
                <w:sz w:val="13"/>
              </w:rPr>
              <w:tab/>
              <w:t>IBAN:</w:t>
            </w:r>
          </w:p>
          <w:p w:rsidR="00886E39" w:rsidRDefault="00D349A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3"/>
              </w:rPr>
              <w:t>ČSOB Leasing, a.s., Na Pankráci 310/60, 14000 Praha 4</w:t>
            </w:r>
          </w:p>
          <w:p w:rsidR="00886E39" w:rsidRDefault="00D349AB">
            <w:pPr>
              <w:spacing w:after="0"/>
              <w:ind w:left="114" w:right="22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Městský soud v Praze, spis.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zn.B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/3491 63998980/CZ63998980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  <w:t>XXX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č.účtu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: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</w:rPr>
              <w:t>SWIFT: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t xml:space="preserve">       XXX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>IBAN:</w:t>
            </w:r>
          </w:p>
        </w:tc>
        <w:tc>
          <w:tcPr>
            <w:tcW w:w="17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86E39" w:rsidRDefault="000B3E8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XXX</w:t>
            </w:r>
          </w:p>
          <w:p w:rsidR="00886E39" w:rsidRDefault="000B3E8A" w:rsidP="000B3E8A">
            <w:pPr>
              <w:spacing w:after="768"/>
              <w:ind w:left="25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XXX</w:t>
            </w:r>
          </w:p>
          <w:p w:rsidR="00886E39" w:rsidRDefault="000B3E8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XXX</w:t>
            </w:r>
            <w:r>
              <w:rPr>
                <w:rFonts w:ascii="Times New Roman" w:eastAsia="Times New Roman" w:hAnsi="Times New Roman" w:cs="Times New Roman"/>
                <w:sz w:val="13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XXX</w:t>
            </w:r>
            <w:proofErr w:type="spellEnd"/>
          </w:p>
        </w:tc>
      </w:tr>
      <w:tr w:rsidR="00886E39">
        <w:trPr>
          <w:trHeight w:val="312"/>
        </w:trPr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6E39" w:rsidRDefault="00D349AB">
            <w:pPr>
              <w:spacing w:after="0"/>
              <w:ind w:right="84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DODAVATEL PŘEDMĚTU NÁJMU </w:t>
            </w:r>
            <w:r w:rsidR="000B3E8A">
              <w:rPr>
                <w:rFonts w:ascii="Times New Roman" w:eastAsia="Times New Roman" w:hAnsi="Times New Roman" w:cs="Times New Roman"/>
                <w:b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Obch.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jméno,sídlo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:</w:t>
            </w:r>
          </w:p>
        </w:tc>
        <w:tc>
          <w:tcPr>
            <w:tcW w:w="71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86E39" w:rsidRDefault="00D349A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3"/>
              </w:rPr>
              <w:t>AUTOLAROS SPEED s.r.o., Krmelínská 748/9, 72000 Ostrava-Hrabová</w:t>
            </w:r>
          </w:p>
        </w:tc>
      </w:tr>
    </w:tbl>
    <w:p w:rsidR="00886E39" w:rsidRDefault="00D349AB" w:rsidP="000B3E8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4" w:color="000000"/>
        </w:pBdr>
        <w:spacing w:after="0"/>
        <w:ind w:left="2"/>
      </w:pPr>
      <w:r>
        <w:rPr>
          <w:rFonts w:ascii="Times New Roman" w:eastAsia="Times New Roman" w:hAnsi="Times New Roman" w:cs="Times New Roman"/>
          <w:b/>
          <w:sz w:val="13"/>
        </w:rPr>
        <w:t xml:space="preserve">PŘEDMĚT NÁJMU </w:t>
      </w:r>
      <w:r>
        <w:rPr>
          <w:rFonts w:ascii="Times New Roman" w:eastAsia="Times New Roman" w:hAnsi="Times New Roman" w:cs="Times New Roman"/>
          <w:sz w:val="11"/>
        </w:rPr>
        <w:t>(detailní popis je uveden ve Specifikaci předmětu nájmu)</w:t>
      </w:r>
    </w:p>
    <w:p w:rsidR="00886E39" w:rsidRDefault="00D349AB" w:rsidP="000B3E8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4" w:color="000000"/>
        </w:pBdr>
        <w:tabs>
          <w:tab w:val="center" w:pos="3964"/>
        </w:tabs>
        <w:spacing w:after="0"/>
        <w:ind w:left="2"/>
      </w:pPr>
      <w:r>
        <w:rPr>
          <w:rFonts w:ascii="Times New Roman" w:eastAsia="Times New Roman" w:hAnsi="Times New Roman" w:cs="Times New Roman"/>
          <w:sz w:val="13"/>
        </w:rPr>
        <w:t xml:space="preserve">Druh a stav: </w:t>
      </w:r>
      <w:r>
        <w:rPr>
          <w:rFonts w:ascii="Times New Roman" w:eastAsia="Times New Roman" w:hAnsi="Times New Roman" w:cs="Times New Roman"/>
          <w:sz w:val="13"/>
        </w:rPr>
        <w:tab/>
        <w:t>osobní / nový</w:t>
      </w:r>
    </w:p>
    <w:p w:rsidR="00886E39" w:rsidRDefault="00D349AB" w:rsidP="000B3E8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4" w:color="000000"/>
        </w:pBdr>
        <w:tabs>
          <w:tab w:val="center" w:pos="5610"/>
        </w:tabs>
        <w:spacing w:after="9"/>
        <w:ind w:left="2"/>
      </w:pPr>
      <w:r>
        <w:rPr>
          <w:rFonts w:ascii="Times New Roman" w:eastAsia="Times New Roman" w:hAnsi="Times New Roman" w:cs="Times New Roman"/>
          <w:sz w:val="13"/>
        </w:rPr>
        <w:t xml:space="preserve">Tovární značka a typ: </w:t>
      </w:r>
      <w:r>
        <w:rPr>
          <w:rFonts w:ascii="Times New Roman" w:eastAsia="Times New Roman" w:hAnsi="Times New Roman" w:cs="Times New Roman"/>
          <w:sz w:val="13"/>
        </w:rPr>
        <w:tab/>
      </w:r>
      <w:r>
        <w:rPr>
          <w:rFonts w:ascii="Times New Roman" w:eastAsia="Times New Roman" w:hAnsi="Times New Roman" w:cs="Times New Roman"/>
          <w:b/>
          <w:sz w:val="13"/>
        </w:rPr>
        <w:t xml:space="preserve">HYUNDAI i40 16 WG 1,7D MP MT </w:t>
      </w:r>
      <w:proofErr w:type="spellStart"/>
      <w:r>
        <w:rPr>
          <w:rFonts w:ascii="Times New Roman" w:eastAsia="Times New Roman" w:hAnsi="Times New Roman" w:cs="Times New Roman"/>
          <w:b/>
          <w:sz w:val="13"/>
        </w:rPr>
        <w:t>Experience</w:t>
      </w:r>
      <w:proofErr w:type="spellEnd"/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3"/>
        </w:rPr>
        <w:t>Success</w:t>
      </w:r>
      <w:proofErr w:type="spellEnd"/>
      <w:r>
        <w:rPr>
          <w:rFonts w:ascii="Times New Roman" w:eastAsia="Times New Roman" w:hAnsi="Times New Roman" w:cs="Times New Roman"/>
          <w:b/>
          <w:sz w:val="13"/>
        </w:rPr>
        <w:t xml:space="preserve"> NAV 104 kW</w:t>
      </w:r>
    </w:p>
    <w:p w:rsidR="00886E39" w:rsidRDefault="00D349AB" w:rsidP="000B3E8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4" w:color="000000"/>
        </w:pBdr>
        <w:tabs>
          <w:tab w:val="center" w:pos="4467"/>
        </w:tabs>
        <w:spacing w:after="0"/>
        <w:ind w:left="2"/>
      </w:pPr>
      <w:r>
        <w:rPr>
          <w:rFonts w:ascii="Times New Roman" w:eastAsia="Times New Roman" w:hAnsi="Times New Roman" w:cs="Times New Roman"/>
          <w:sz w:val="13"/>
        </w:rPr>
        <w:t>Předpokládaná pořizovací cena (</w:t>
      </w:r>
      <w:proofErr w:type="spellStart"/>
      <w:r>
        <w:rPr>
          <w:rFonts w:ascii="Times New Roman" w:eastAsia="Times New Roman" w:hAnsi="Times New Roman" w:cs="Times New Roman"/>
          <w:sz w:val="13"/>
        </w:rPr>
        <w:t>vč.DPH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): </w:t>
      </w:r>
      <w:r>
        <w:rPr>
          <w:rFonts w:ascii="Times New Roman" w:eastAsia="Times New Roman" w:hAnsi="Times New Roman" w:cs="Times New Roman"/>
          <w:sz w:val="13"/>
        </w:rPr>
        <w:tab/>
      </w:r>
      <w:r>
        <w:rPr>
          <w:rFonts w:ascii="Times New Roman" w:eastAsia="Times New Roman" w:hAnsi="Times New Roman" w:cs="Times New Roman"/>
          <w:b/>
          <w:sz w:val="13"/>
        </w:rPr>
        <w:t>525 322,</w:t>
      </w:r>
      <w:proofErr w:type="gramStart"/>
      <w:r>
        <w:rPr>
          <w:rFonts w:ascii="Times New Roman" w:eastAsia="Times New Roman" w:hAnsi="Times New Roman" w:cs="Times New Roman"/>
          <w:b/>
          <w:sz w:val="13"/>
        </w:rPr>
        <w:t>01  Kč</w:t>
      </w:r>
      <w:proofErr w:type="gramEnd"/>
    </w:p>
    <w:p w:rsidR="00886E39" w:rsidRDefault="00D349AB" w:rsidP="000B3E8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4" w:color="000000"/>
        </w:pBdr>
        <w:spacing w:after="0" w:line="265" w:lineRule="auto"/>
        <w:ind w:left="2"/>
      </w:pPr>
      <w:r>
        <w:rPr>
          <w:rFonts w:ascii="Times New Roman" w:eastAsia="Times New Roman" w:hAnsi="Times New Roman" w:cs="Times New Roman"/>
          <w:sz w:val="12"/>
        </w:rPr>
        <w:t>Jedním ze vstupních parametru smlouvy</w:t>
      </w:r>
      <w:r>
        <w:rPr>
          <w:rFonts w:ascii="Times New Roman" w:eastAsia="Times New Roman" w:hAnsi="Times New Roman" w:cs="Times New Roman"/>
          <w:sz w:val="12"/>
        </w:rPr>
        <w:t xml:space="preserve"> se rozumí souhrn kupní (pořizovací) ceny a všech nákladů na pořízení PN, nutných k provedení leasingové operace a k uvedení PN do provozu. Předpokládané datum dodání</w:t>
      </w:r>
      <w:r w:rsidR="000B3E8A">
        <w:rPr>
          <w:rFonts w:ascii="Times New Roman" w:eastAsia="Times New Roman" w:hAnsi="Times New Roman" w:cs="Times New Roman"/>
          <w:sz w:val="12"/>
        </w:rPr>
        <w:br/>
      </w:r>
      <w:r>
        <w:rPr>
          <w:rFonts w:ascii="Times New Roman" w:eastAsia="Times New Roman" w:hAnsi="Times New Roman" w:cs="Times New Roman"/>
          <w:sz w:val="12"/>
        </w:rPr>
        <w:t>závisí na výrobních a dodacích podmínkách dodavatel</w:t>
      </w:r>
      <w:r>
        <w:rPr>
          <w:rFonts w:ascii="Times New Roman" w:eastAsia="Times New Roman" w:hAnsi="Times New Roman" w:cs="Times New Roman"/>
          <w:sz w:val="12"/>
        </w:rPr>
        <w:t>e (u nových vozidel na objednávku se může jednat až o 6 měsíců).</w:t>
      </w:r>
    </w:p>
    <w:p w:rsidR="00886E39" w:rsidRDefault="00D349AB">
      <w:pPr>
        <w:spacing w:after="59"/>
        <w:ind w:left="-29" w:right="-99"/>
      </w:pPr>
      <w:r>
        <w:rPr>
          <w:noProof/>
        </w:rPr>
        <mc:AlternateContent>
          <mc:Choice Requires="wpg">
            <w:drawing>
              <wp:inline distT="0" distB="0" distL="0" distR="0">
                <wp:extent cx="6768085" cy="106680"/>
                <wp:effectExtent l="0" t="0" r="0" b="0"/>
                <wp:docPr id="6111" name="Group 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85" cy="106680"/>
                          <a:chOff x="0" y="0"/>
                          <a:chExt cx="6768085" cy="10668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19812" y="3207"/>
                            <a:ext cx="726676" cy="12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E39" w:rsidRDefault="00D349A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>Typ kalkulace: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81354" y="3207"/>
                            <a:ext cx="448355" cy="12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E39" w:rsidRDefault="00D349A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JISTOTA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9" name="Shape 6679"/>
                        <wps:cNvSpPr/>
                        <wps:spPr>
                          <a:xfrm>
                            <a:off x="0" y="0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" name="Shape 6680"/>
                        <wps:cNvSpPr/>
                        <wps:spPr>
                          <a:xfrm>
                            <a:off x="6760464" y="7620"/>
                            <a:ext cx="914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" name="Shape 6681"/>
                        <wps:cNvSpPr/>
                        <wps:spPr>
                          <a:xfrm>
                            <a:off x="7620" y="0"/>
                            <a:ext cx="6760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464" h="9144">
                                <a:moveTo>
                                  <a:pt x="0" y="0"/>
                                </a:moveTo>
                                <a:lnTo>
                                  <a:pt x="6760464" y="0"/>
                                </a:lnTo>
                                <a:lnTo>
                                  <a:pt x="6760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2" name="Shape 6682"/>
                        <wps:cNvSpPr/>
                        <wps:spPr>
                          <a:xfrm>
                            <a:off x="7620" y="99060"/>
                            <a:ext cx="6760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464" h="9144">
                                <a:moveTo>
                                  <a:pt x="0" y="0"/>
                                </a:moveTo>
                                <a:lnTo>
                                  <a:pt x="6760464" y="0"/>
                                </a:lnTo>
                                <a:lnTo>
                                  <a:pt x="6760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1" style="width:532.92pt;height:8.40002pt;mso-position-horizontal-relative:char;mso-position-vertical-relative:line" coordsize="67680,1066">
                <v:rect id="Rectangle 39" style="position:absolute;width:7266;height:1256;left:198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3"/>
                          </w:rPr>
                          <w:t xml:space="preserve">Typ kalkulace:</w:t>
                        </w:r>
                      </w:p>
                    </w:txbxContent>
                  </v:textbox>
                </v:rect>
                <v:rect id="Rectangle 40" style="position:absolute;width:4483;height:1256;left:11813;top: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JISTOTA</w:t>
                        </w:r>
                      </w:p>
                    </w:txbxContent>
                  </v:textbox>
                </v:rect>
                <v:shape id="Shape 6683" style="position:absolute;width:91;height:1066;left:0;top:0;" coordsize="9144,106680" path="m0,0l9144,0l9144,106680l0,106680l0,0">
                  <v:stroke weight="0pt" endcap="flat" joinstyle="miter" miterlimit="10" on="false" color="#000000" opacity="0"/>
                  <v:fill on="true" color="#000000"/>
                </v:shape>
                <v:shape id="Shape 6684" style="position:absolute;width:91;height:990;left:67604;top:76;" coordsize="9144,99060" path="m0,0l9144,0l9144,99060l0,99060l0,0">
                  <v:stroke weight="0pt" endcap="flat" joinstyle="miter" miterlimit="10" on="false" color="#000000" opacity="0"/>
                  <v:fill on="true" color="#000000"/>
                </v:shape>
                <v:shape id="Shape 6685" style="position:absolute;width:67604;height:91;left:76;top:0;" coordsize="6760464,9144" path="m0,0l6760464,0l6760464,9144l0,9144l0,0">
                  <v:stroke weight="0pt" endcap="flat" joinstyle="miter" miterlimit="10" on="false" color="#000000" opacity="0"/>
                  <v:fill on="true" color="#000000"/>
                </v:shape>
                <v:shape id="Shape 6686" style="position:absolute;width:67604;height:91;left:76;top:990;" coordsize="6760464,9144" path="m0,0l6760464,0l6760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46" w:type="dxa"/>
        <w:tblInd w:w="-23" w:type="dxa"/>
        <w:tblCellMar>
          <w:top w:w="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621"/>
        <w:gridCol w:w="3243"/>
        <w:gridCol w:w="3171"/>
        <w:gridCol w:w="611"/>
      </w:tblGrid>
      <w:tr w:rsidR="00886E39">
        <w:trPr>
          <w:trHeight w:val="151"/>
        </w:trPr>
        <w:tc>
          <w:tcPr>
            <w:tcW w:w="362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86E39" w:rsidRDefault="00D349A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Doba nájmu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: </w:t>
            </w:r>
          </w:p>
        </w:tc>
        <w:tc>
          <w:tcPr>
            <w:tcW w:w="3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B3E8A" w:rsidRPr="000B3E8A" w:rsidRDefault="00D349AB" w:rsidP="000B3E8A">
            <w:pPr>
              <w:spacing w:after="0"/>
              <w:ind w:left="499"/>
              <w:rPr>
                <w:rFonts w:ascii="Times New Roman" w:eastAsia="Times New Roman" w:hAnsi="Times New Roman" w:cs="Times New Roman"/>
                <w:b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36 měsíců</w:t>
            </w:r>
          </w:p>
        </w:tc>
        <w:tc>
          <w:tcPr>
            <w:tcW w:w="31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86E39" w:rsidRDefault="00886E39"/>
        </w:tc>
        <w:tc>
          <w:tcPr>
            <w:tcW w:w="61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86E39" w:rsidRDefault="00886E39"/>
        </w:tc>
      </w:tr>
      <w:tr w:rsidR="00886E39">
        <w:trPr>
          <w:trHeight w:val="785"/>
        </w:trPr>
        <w:tc>
          <w:tcPr>
            <w:tcW w:w="36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86E39" w:rsidRDefault="00D349AB" w:rsidP="000B3E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Počet km / doba nájmu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: </w:t>
            </w:r>
          </w:p>
          <w:p w:rsidR="00886E39" w:rsidRDefault="00D349AB">
            <w:pPr>
              <w:tabs>
                <w:tab w:val="center" w:pos="2083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Sazba za nedojeté km: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0,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83  Kč</w:t>
            </w:r>
            <w:proofErr w:type="gramEnd"/>
          </w:p>
          <w:p w:rsidR="00886E39" w:rsidRDefault="00D349AB" w:rsidP="000B3E8A">
            <w:pPr>
              <w:spacing w:after="0"/>
              <w:ind w:right="1267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Smluvní poplatek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za uzavření smlouvy: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Kauce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pro zajištění případných budoucích závazků: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86E39" w:rsidRDefault="00D349AB">
            <w:pPr>
              <w:spacing w:after="8"/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60 000 km</w:t>
            </w:r>
          </w:p>
          <w:p w:rsidR="00886E39" w:rsidRDefault="00D349AB">
            <w:pPr>
              <w:tabs>
                <w:tab w:val="center" w:pos="1571"/>
              </w:tabs>
              <w:spacing w:after="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Sazba za přejeté km: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1,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66  Kč</w:t>
            </w:r>
            <w:proofErr w:type="gramEnd"/>
          </w:p>
          <w:p w:rsidR="00886E39" w:rsidRDefault="00D349AB">
            <w:pPr>
              <w:spacing w:after="147"/>
              <w:ind w:left="209"/>
            </w:pPr>
            <w:r>
              <w:rPr>
                <w:rFonts w:ascii="Times New Roman" w:eastAsia="Times New Roman" w:hAnsi="Times New Roman" w:cs="Times New Roman"/>
                <w:sz w:val="13"/>
              </w:rPr>
              <w:t>0,00 Kč DPH (21%)0,00 Kč</w:t>
            </w:r>
          </w:p>
          <w:p w:rsidR="00886E39" w:rsidRDefault="00D349AB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13"/>
              </w:rPr>
              <w:t>0,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00  Kč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86E39" w:rsidRDefault="00D349AB">
            <w:pPr>
              <w:spacing w:after="0"/>
              <w:ind w:left="60" w:right="2320" w:hanging="6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Počet km / rok: Km tolerance: Celkem: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86E39" w:rsidRDefault="00D349AB">
            <w:pPr>
              <w:spacing w:after="0" w:line="240" w:lineRule="auto"/>
              <w:ind w:left="5" w:firstLine="7"/>
            </w:pPr>
            <w:r>
              <w:rPr>
                <w:rFonts w:ascii="Times New Roman" w:eastAsia="Times New Roman" w:hAnsi="Times New Roman" w:cs="Times New Roman"/>
                <w:sz w:val="13"/>
              </w:rPr>
              <w:t>20 000 km ±3 000 km</w:t>
            </w:r>
          </w:p>
          <w:p w:rsidR="00886E39" w:rsidRDefault="00D349AB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0,00 Kč</w:t>
            </w:r>
          </w:p>
        </w:tc>
      </w:tr>
      <w:tr w:rsidR="00886E39">
        <w:trPr>
          <w:trHeight w:val="4271"/>
        </w:trPr>
        <w:tc>
          <w:tcPr>
            <w:tcW w:w="106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SLUŽBY POSKYTOVANÉ V RÁMCI OPERATIVNÍHO LEASINGU SE SLUŽBAMI:</w:t>
            </w:r>
          </w:p>
          <w:p w:rsidR="00886E39" w:rsidRDefault="00D349AB">
            <w:pPr>
              <w:spacing w:after="9" w:line="277" w:lineRule="auto"/>
              <w:ind w:right="8037"/>
            </w:pPr>
            <w:r>
              <w:rPr>
                <w:rFonts w:ascii="Times New Roman" w:eastAsia="Times New Roman" w:hAnsi="Times New Roman" w:cs="Times New Roman"/>
                <w:sz w:val="13"/>
              </w:rPr>
              <w:t>Poplatky za rádio: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Ano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</w:rPr>
              <w:t>Silniční daň: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>Ano</w:t>
            </w:r>
          </w:p>
          <w:p w:rsidR="00886E39" w:rsidRDefault="00D349AB">
            <w:pPr>
              <w:tabs>
                <w:tab w:val="center" w:pos="1968"/>
                <w:tab w:val="center" w:pos="3014"/>
                <w:tab w:val="center" w:pos="4193"/>
              </w:tabs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>Povinné ručení: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Pojišťovna: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UNIQA pojišťovna, a.s.</w:t>
            </w:r>
          </w:p>
          <w:p w:rsidR="00886E39" w:rsidRDefault="00D349AB">
            <w:pPr>
              <w:tabs>
                <w:tab w:val="center" w:pos="3051"/>
                <w:tab w:val="center" w:pos="375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Limit plnění: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50/60</w:t>
            </w:r>
          </w:p>
          <w:p w:rsidR="00886E39" w:rsidRDefault="00D349AB">
            <w:pPr>
              <w:tabs>
                <w:tab w:val="center" w:pos="2910"/>
                <w:tab w:val="center" w:pos="5431"/>
              </w:tabs>
              <w:spacing w:after="3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Řídí se: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UCZ/15, UCZ/Voz/15, UCZ/POV/15, DPP/POV/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/15, UCZ/As/15, IOP</w:t>
            </w:r>
          </w:p>
          <w:p w:rsidR="00886E39" w:rsidRDefault="00D349AB">
            <w:pPr>
              <w:tabs>
                <w:tab w:val="center" w:pos="1968"/>
                <w:tab w:val="center" w:pos="3014"/>
                <w:tab w:val="center" w:pos="4193"/>
                <w:tab w:val="center" w:pos="6627"/>
                <w:tab w:val="center" w:pos="7415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13"/>
              </w:rPr>
              <w:t>Havarijní pojištění: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Pojišťovna: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UNIQA pojišťovna, a.s.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Spoluúčast: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0%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min. 0,-Kč</w:t>
            </w:r>
          </w:p>
          <w:p w:rsidR="00886E39" w:rsidRDefault="00D349AB">
            <w:pPr>
              <w:tabs>
                <w:tab w:val="center" w:pos="4297"/>
                <w:tab w:val="center" w:pos="64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Pojištěná rizika: </w:t>
            </w:r>
            <w:r>
              <w:rPr>
                <w:rFonts w:ascii="Times New Roman" w:eastAsia="Times New Roman" w:hAnsi="Times New Roman" w:cs="Times New Roman"/>
                <w:sz w:val="12"/>
              </w:rPr>
              <w:t>Havárie, živelní událost, odcizení a vandalismus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Druh:</w:t>
            </w:r>
          </w:p>
          <w:p w:rsidR="00886E39" w:rsidRDefault="00D349AB">
            <w:pPr>
              <w:tabs>
                <w:tab w:val="center" w:pos="2910"/>
                <w:tab w:val="center" w:pos="6784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Řídí se: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UCZ/15, UCZ/Voz/15, UCZ/Kas/15, DPP/Hyundai/16, UCZ/As/15, UCZ/Kas/Super/15, DPP/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SafeLine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/16, DPP/As/Profík/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15,  IOP</w:t>
            </w:r>
            <w:proofErr w:type="gramEnd"/>
          </w:p>
          <w:p w:rsidR="00886E39" w:rsidRDefault="00D349AB">
            <w:pPr>
              <w:tabs>
                <w:tab w:val="center" w:pos="1968"/>
                <w:tab w:val="center" w:pos="3014"/>
                <w:tab w:val="center" w:pos="4193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3"/>
              </w:rPr>
              <w:t>Doplňkové pojištění: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Poji</w:t>
            </w:r>
            <w:r>
              <w:rPr>
                <w:rFonts w:ascii="Times New Roman" w:eastAsia="Times New Roman" w:hAnsi="Times New Roman" w:cs="Times New Roman"/>
                <w:sz w:val="13"/>
              </w:rPr>
              <w:t>šťovna: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UNIQA pojišťovna, a.s.</w:t>
            </w:r>
          </w:p>
          <w:p w:rsidR="00886E39" w:rsidRDefault="00D349AB">
            <w:pPr>
              <w:tabs>
                <w:tab w:val="center" w:pos="3014"/>
                <w:tab w:val="center" w:pos="4658"/>
                <w:tab w:val="center" w:pos="652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Spoluúčast: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Limit plnění: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Řídí se:</w:t>
            </w:r>
          </w:p>
          <w:p w:rsidR="00886E39" w:rsidRDefault="00D349AB">
            <w:pPr>
              <w:tabs>
                <w:tab w:val="center" w:pos="3129"/>
                <w:tab w:val="center" w:pos="5182"/>
                <w:tab w:val="center" w:pos="6665"/>
              </w:tabs>
              <w:spacing w:after="163"/>
            </w:pPr>
            <w:r>
              <w:rPr>
                <w:rFonts w:ascii="Times New Roman" w:eastAsia="Times New Roman" w:hAnsi="Times New Roman" w:cs="Times New Roman"/>
                <w:sz w:val="13"/>
              </w:rPr>
              <w:t>Pojištění skel (všechna)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5%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min.500,-Kč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bez limitu skla (všechna) do 3,5t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UCZ/Voz/15</w:t>
            </w:r>
          </w:p>
          <w:p w:rsidR="00886E39" w:rsidRDefault="00D349AB">
            <w:pPr>
              <w:tabs>
                <w:tab w:val="center" w:pos="1968"/>
                <w:tab w:val="center" w:pos="2990"/>
                <w:tab w:val="center" w:pos="38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Údržba a servisní náklady: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Kalkulace: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uzavřená</w:t>
            </w:r>
          </w:p>
          <w:p w:rsidR="00886E39" w:rsidRDefault="00D349AB">
            <w:pPr>
              <w:tabs>
                <w:tab w:val="center" w:pos="1968"/>
                <w:tab w:val="center" w:pos="2990"/>
                <w:tab w:val="center" w:pos="3835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sz w:val="13"/>
              </w:rPr>
              <w:t>Pneuservis: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Kalkulace: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uzavřená</w:t>
            </w:r>
          </w:p>
          <w:p w:rsidR="00886E39" w:rsidRDefault="00D349AB">
            <w:pPr>
              <w:tabs>
                <w:tab w:val="center" w:pos="3720"/>
                <w:tab w:val="center" w:pos="4567"/>
                <w:tab w:val="center" w:pos="5700"/>
              </w:tabs>
              <w:spacing w:after="3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>4 ks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zimní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pneu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Kategorie - NIŽŠÍ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215/50 R17</w:t>
            </w:r>
          </w:p>
          <w:p w:rsidR="00886E39" w:rsidRDefault="00D349AB">
            <w:pPr>
              <w:tabs>
                <w:tab w:val="center" w:pos="19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Uskladnění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pneu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</w:p>
          <w:p w:rsidR="00886E39" w:rsidRDefault="00D349AB">
            <w:pPr>
              <w:tabs>
                <w:tab w:val="center" w:pos="1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Platební karta: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  <w:p w:rsidR="00886E39" w:rsidRDefault="00D349AB">
            <w:pPr>
              <w:tabs>
                <w:tab w:val="center" w:pos="1932"/>
              </w:tabs>
              <w:spacing w:after="15"/>
            </w:pPr>
            <w:r>
              <w:rPr>
                <w:rFonts w:ascii="Times New Roman" w:eastAsia="Times New Roman" w:hAnsi="Times New Roman" w:cs="Times New Roman"/>
                <w:sz w:val="13"/>
              </w:rPr>
              <w:t>Pohonné hmoty: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  <w:p w:rsidR="00886E39" w:rsidRDefault="00D349AB">
            <w:pPr>
              <w:tabs>
                <w:tab w:val="center" w:pos="1932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Úrazové pojištění osob: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  <w:p w:rsidR="00886E39" w:rsidRDefault="00D349AB">
            <w:pPr>
              <w:tabs>
                <w:tab w:val="center" w:pos="1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Pojištění právní ochrany: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  <w:p w:rsidR="00886E39" w:rsidRDefault="00D349AB">
            <w:pPr>
              <w:tabs>
                <w:tab w:val="center" w:pos="19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Technická asistence: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</w:p>
          <w:p w:rsidR="00886E39" w:rsidRDefault="00D349AB">
            <w:pPr>
              <w:tabs>
                <w:tab w:val="center" w:pos="1932"/>
              </w:tabs>
              <w:spacing w:after="13"/>
            </w:pPr>
            <w:r>
              <w:rPr>
                <w:rFonts w:ascii="Times New Roman" w:eastAsia="Times New Roman" w:hAnsi="Times New Roman" w:cs="Times New Roman"/>
                <w:sz w:val="13"/>
              </w:rPr>
              <w:t>Náhradní vozidlo: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  <w:p w:rsidR="00886E39" w:rsidRDefault="00D349AB">
            <w:pPr>
              <w:tabs>
                <w:tab w:val="center" w:pos="1968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13"/>
              </w:rPr>
              <w:t>Dálniční poplatky: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</w:p>
          <w:p w:rsidR="00886E39" w:rsidRDefault="00D349AB">
            <w:pPr>
              <w:tabs>
                <w:tab w:val="center" w:pos="1968"/>
              </w:tabs>
              <w:spacing w:after="1"/>
            </w:pPr>
            <w:r>
              <w:rPr>
                <w:rFonts w:ascii="Times New Roman" w:eastAsia="Times New Roman" w:hAnsi="Times New Roman" w:cs="Times New Roman"/>
                <w:sz w:val="13"/>
              </w:rPr>
              <w:t>Reporting: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Ano</w:t>
            </w:r>
          </w:p>
          <w:p w:rsidR="00886E39" w:rsidRDefault="00D349AB">
            <w:pPr>
              <w:tabs>
                <w:tab w:val="center" w:pos="1932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13"/>
              </w:rPr>
              <w:t>GPS: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  <w:p w:rsidR="00886E39" w:rsidRDefault="00D349AB">
            <w:pPr>
              <w:tabs>
                <w:tab w:val="center" w:pos="1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Aktivní vyhledávací zařízení: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Ne</w:t>
            </w:r>
          </w:p>
        </w:tc>
      </w:tr>
    </w:tbl>
    <w:p w:rsidR="00886E39" w:rsidRDefault="00D349AB" w:rsidP="00D349AB">
      <w:pPr>
        <w:spacing w:after="5342"/>
        <w:ind w:left="-29" w:right="-99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768085" cy="112776"/>
                <wp:effectExtent l="0" t="0" r="0" b="0"/>
                <wp:docPr id="6112" name="Group 6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85" cy="112776"/>
                          <a:chOff x="0" y="0"/>
                          <a:chExt cx="6768085" cy="112776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19812" y="9303"/>
                            <a:ext cx="830762" cy="12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E39" w:rsidRDefault="00D349A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Správní poplatky: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81354" y="9303"/>
                            <a:ext cx="192509" cy="12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E39" w:rsidRDefault="00D349A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7" name="Shape 6687"/>
                        <wps:cNvSpPr/>
                        <wps:spPr>
                          <a:xfrm>
                            <a:off x="0" y="0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8" name="Shape 6688"/>
                        <wps:cNvSpPr/>
                        <wps:spPr>
                          <a:xfrm>
                            <a:off x="6760464" y="7620"/>
                            <a:ext cx="914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9" name="Shape 6689"/>
                        <wps:cNvSpPr/>
                        <wps:spPr>
                          <a:xfrm>
                            <a:off x="7620" y="1"/>
                            <a:ext cx="6760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464" h="9144">
                                <a:moveTo>
                                  <a:pt x="0" y="0"/>
                                </a:moveTo>
                                <a:lnTo>
                                  <a:pt x="6760464" y="0"/>
                                </a:lnTo>
                                <a:lnTo>
                                  <a:pt x="6760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0" name="Shape 6690"/>
                        <wps:cNvSpPr/>
                        <wps:spPr>
                          <a:xfrm>
                            <a:off x="7620" y="105156"/>
                            <a:ext cx="6760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464" h="9144">
                                <a:moveTo>
                                  <a:pt x="0" y="0"/>
                                </a:moveTo>
                                <a:lnTo>
                                  <a:pt x="6760464" y="0"/>
                                </a:lnTo>
                                <a:lnTo>
                                  <a:pt x="6760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2" style="width:532.92pt;height:8.88pt;mso-position-horizontal-relative:char;mso-position-vertical-relative:line" coordsize="67680,1127">
                <v:rect id="Rectangle 123" style="position:absolute;width:8307;height:1256;left:198;top: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Správní poplatky: </w:t>
                        </w:r>
                      </w:p>
                    </w:txbxContent>
                  </v:textbox>
                </v:rect>
                <v:rect id="Rectangle 124" style="position:absolute;width:1925;height:1256;left:11813;top: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Ano</w:t>
                        </w:r>
                      </w:p>
                    </w:txbxContent>
                  </v:textbox>
                </v:rect>
                <v:shape id="Shape 6691" style="position:absolute;width:91;height:1127;left:0;top:0;" coordsize="9144,112776" path="m0,0l9144,0l9144,112776l0,112776l0,0">
                  <v:stroke weight="0pt" endcap="flat" joinstyle="miter" miterlimit="10" on="false" color="#000000" opacity="0"/>
                  <v:fill on="true" color="#000000"/>
                </v:shape>
                <v:shape id="Shape 6692" style="position:absolute;width:91;height:1051;left:67604;top:76;" coordsize="9144,105156" path="m0,0l9144,0l9144,105156l0,105156l0,0">
                  <v:stroke weight="0pt" endcap="flat" joinstyle="miter" miterlimit="10" on="false" color="#000000" opacity="0"/>
                  <v:fill on="true" color="#000000"/>
                </v:shape>
                <v:shape id="Shape 6693" style="position:absolute;width:67604;height:91;left:76;top:0;" coordsize="6760464,9144" path="m0,0l6760464,0l6760464,9144l0,9144l0,0">
                  <v:stroke weight="0pt" endcap="flat" joinstyle="miter" miterlimit="10" on="false" color="#000000" opacity="0"/>
                  <v:fill on="true" color="#000000"/>
                </v:shape>
                <v:shape id="Shape 6694" style="position:absolute;width:67604;height:91;left:76;top:1051;" coordsize="6760464,9144" path="m0,0l6760464,0l6760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1"/>
        </w:rPr>
        <w:t>4701759_Smlouva_o_najmu_se_sluzbami_nova_kalkulace2016</w:t>
      </w:r>
      <w:r>
        <w:rPr>
          <w:rFonts w:ascii="Arial" w:eastAsia="Arial" w:hAnsi="Arial" w:cs="Arial"/>
          <w:sz w:val="11"/>
        </w:rPr>
        <w:tab/>
        <w:t>1/2</w:t>
      </w:r>
    </w:p>
    <w:tbl>
      <w:tblPr>
        <w:tblStyle w:val="TableGrid"/>
        <w:tblW w:w="10646" w:type="dxa"/>
        <w:tblInd w:w="-23" w:type="dxa"/>
        <w:tblCellMar>
          <w:top w:w="15" w:type="dxa"/>
          <w:left w:w="23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782"/>
        <w:gridCol w:w="6864"/>
      </w:tblGrid>
      <w:tr w:rsidR="00886E39">
        <w:trPr>
          <w:trHeight w:val="6759"/>
        </w:trPr>
        <w:tc>
          <w:tcPr>
            <w:tcW w:w="10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E39" w:rsidRDefault="00D349A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lastRenderedPageBreak/>
              <w:t>Smluvní podmínky</w:t>
            </w:r>
          </w:p>
          <w:p w:rsidR="00886E39" w:rsidRDefault="00D349A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1"/>
              </w:rPr>
              <w:t>Nedílnou součástí této Smlouvy o nájmu jsou Všeobecné obchodní podmínky ČSOB Leasing, a.s. (operativní nájem se služ</w:t>
            </w:r>
            <w:r>
              <w:rPr>
                <w:rFonts w:ascii="Times New Roman" w:eastAsia="Times New Roman" w:hAnsi="Times New Roman" w:cs="Times New Roman"/>
                <w:sz w:val="11"/>
              </w:rPr>
              <w:t>bami) 01/17 ODTNK.</w:t>
            </w:r>
          </w:p>
          <w:p w:rsidR="00886E39" w:rsidRDefault="00D349AB">
            <w:pPr>
              <w:spacing w:after="202" w:line="381" w:lineRule="auto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Specifikace předmětu nájmu a Protokol o předání a převzetí předmětu nájmu. Smlouva může být měněna pouze písemným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dodatkem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pokud není ve VOP nebo v Rámcové smlouvě uvedeno jinak. Dojde-li v období od uzavření Smlouvy o nájmu do data předání PN ke změně saz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by 3Y IRS, je ČSOBL oprávněn změnit výši měsíční splátky nájemného. Výše sazby 3Y IRS je zveřejňována např. Československou obchodní bankou, a.s. (www.csob.cz) a je kotovaná k poslednímu pracovnímu dni předcházejícího kalendářního měsíce. Tato smlouva se </w:t>
            </w:r>
            <w:r>
              <w:rPr>
                <w:rFonts w:ascii="Times New Roman" w:eastAsia="Times New Roman" w:hAnsi="Times New Roman" w:cs="Times New Roman"/>
                <w:sz w:val="11"/>
              </w:rPr>
              <w:t>řídí právem České republiky s výslovným vyloučením ustanovení zákona č. 89/2012 Sb., jež upravují práva a povinnosti stran odlišně od této smlouvy, zejména s vyloučením ustanovení o nájmu a nájemní smlouvě týkajících se skončení nájmu, prodloužení nájmu, o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dpovědnosti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pronajimatele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za stav, způsobilost a vady předmětu nájmu, slevy z nájmu, způsobu placení nájmu a zvláštních ujednání o nájmu dopravního prostředku. Nájemce je oprávněn požádat pronajímatele o prodloužení doby nájmu u konkrétní smlouvy o nájmu, 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jestliže dochází k tzv. obnově, tj. nájemce čeká na dodání předmětu nájmu dle nově uzavřené smlouvy o nájmu. Pokud je žádost nájemce doručena pronajímateli nejpozději do předpokládaného data ukončení příslušné smlouvy o nájmu, prodlužuje se taková smlouva </w:t>
            </w:r>
            <w:r>
              <w:rPr>
                <w:rFonts w:ascii="Times New Roman" w:eastAsia="Times New Roman" w:hAnsi="Times New Roman" w:cs="Times New Roman"/>
                <w:sz w:val="11"/>
              </w:rPr>
              <w:t>za stejných podmínek (rozsahu poskytovaných služeb) až do doby předání a převzetí nového PN, nejdéle však na dobu 3 měsíců od původně předpokládaného data ukončení, pokud se strany výslovně písemně nedohodnou jinak.</w:t>
            </w:r>
          </w:p>
          <w:p w:rsidR="00886E39" w:rsidRDefault="00D349AB">
            <w:pPr>
              <w:spacing w:after="64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Ukončení smlouvy</w:t>
            </w:r>
          </w:p>
          <w:p w:rsidR="00886E39" w:rsidRDefault="00D349AB">
            <w:pPr>
              <w:spacing w:after="84" w:line="382" w:lineRule="auto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Leasingový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pronajimatel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je oprávněn vypovědět tuto smlouvu, pokud leasingový nájemce nesplnil své povinnosti dané zákonem č. 253/2008 Sb., o některých opatřeních proti legalizaci výnosů z trestné činnosti a financování terorismu, zejména neumožnil identifikaci či kontrolu dle to</w:t>
            </w:r>
            <w:r>
              <w:rPr>
                <w:rFonts w:ascii="Times New Roman" w:eastAsia="Times New Roman" w:hAnsi="Times New Roman" w:cs="Times New Roman"/>
                <w:sz w:val="11"/>
              </w:rPr>
              <w:t>hoto zákona, či pokud je leasingový nájemce, či jeho statutární zástupce, nebo skutečný majitel, uveden v seznamu sankciovaných osob Evropské unie nebo v seznamu osob, skupin, podniků, zboží, technologií a aktivit, vůči nimž Česká republika uplatňuje mezin</w:t>
            </w:r>
            <w:r>
              <w:rPr>
                <w:rFonts w:ascii="Times New Roman" w:eastAsia="Times New Roman" w:hAnsi="Times New Roman" w:cs="Times New Roman"/>
                <w:sz w:val="11"/>
              </w:rPr>
              <w:t>árodní sankce z důvodu zajištění mezinárodního míru a bezpečnosti a ochrany lidských práv, nebo v seznamu sankcionovaných osob, na které byly uvaleny sankce ze strany Ministerstva zahraničí USA (OFAC), či na jiném obdobném seznamu.</w:t>
            </w:r>
          </w:p>
          <w:p w:rsidR="00886E39" w:rsidRDefault="00D349AB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Placení nájemného</w:t>
            </w:r>
          </w:p>
          <w:p w:rsidR="00886E39" w:rsidRDefault="00D349AB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1"/>
              </w:rPr>
              <w:t>Splátk</w:t>
            </w:r>
            <w:r>
              <w:rPr>
                <w:rFonts w:ascii="Times New Roman" w:eastAsia="Times New Roman" w:hAnsi="Times New Roman" w:cs="Times New Roman"/>
                <w:sz w:val="11"/>
              </w:rPr>
              <w:t>y nájemného jsou splatné vždy 14 dní od data vystavení ve prospěch účtu pronajímatele.</w:t>
            </w:r>
          </w:p>
          <w:p w:rsidR="00886E39" w:rsidRDefault="00D349AB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1"/>
              </w:rPr>
              <w:t>Ve splátce nájemného je zahrnut paušální poplatek za:</w:t>
            </w:r>
          </w:p>
          <w:p w:rsidR="00886E39" w:rsidRDefault="00D349AB">
            <w:pPr>
              <w:numPr>
                <w:ilvl w:val="0"/>
                <w:numId w:val="1"/>
              </w:numPr>
              <w:spacing w:after="35"/>
              <w:ind w:hanging="62"/>
            </w:pPr>
            <w:r>
              <w:rPr>
                <w:rFonts w:ascii="Times New Roman" w:eastAsia="Times New Roman" w:hAnsi="Times New Roman" w:cs="Times New Roman"/>
                <w:sz w:val="11"/>
              </w:rPr>
              <w:t>údržbu a servisní náklady ve výši: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>Ano</w:t>
            </w:r>
          </w:p>
          <w:p w:rsidR="00886E39" w:rsidRDefault="00D349AB">
            <w:pPr>
              <w:numPr>
                <w:ilvl w:val="0"/>
                <w:numId w:val="1"/>
              </w:numPr>
              <w:spacing w:after="32"/>
              <w:ind w:hanging="6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náklady na pneuservis ve výši: 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>Ano</w:t>
            </w:r>
          </w:p>
          <w:p w:rsidR="00886E39" w:rsidRDefault="00D349AB">
            <w:pPr>
              <w:numPr>
                <w:ilvl w:val="0"/>
                <w:numId w:val="1"/>
              </w:numPr>
              <w:spacing w:after="158"/>
              <w:ind w:hanging="62"/>
            </w:pPr>
            <w:r>
              <w:rPr>
                <w:rFonts w:ascii="Times New Roman" w:eastAsia="Times New Roman" w:hAnsi="Times New Roman" w:cs="Times New Roman"/>
                <w:sz w:val="11"/>
              </w:rPr>
              <w:t>náhradní vozidlo ve výši: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1"/>
              </w:rPr>
              <w:t>neobsahuje</w:t>
            </w:r>
          </w:p>
          <w:p w:rsidR="00886E39" w:rsidRDefault="00D349AB">
            <w:pPr>
              <w:spacing w:after="146" w:line="285" w:lineRule="auto"/>
              <w:ind w:right="3859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Použ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ije -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nájemce jiné pneumatiky než jsou uvedeny v této smlouvě, má pronajímatel právo požadovat po nájemci zaplacení rozdílu mezi cenou odebraných a cenou pronajímatelem předepsaných pneumatik.</w:t>
            </w:r>
          </w:p>
          <w:p w:rsidR="00886E39" w:rsidRDefault="00D349AB">
            <w:pPr>
              <w:spacing w:after="166" w:line="267" w:lineRule="auto"/>
            </w:pPr>
            <w:r>
              <w:rPr>
                <w:rFonts w:ascii="Times New Roman" w:eastAsia="Times New Roman" w:hAnsi="Times New Roman" w:cs="Times New Roman"/>
                <w:sz w:val="11"/>
              </w:rPr>
              <w:t>Pro nákupy pohonných hmot, zboží a služeb prostřednictvím platební karty bude na začátku leasingové smlouvy vybrána kauce na tyto služby ve výši 0,00. Skutečné náklady budou nájemci pravidelně, každý kalendářní měsíc přeúčtovány a kauce bude v případě úhra</w:t>
            </w:r>
            <w:r>
              <w:rPr>
                <w:rFonts w:ascii="Times New Roman" w:eastAsia="Times New Roman" w:hAnsi="Times New Roman" w:cs="Times New Roman"/>
                <w:sz w:val="11"/>
              </w:rPr>
              <w:t>dy všech závazků z této smlouvy vrácena zpět nájemci po jejím ukončení.</w:t>
            </w:r>
          </w:p>
          <w:p w:rsidR="00886E39" w:rsidRDefault="00D349A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Doba nájmu</w:t>
            </w:r>
          </w:p>
          <w:p w:rsidR="00886E39" w:rsidRDefault="00D349AB">
            <w:pPr>
              <w:spacing w:after="132" w:line="285" w:lineRule="auto"/>
              <w:ind w:right="4118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Počátek doby nájmu se rozumí den předání předmětu nájmu nájemci, dle Protokolu o předání a převzetí předmětu nájmu. Ukončení doby nájmu nastává posledním dnem sjednané doby </w:t>
            </w:r>
            <w:r>
              <w:rPr>
                <w:rFonts w:ascii="Times New Roman" w:eastAsia="Times New Roman" w:hAnsi="Times New Roman" w:cs="Times New Roman"/>
                <w:sz w:val="11"/>
              </w:rPr>
              <w:t>nájmu. Počátek doby nájmu je uveden v Protokolu o předání a převzetí předmětu nájmu.</w:t>
            </w:r>
          </w:p>
          <w:p w:rsidR="00886E39" w:rsidRDefault="00D349AB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Ostatní ujednání</w:t>
            </w:r>
          </w:p>
          <w:p w:rsidR="00886E39" w:rsidRDefault="00D349AB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V případě otevřené kalkulace nebo v případě kalkulace typu Klasik,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Individuál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, Flotila budou následující položky nájemci vyúčtovány dle skutečnosti na zák</w:t>
            </w:r>
            <w:r>
              <w:rPr>
                <w:rFonts w:ascii="Times New Roman" w:eastAsia="Times New Roman" w:hAnsi="Times New Roman" w:cs="Times New Roman"/>
                <w:sz w:val="11"/>
              </w:rPr>
              <w:t>ladě daňového dokladu.</w:t>
            </w:r>
          </w:p>
          <w:p w:rsidR="00886E39" w:rsidRDefault="00D349AB">
            <w:pPr>
              <w:spacing w:after="263"/>
            </w:pPr>
            <w:r>
              <w:rPr>
                <w:rFonts w:ascii="Times New Roman" w:eastAsia="Times New Roman" w:hAnsi="Times New Roman" w:cs="Times New Roman"/>
                <w:sz w:val="11"/>
              </w:rPr>
              <w:t>Obchodní typy kalkulací mohou být také označovány názvem kalkulační varianty – KLASIK (Polootevřená), JISTOTA (Uzavřená), EKONOM PLUS (Uzavřená), FLOTILA (Speciální) a INDIVIDUAL (Otevřená).</w:t>
            </w:r>
          </w:p>
          <w:p w:rsidR="00886E39" w:rsidRDefault="00D349A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Zůstatková hodnota</w:t>
            </w:r>
          </w:p>
          <w:p w:rsidR="00886E39" w:rsidRDefault="00D349AB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1"/>
              </w:rPr>
              <w:t>Garantováno ČSOB Leasin</w:t>
            </w:r>
            <w:r>
              <w:rPr>
                <w:rFonts w:ascii="Times New Roman" w:eastAsia="Times New Roman" w:hAnsi="Times New Roman" w:cs="Times New Roman"/>
                <w:sz w:val="11"/>
              </w:rPr>
              <w:t>g, a.s.</w:t>
            </w:r>
          </w:p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Pojištění předmětu nájmu bylo sjednáno ke dni podpisu této Smlouvy o nájmu.</w:t>
            </w:r>
          </w:p>
        </w:tc>
      </w:tr>
      <w:tr w:rsidR="00886E39">
        <w:trPr>
          <w:trHeight w:val="471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886E39" w:rsidRDefault="00D349A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3"/>
              </w:rPr>
              <w:t>V Ostravě dne 9.3.2017</w:t>
            </w:r>
          </w:p>
        </w:tc>
        <w:tc>
          <w:tcPr>
            <w:tcW w:w="68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886E39" w:rsidRDefault="00D349AB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sz w:val="13"/>
              </w:rPr>
              <w:t>V Ostravě dne 9.3.2017</w:t>
            </w:r>
          </w:p>
        </w:tc>
      </w:tr>
      <w:tr w:rsidR="00886E39">
        <w:trPr>
          <w:trHeight w:val="775"/>
        </w:trPr>
        <w:tc>
          <w:tcPr>
            <w:tcW w:w="3782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:rsidR="00886E39" w:rsidRDefault="00D349AB">
            <w:pPr>
              <w:spacing w:after="19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Souhlasím s pořízením kopie mého dokladu totožnosti.</w:t>
            </w:r>
          </w:p>
          <w:p w:rsidR="00886E39" w:rsidRDefault="00D349A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3"/>
              </w:rPr>
              <w:t>Mgr. Marek Pokorný, ředitel</w:t>
            </w:r>
          </w:p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………………………………………………………………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:rsidR="00886E39" w:rsidRDefault="00D349AB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                               </w:t>
            </w:r>
          </w:p>
          <w:p w:rsidR="00886E39" w:rsidRDefault="00D349AB">
            <w:pPr>
              <w:spacing w:after="0"/>
              <w:ind w:left="500"/>
            </w:pPr>
            <w:r>
              <w:rPr>
                <w:rFonts w:ascii="Times New Roman" w:eastAsia="Times New Roman" w:hAnsi="Times New Roman" w:cs="Times New Roman"/>
                <w:sz w:val="11"/>
              </w:rPr>
              <w:t>……………………………………………………………..</w:t>
            </w:r>
          </w:p>
        </w:tc>
      </w:tr>
      <w:tr w:rsidR="00886E39">
        <w:trPr>
          <w:trHeight w:val="156"/>
        </w:trPr>
        <w:tc>
          <w:tcPr>
            <w:tcW w:w="37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(jméno a funkce nájemce/oprávněného zástupce hůlkovým písmem)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86E39" w:rsidRDefault="00D349AB">
            <w:pPr>
              <w:spacing w:after="0"/>
              <w:ind w:left="500"/>
            </w:pPr>
            <w:r>
              <w:rPr>
                <w:rFonts w:ascii="Times New Roman" w:eastAsia="Times New Roman" w:hAnsi="Times New Roman" w:cs="Times New Roman"/>
                <w:sz w:val="11"/>
              </w:rPr>
              <w:t>(jméno a funkce oprávněného zástupce pronajímatele hůlkovým písmem)</w:t>
            </w:r>
          </w:p>
        </w:tc>
      </w:tr>
      <w:tr w:rsidR="00886E39">
        <w:trPr>
          <w:trHeight w:val="372"/>
        </w:trPr>
        <w:tc>
          <w:tcPr>
            <w:tcW w:w="37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6E39" w:rsidRDefault="00D349A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3"/>
              </w:rPr>
              <w:t>PLATO Ostrava, příspěvková organizace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86E39" w:rsidRDefault="00D349AB">
            <w:pPr>
              <w:spacing w:after="36"/>
              <w:ind w:left="503"/>
            </w:pPr>
            <w:r>
              <w:rPr>
                <w:rFonts w:ascii="Times New Roman" w:eastAsia="Times New Roman" w:hAnsi="Times New Roman" w:cs="Times New Roman"/>
                <w:sz w:val="13"/>
              </w:rPr>
              <w:t>ČSOB Leasing, a.s.</w:t>
            </w:r>
          </w:p>
          <w:p w:rsidR="00886E39" w:rsidRDefault="00D349AB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sz w:val="13"/>
              </w:rPr>
              <w:t>Zastoupený: AUTOLAROS SPEED, s.r.o.</w:t>
            </w:r>
          </w:p>
        </w:tc>
      </w:tr>
      <w:tr w:rsidR="00886E39">
        <w:trPr>
          <w:trHeight w:val="1004"/>
        </w:trPr>
        <w:tc>
          <w:tcPr>
            <w:tcW w:w="37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86E39" w:rsidRDefault="00D349AB">
            <w:pPr>
              <w:spacing w:after="660"/>
              <w:ind w:left="2"/>
            </w:pPr>
            <w:r>
              <w:rPr>
                <w:rFonts w:ascii="Times New Roman" w:eastAsia="Times New Roman" w:hAnsi="Times New Roman" w:cs="Times New Roman"/>
                <w:sz w:val="13"/>
              </w:rPr>
              <w:t>Číslo OP : XXX</w:t>
            </w:r>
            <w:bookmarkStart w:id="0" w:name="_GoBack"/>
            <w:bookmarkEnd w:id="0"/>
          </w:p>
          <w:p w:rsidR="00886E39" w:rsidRDefault="00D349A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3"/>
              </w:rPr>
              <w:t>……………………………………………….…..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:rsidR="00886E39" w:rsidRDefault="00D349AB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sz w:val="13"/>
              </w:rPr>
              <w:t>…………………………………………………</w:t>
            </w:r>
          </w:p>
        </w:tc>
      </w:tr>
      <w:tr w:rsidR="00886E39">
        <w:trPr>
          <w:trHeight w:val="142"/>
        </w:trPr>
        <w:tc>
          <w:tcPr>
            <w:tcW w:w="37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86E39" w:rsidRDefault="00D349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podpis nájemce/oprávněného zástupce nájemce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86E39" w:rsidRDefault="00D349AB">
            <w:pPr>
              <w:spacing w:after="0"/>
              <w:ind w:left="50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podpis oprávněného zástupce pronajímatele</w:t>
            </w:r>
          </w:p>
        </w:tc>
      </w:tr>
    </w:tbl>
    <w:p w:rsidR="00886E39" w:rsidRDefault="00D349AB">
      <w:pPr>
        <w:tabs>
          <w:tab w:val="center" w:pos="6567"/>
        </w:tabs>
        <w:spacing w:after="106"/>
      </w:pPr>
      <w:r>
        <w:rPr>
          <w:rFonts w:ascii="Times New Roman" w:eastAsia="Times New Roman" w:hAnsi="Times New Roman" w:cs="Times New Roman"/>
          <w:sz w:val="11"/>
        </w:rPr>
        <w:t xml:space="preserve">Jméno a příjmení ověřovatele (hůlkovým písmem): </w:t>
      </w:r>
      <w:r>
        <w:rPr>
          <w:rFonts w:ascii="Times New Roman" w:eastAsia="Times New Roman" w:hAnsi="Times New Roman" w:cs="Times New Roman"/>
          <w:sz w:val="1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  ,AUTOLAROS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SPEED, s.r.o.</w:t>
      </w:r>
    </w:p>
    <w:tbl>
      <w:tblPr>
        <w:tblStyle w:val="TableGrid"/>
        <w:tblpPr w:vertAnchor="page" w:horzAnchor="page" w:tblpX="620" w:tblpY="626"/>
        <w:tblOverlap w:val="never"/>
        <w:tblW w:w="10646" w:type="dxa"/>
        <w:tblInd w:w="0" w:type="dxa"/>
        <w:tblCellMar>
          <w:top w:w="9" w:type="dxa"/>
          <w:left w:w="0" w:type="dxa"/>
          <w:bottom w:w="8" w:type="dxa"/>
          <w:right w:w="550" w:type="dxa"/>
        </w:tblCellMar>
        <w:tblLook w:val="04A0" w:firstRow="1" w:lastRow="0" w:firstColumn="1" w:lastColumn="0" w:noHBand="0" w:noVBand="1"/>
      </w:tblPr>
      <w:tblGrid>
        <w:gridCol w:w="3056"/>
        <w:gridCol w:w="2655"/>
        <w:gridCol w:w="1354"/>
        <w:gridCol w:w="3581"/>
      </w:tblGrid>
      <w:tr w:rsidR="00886E39">
        <w:trPr>
          <w:trHeight w:val="331"/>
        </w:trPr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886E39" w:rsidRDefault="00D349A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MĚSÍČNÍ NÁJEMNÉ</w:t>
            </w:r>
          </w:p>
        </w:tc>
        <w:tc>
          <w:tcPr>
            <w:tcW w:w="26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6E39" w:rsidRDefault="00D349AB" w:rsidP="000B3E8A">
            <w:pPr>
              <w:spacing w:after="0"/>
              <w:ind w:left="41" w:right="1340" w:hanging="4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Bez DPH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8 770,10 Kč</w:t>
            </w:r>
          </w:p>
        </w:tc>
        <w:tc>
          <w:tcPr>
            <w:tcW w:w="13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6E39" w:rsidRDefault="00D349AB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3"/>
              </w:rPr>
              <w:t>DPH 21%</w:t>
            </w:r>
          </w:p>
          <w:p w:rsidR="00886E39" w:rsidRDefault="00D349A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1 841,80 Kč</w:t>
            </w:r>
          </w:p>
        </w:tc>
        <w:tc>
          <w:tcPr>
            <w:tcW w:w="35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6E39" w:rsidRDefault="00D349AB" w:rsidP="000B3E8A">
            <w:pPr>
              <w:spacing w:after="0"/>
              <w:ind w:left="118" w:right="2015" w:hanging="11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Hodnota celkem </w:t>
            </w:r>
            <w:r w:rsidR="000B3E8A">
              <w:rPr>
                <w:rFonts w:ascii="Times New Roman" w:eastAsia="Times New Roman" w:hAnsi="Times New Roman" w:cs="Times New Roman"/>
                <w:sz w:val="13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10 611,90 Kč</w:t>
            </w:r>
          </w:p>
        </w:tc>
      </w:tr>
    </w:tbl>
    <w:p w:rsidR="00886E39" w:rsidRDefault="00D349AB">
      <w:pPr>
        <w:tabs>
          <w:tab w:val="center" w:pos="6351"/>
        </w:tabs>
        <w:spacing w:after="4925"/>
      </w:pPr>
      <w:r>
        <w:rPr>
          <w:rFonts w:ascii="Times New Roman" w:eastAsia="Times New Roman" w:hAnsi="Times New Roman" w:cs="Times New Roman"/>
          <w:sz w:val="11"/>
        </w:rPr>
        <w:t>Totožnost a podpis oprávněného zástupce nájemce ověřil (podpis ověřovatele):</w:t>
      </w:r>
      <w:r>
        <w:rPr>
          <w:rFonts w:ascii="Times New Roman" w:eastAsia="Times New Roman" w:hAnsi="Times New Roman" w:cs="Times New Roman"/>
          <w:sz w:val="11"/>
        </w:rPr>
        <w:tab/>
      </w:r>
      <w:r>
        <w:rPr>
          <w:rFonts w:ascii="Times New Roman" w:eastAsia="Times New Roman" w:hAnsi="Times New Roman" w:cs="Times New Roman"/>
          <w:sz w:val="13"/>
        </w:rPr>
        <w:t>………………………………………………………</w:t>
      </w:r>
    </w:p>
    <w:p w:rsidR="00886E39" w:rsidRDefault="00D349AB">
      <w:pPr>
        <w:tabs>
          <w:tab w:val="center" w:pos="5301"/>
          <w:tab w:val="center" w:pos="10088"/>
        </w:tabs>
      </w:pPr>
      <w:r>
        <w:tab/>
      </w:r>
      <w:r>
        <w:rPr>
          <w:rFonts w:ascii="Arial" w:eastAsia="Arial" w:hAnsi="Arial" w:cs="Arial"/>
          <w:sz w:val="11"/>
        </w:rPr>
        <w:t>4701759_Smlouva_o_najmu_se_sluzbami_nova_kalkulace2016</w:t>
      </w:r>
      <w:r>
        <w:rPr>
          <w:rFonts w:ascii="Arial" w:eastAsia="Arial" w:hAnsi="Arial" w:cs="Arial"/>
          <w:sz w:val="11"/>
        </w:rPr>
        <w:tab/>
        <w:t>2/2</w:t>
      </w:r>
    </w:p>
    <w:sectPr w:rsidR="00886E39">
      <w:pgSz w:w="11904" w:h="16834"/>
      <w:pgMar w:top="341" w:right="731" w:bottom="320" w:left="6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5E51"/>
    <w:multiLevelType w:val="hybridMultilevel"/>
    <w:tmpl w:val="38EAF41A"/>
    <w:lvl w:ilvl="0" w:tplc="1C86B3A0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B7A611B4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7E4CC3FE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84F40050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7A441A9E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28695EE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64E66E6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B56C4E8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F82EB38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9"/>
    <w:rsid w:val="000B3E8A"/>
    <w:rsid w:val="00706DB3"/>
    <w:rsid w:val="00886E39"/>
    <w:rsid w:val="00D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149B"/>
  <w15:docId w15:val="{F943766F-828B-4828-81BF-DC79DE6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1168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Babincová</dc:creator>
  <cp:keywords/>
  <cp:lastModifiedBy>Aneta Galičáková</cp:lastModifiedBy>
  <cp:revision>2</cp:revision>
  <dcterms:created xsi:type="dcterms:W3CDTF">2017-06-28T07:46:00Z</dcterms:created>
  <dcterms:modified xsi:type="dcterms:W3CDTF">2017-06-28T07:46:00Z</dcterms:modified>
</cp:coreProperties>
</file>