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E2BF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14:paraId="4E95995F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5C299F23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43CAE273" w14:textId="77777777" w:rsidR="00B873FF" w:rsidRDefault="00B873FF" w:rsidP="00B873FF">
      <w:pPr>
        <w:rPr>
          <w:rFonts w:ascii="Arial" w:hAnsi="Arial" w:cs="Arial"/>
        </w:rPr>
      </w:pPr>
    </w:p>
    <w:p w14:paraId="595E1C5C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0A72D350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72214806" w14:textId="77777777"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14:paraId="01D51594" w14:textId="178A666F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DB6987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14:paraId="66A98AEE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14:paraId="1143C733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14:paraId="703DA7DF" w14:textId="77777777"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14:paraId="085E06A2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1A3128A1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6AF06FAB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24F8E264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7B11E620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78B6449F" w14:textId="77777777" w:rsidR="006B1A31" w:rsidRDefault="006B1A31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6B1A31">
        <w:rPr>
          <w:rFonts w:ascii="Arial" w:hAnsi="Arial" w:cs="Arial"/>
          <w:b/>
          <w:bCs/>
          <w:color w:val="auto"/>
          <w:sz w:val="20"/>
          <w:szCs w:val="20"/>
        </w:rPr>
        <w:t>Pedagogicko-psychologická poradna Karlovy Vary, příspěvková organizace</w:t>
      </w:r>
    </w:p>
    <w:p w14:paraId="0373704A" w14:textId="63D50228" w:rsidR="00AC2131" w:rsidRDefault="00AC2131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>sídl</w:t>
      </w:r>
      <w:r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4A4C7A" w:rsidRPr="004A4C7A">
        <w:rPr>
          <w:rFonts w:ascii="Arial" w:hAnsi="Arial" w:cs="Arial"/>
          <w:bCs/>
          <w:color w:val="auto"/>
          <w:sz w:val="20"/>
          <w:szCs w:val="20"/>
        </w:rPr>
        <w:t>Lidická 590/38, Drahovice, 360</w:t>
      </w:r>
      <w:r w:rsidR="004C453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A4C7A" w:rsidRPr="004A4C7A">
        <w:rPr>
          <w:rFonts w:ascii="Arial" w:hAnsi="Arial" w:cs="Arial"/>
          <w:bCs/>
          <w:color w:val="auto"/>
          <w:sz w:val="20"/>
          <w:szCs w:val="20"/>
        </w:rPr>
        <w:t>01 Karlovy Vary </w:t>
      </w:r>
    </w:p>
    <w:p w14:paraId="7EA78957" w14:textId="77777777"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6B1A31" w:rsidRPr="006B1A31">
        <w:rPr>
          <w:rFonts w:ascii="Arial" w:hAnsi="Arial" w:cs="Arial"/>
          <w:bCs/>
          <w:color w:val="auto"/>
          <w:sz w:val="20"/>
          <w:szCs w:val="20"/>
        </w:rPr>
        <w:t>49753843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        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</w:p>
    <w:p w14:paraId="7C4CD33A" w14:textId="14EA844F"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DB6987">
        <w:rPr>
          <w:rFonts w:ascii="Arial" w:hAnsi="Arial" w:cs="Arial"/>
          <w:bCs/>
          <w:color w:val="auto"/>
          <w:sz w:val="20"/>
          <w:szCs w:val="20"/>
        </w:rPr>
        <w:t>á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bookmarkStart w:id="0" w:name="_Hlk157581891"/>
      <w:r w:rsidR="006B1A31" w:rsidRPr="006B1A31">
        <w:rPr>
          <w:rFonts w:ascii="Arial" w:hAnsi="Arial" w:cs="Arial"/>
          <w:bCs/>
          <w:color w:val="auto"/>
          <w:sz w:val="20"/>
          <w:szCs w:val="20"/>
        </w:rPr>
        <w:t>PhDr. Jolan</w:t>
      </w:r>
      <w:r w:rsidR="006B1A31">
        <w:rPr>
          <w:rFonts w:ascii="Arial" w:hAnsi="Arial" w:cs="Arial"/>
          <w:bCs/>
          <w:color w:val="auto"/>
          <w:sz w:val="20"/>
          <w:szCs w:val="20"/>
        </w:rPr>
        <w:t>ou</w:t>
      </w:r>
      <w:r w:rsidR="006B1A31" w:rsidRPr="006B1A3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6B1A31" w:rsidRPr="006B1A31">
        <w:rPr>
          <w:rFonts w:ascii="Arial" w:hAnsi="Arial" w:cs="Arial"/>
          <w:bCs/>
          <w:color w:val="auto"/>
          <w:sz w:val="20"/>
          <w:szCs w:val="20"/>
        </w:rPr>
        <w:t>Mižikarov</w:t>
      </w:r>
      <w:r w:rsidR="006B1A31">
        <w:rPr>
          <w:rFonts w:ascii="Arial" w:hAnsi="Arial" w:cs="Arial"/>
          <w:bCs/>
          <w:color w:val="auto"/>
          <w:sz w:val="20"/>
          <w:szCs w:val="20"/>
        </w:rPr>
        <w:t>ou</w:t>
      </w:r>
      <w:bookmarkEnd w:id="0"/>
      <w:proofErr w:type="spellEnd"/>
      <w:r w:rsidR="006B1A31">
        <w:rPr>
          <w:rFonts w:ascii="Arial" w:hAnsi="Arial" w:cs="Arial"/>
          <w:bCs/>
          <w:color w:val="auto"/>
          <w:sz w:val="20"/>
          <w:szCs w:val="20"/>
        </w:rPr>
        <w:t>, ředitelkou</w:t>
      </w:r>
    </w:p>
    <w:p w14:paraId="2A504564" w14:textId="234033D3" w:rsidR="00864C1A" w:rsidRPr="008F5146" w:rsidRDefault="008F5146" w:rsidP="008F514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>zapsan</w:t>
      </w:r>
      <w:r w:rsidR="00DB6987">
        <w:rPr>
          <w:rFonts w:ascii="Arial" w:hAnsi="Arial" w:cs="Arial"/>
          <w:bCs/>
          <w:color w:val="auto"/>
          <w:sz w:val="20"/>
          <w:szCs w:val="20"/>
        </w:rPr>
        <w:t>á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v rejstříku škol a školských zařízení pod rezortním identifikátorem (RED-IZO): </w:t>
      </w:r>
      <w:r w:rsidR="006B1A31" w:rsidRPr="006B1A31">
        <w:rPr>
          <w:rFonts w:ascii="Arial" w:hAnsi="Arial" w:cs="Arial"/>
          <w:bCs/>
          <w:color w:val="auto"/>
          <w:sz w:val="20"/>
          <w:szCs w:val="20"/>
        </w:rPr>
        <w:t>600033171</w:t>
      </w:r>
    </w:p>
    <w:p w14:paraId="6482E7C4" w14:textId="77777777" w:rsidR="00AC2131" w:rsidRDefault="00AC2131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D022D43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278F1BC3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3828D910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121C10C2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59BBA310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E6B8CAF" w14:textId="77777777" w:rsidR="00F1677E" w:rsidRDefault="00F1677E" w:rsidP="00F1677E">
      <w:pPr>
        <w:jc w:val="both"/>
      </w:pPr>
    </w:p>
    <w:p w14:paraId="4F00D051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6D449CD9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422079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0FE4B4AD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3F407EB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14:paraId="53E0AF9E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14:paraId="6DBE13CB" w14:textId="77777777"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300A32F5" w14:textId="77777777"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2519D2D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6007755A" w14:textId="77777777"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92DEBC5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14:paraId="11BA9187" w14:textId="77777777"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14:paraId="3D6D9AEB" w14:textId="77777777"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14:paraId="30DD1006" w14:textId="77777777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14:paraId="2BBC8A2D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0DAB93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567C0E54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14:paraId="703E83F4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295926DF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5C34FCF8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77D9ACA1" w14:textId="77777777"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14:paraId="74C083F6" w14:textId="77777777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8936EBA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6B0BA0DF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382779E8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5D7C8C86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0E27E951" w14:textId="77777777"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14:paraId="2C2E8CD6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10DDC15E" w14:textId="77777777"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14:paraId="264FDB89" w14:textId="77777777"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14:paraId="60A5ECEF" w14:textId="77777777"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14:paraId="587F88AE" w14:textId="77777777"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AB5EB8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5C5D74B6" w14:textId="77777777"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14:paraId="085348FB" w14:textId="77777777"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14:paraId="7E237702" w14:textId="77777777"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14:paraId="31997FEA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14:paraId="68CCF4F8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9DEBA71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10A34D8E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63E30585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17579D5B" w14:textId="77777777"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14:paraId="173C5DF7" w14:textId="77777777"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14:paraId="01ED7F29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0F3404BD" w14:textId="77777777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9A68D05" w14:textId="5DB802ED" w:rsidR="00D24B60" w:rsidRDefault="00D62A8F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01.02.2024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02.02.2024</w:t>
      </w:r>
      <w:bookmarkStart w:id="1" w:name="_GoBack"/>
      <w:bookmarkEnd w:id="1"/>
    </w:p>
    <w:p w14:paraId="657CD8CC" w14:textId="77777777" w:rsidR="006B1A31" w:rsidRDefault="006B1A31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195FE1A" w14:textId="77777777" w:rsidR="0086362E" w:rsidRPr="0086362E" w:rsidRDefault="00D24B60" w:rsidP="00E04EA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 </w:t>
      </w:r>
      <w:r w:rsidR="0086362E">
        <w:rPr>
          <w:rFonts w:ascii="Arial" w:hAnsi="Arial" w:cs="Arial"/>
          <w:sz w:val="20"/>
          <w:szCs w:val="20"/>
        </w:rPr>
        <w:t xml:space="preserve"> </w:t>
      </w:r>
      <w:r w:rsidR="006B1A31" w:rsidRPr="006B1A31">
        <w:rPr>
          <w:rFonts w:ascii="Arial" w:hAnsi="Arial" w:cs="Arial"/>
          <w:sz w:val="20"/>
          <w:szCs w:val="20"/>
        </w:rPr>
        <w:t>Pedagogicko-psychologická poradna</w:t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sz w:val="20"/>
          <w:szCs w:val="20"/>
        </w:rPr>
        <w:t>Karlovarský kraj</w:t>
      </w:r>
    </w:p>
    <w:p w14:paraId="7241E5D0" w14:textId="77777777" w:rsidR="00BA6F26" w:rsidRPr="0086362E" w:rsidRDefault="006B1A31" w:rsidP="007C5BEA">
      <w:pPr>
        <w:rPr>
          <w:rFonts w:ascii="Arial" w:hAnsi="Arial" w:cs="Arial"/>
          <w:bCs/>
          <w:color w:val="auto"/>
          <w:sz w:val="20"/>
          <w:szCs w:val="20"/>
        </w:rPr>
      </w:pPr>
      <w:r w:rsidRPr="006B1A31">
        <w:rPr>
          <w:rFonts w:ascii="Arial" w:hAnsi="Arial" w:cs="Arial"/>
          <w:bCs/>
          <w:color w:val="auto"/>
          <w:sz w:val="20"/>
          <w:szCs w:val="20"/>
        </w:rPr>
        <w:t>Karlovy Vary, příspěvková organizace</w:t>
      </w:r>
      <w:r w:rsidR="007C5BEA">
        <w:rPr>
          <w:rFonts w:ascii="Arial" w:hAnsi="Arial" w:cs="Arial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BB6586">
        <w:rPr>
          <w:rFonts w:ascii="Arial" w:hAnsi="Arial" w:cs="Arial"/>
          <w:bCs/>
          <w:color w:val="auto"/>
          <w:sz w:val="20"/>
          <w:szCs w:val="20"/>
        </w:rPr>
        <w:t xml:space="preserve">            </w:t>
      </w:r>
      <w:r w:rsidR="0086362E">
        <w:rPr>
          <w:rFonts w:ascii="Arial" w:hAnsi="Arial" w:cs="Arial"/>
          <w:sz w:val="20"/>
          <w:szCs w:val="20"/>
        </w:rPr>
        <w:t>Ing. Tomáš Brtek</w:t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14:paraId="651A4982" w14:textId="77777777" w:rsidR="00F96C3C" w:rsidRPr="00BA5D9F" w:rsidRDefault="001C110C" w:rsidP="001C110C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B1A31" w:rsidRPr="006B1A31">
        <w:rPr>
          <w:rFonts w:ascii="Arial" w:hAnsi="Arial" w:cs="Arial"/>
          <w:bCs/>
          <w:sz w:val="20"/>
          <w:szCs w:val="20"/>
        </w:rPr>
        <w:t>PhDr. Jolan</w:t>
      </w:r>
      <w:r w:rsidR="006B1A31">
        <w:rPr>
          <w:rFonts w:ascii="Arial" w:hAnsi="Arial" w:cs="Arial"/>
          <w:bCs/>
          <w:sz w:val="20"/>
          <w:szCs w:val="20"/>
        </w:rPr>
        <w:t>a</w:t>
      </w:r>
      <w:r w:rsidR="006B1A31" w:rsidRPr="006B1A31">
        <w:rPr>
          <w:rFonts w:ascii="Arial" w:hAnsi="Arial" w:cs="Arial"/>
          <w:bCs/>
          <w:sz w:val="20"/>
          <w:szCs w:val="20"/>
        </w:rPr>
        <w:t xml:space="preserve"> Mižikarov</w:t>
      </w:r>
      <w:r w:rsidR="006B1A31">
        <w:rPr>
          <w:rFonts w:ascii="Arial" w:hAnsi="Arial" w:cs="Arial"/>
          <w:bCs/>
          <w:sz w:val="20"/>
          <w:szCs w:val="20"/>
        </w:rPr>
        <w:t>á</w:t>
      </w: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A17EE"/>
    <w:rsid w:val="001C110C"/>
    <w:rsid w:val="001C7FD4"/>
    <w:rsid w:val="00261ECE"/>
    <w:rsid w:val="002D28A4"/>
    <w:rsid w:val="002D4289"/>
    <w:rsid w:val="002E61D9"/>
    <w:rsid w:val="00313F0C"/>
    <w:rsid w:val="00331ACB"/>
    <w:rsid w:val="003405C3"/>
    <w:rsid w:val="00375DB9"/>
    <w:rsid w:val="003B2C65"/>
    <w:rsid w:val="00420958"/>
    <w:rsid w:val="00426FD5"/>
    <w:rsid w:val="00433BA4"/>
    <w:rsid w:val="004A4C7A"/>
    <w:rsid w:val="004C453B"/>
    <w:rsid w:val="0051381E"/>
    <w:rsid w:val="00544BDE"/>
    <w:rsid w:val="0055776E"/>
    <w:rsid w:val="00566798"/>
    <w:rsid w:val="005A3D0E"/>
    <w:rsid w:val="00600B8B"/>
    <w:rsid w:val="0060751D"/>
    <w:rsid w:val="0065233F"/>
    <w:rsid w:val="0068377B"/>
    <w:rsid w:val="00690ECD"/>
    <w:rsid w:val="006B1A31"/>
    <w:rsid w:val="006F5926"/>
    <w:rsid w:val="0071359A"/>
    <w:rsid w:val="0074479C"/>
    <w:rsid w:val="00760C06"/>
    <w:rsid w:val="00795174"/>
    <w:rsid w:val="007C5BEA"/>
    <w:rsid w:val="007D6A14"/>
    <w:rsid w:val="007F2F9D"/>
    <w:rsid w:val="007F4955"/>
    <w:rsid w:val="0082400A"/>
    <w:rsid w:val="00860419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D24B60"/>
    <w:rsid w:val="00D41119"/>
    <w:rsid w:val="00D4169D"/>
    <w:rsid w:val="00D62A8F"/>
    <w:rsid w:val="00DA311E"/>
    <w:rsid w:val="00DB3BE9"/>
    <w:rsid w:val="00DB6987"/>
    <w:rsid w:val="00DF2912"/>
    <w:rsid w:val="00DF3D11"/>
    <w:rsid w:val="00E04EA2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23FB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1181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52</cp:revision>
  <cp:lastPrinted>2024-01-31T07:25:00Z</cp:lastPrinted>
  <dcterms:created xsi:type="dcterms:W3CDTF">2022-01-04T09:34:00Z</dcterms:created>
  <dcterms:modified xsi:type="dcterms:W3CDTF">2024-02-05T07:05:00Z</dcterms:modified>
</cp:coreProperties>
</file>