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BDA8F2" w14:textId="77777777" w:rsidR="00E96400" w:rsidRDefault="00E96400">
      <w:pPr>
        <w:jc w:val="center"/>
        <w:rPr>
          <w:b/>
          <w:bCs/>
        </w:rPr>
      </w:pPr>
      <w:r>
        <w:rPr>
          <w:b/>
          <w:sz w:val="28"/>
          <w:szCs w:val="28"/>
        </w:rPr>
        <w:t xml:space="preserve">Rámcová </w:t>
      </w:r>
      <w:r w:rsidR="002506E3">
        <w:rPr>
          <w:b/>
          <w:sz w:val="28"/>
          <w:szCs w:val="28"/>
        </w:rPr>
        <w:t>dohoda</w:t>
      </w:r>
    </w:p>
    <w:p w14:paraId="70074286" w14:textId="77777777" w:rsidR="00E96400" w:rsidRDefault="00AF6D29">
      <w:pPr>
        <w:jc w:val="center"/>
        <w:rPr>
          <w:b/>
        </w:rPr>
      </w:pPr>
      <w:r>
        <w:rPr>
          <w:b/>
          <w:bCs/>
        </w:rPr>
        <w:t>MTZ/202</w:t>
      </w:r>
      <w:r w:rsidR="000749B0">
        <w:rPr>
          <w:b/>
          <w:bCs/>
        </w:rPr>
        <w:t>4</w:t>
      </w:r>
      <w:r w:rsidR="00E96400">
        <w:rPr>
          <w:b/>
          <w:bCs/>
        </w:rPr>
        <w:t>/</w:t>
      </w:r>
      <w:r w:rsidR="000749B0">
        <w:rPr>
          <w:b/>
          <w:bCs/>
        </w:rPr>
        <w:t>1</w:t>
      </w:r>
    </w:p>
    <w:p w14:paraId="618FFD32" w14:textId="77777777" w:rsidR="00E96400" w:rsidRDefault="00E96400">
      <w:pPr>
        <w:jc w:val="center"/>
        <w:rPr>
          <w:b/>
        </w:rPr>
      </w:pPr>
      <w:r>
        <w:rPr>
          <w:b/>
        </w:rPr>
        <w:t xml:space="preserve"> </w:t>
      </w:r>
    </w:p>
    <w:p w14:paraId="6BF1645E" w14:textId="77777777" w:rsidR="00E96400" w:rsidRDefault="00E96400">
      <w:pPr>
        <w:jc w:val="center"/>
        <w:rPr>
          <w:b/>
        </w:rPr>
      </w:pPr>
    </w:p>
    <w:p w14:paraId="26A457FF" w14:textId="23EE5F48" w:rsidR="00E96400" w:rsidRDefault="00D87650">
      <w:pPr>
        <w:numPr>
          <w:ilvl w:val="0"/>
          <w:numId w:val="6"/>
        </w:numPr>
      </w:pPr>
      <w:r>
        <w:rPr>
          <w:b/>
        </w:rPr>
        <w:t>Dodavatel</w:t>
      </w:r>
      <w:r w:rsidR="00E96400">
        <w:rPr>
          <w:b/>
        </w:rPr>
        <w:t>:</w:t>
      </w:r>
    </w:p>
    <w:p w14:paraId="09D09035" w14:textId="77777777" w:rsidR="00E96400" w:rsidRPr="00B94DC9" w:rsidRDefault="00E96400">
      <w:pPr>
        <w:ind w:firstLine="708"/>
        <w:rPr>
          <w:color w:val="000000"/>
        </w:rPr>
      </w:pPr>
      <w:r w:rsidRPr="00B94DC9">
        <w:rPr>
          <w:color w:val="000000"/>
        </w:rPr>
        <w:t>Název:</w:t>
      </w:r>
      <w:r w:rsidR="009F32FB" w:rsidRPr="00B94DC9">
        <w:rPr>
          <w:color w:val="000000"/>
        </w:rPr>
        <w:tab/>
      </w:r>
      <w:r w:rsidR="009F32FB" w:rsidRPr="00B94DC9">
        <w:rPr>
          <w:color w:val="000000"/>
        </w:rPr>
        <w:tab/>
        <w:t xml:space="preserve">Edenred CZ s. r. o. </w:t>
      </w:r>
    </w:p>
    <w:p w14:paraId="2138E812" w14:textId="77777777" w:rsidR="00E96400" w:rsidRPr="00B94DC9" w:rsidRDefault="00E96400">
      <w:pPr>
        <w:ind w:firstLine="708"/>
        <w:rPr>
          <w:color w:val="000000"/>
        </w:rPr>
      </w:pPr>
      <w:r w:rsidRPr="00B94DC9">
        <w:rPr>
          <w:color w:val="000000"/>
        </w:rPr>
        <w:t>Se sídlem:</w:t>
      </w:r>
      <w:r w:rsidR="009F32FB" w:rsidRPr="00B94DC9">
        <w:rPr>
          <w:color w:val="000000"/>
        </w:rPr>
        <w:tab/>
        <w:t xml:space="preserve">Pernerova 691/42, Karlín, 186 00 Praha 8 </w:t>
      </w:r>
    </w:p>
    <w:p w14:paraId="1F2BB177" w14:textId="5C73A6A0" w:rsidR="00E96400" w:rsidRPr="00B94DC9" w:rsidRDefault="00E96400">
      <w:pPr>
        <w:ind w:firstLine="708"/>
        <w:rPr>
          <w:color w:val="000000"/>
        </w:rPr>
      </w:pPr>
      <w:r w:rsidRPr="00B94DC9">
        <w:rPr>
          <w:color w:val="000000"/>
        </w:rPr>
        <w:t>Jednající:</w:t>
      </w:r>
      <w:r w:rsidR="009F32FB" w:rsidRPr="00B94DC9">
        <w:rPr>
          <w:color w:val="000000"/>
        </w:rPr>
        <w:tab/>
      </w:r>
      <w:r w:rsidR="008E3214">
        <w:rPr>
          <w:color w:val="000000"/>
        </w:rPr>
        <w:t>XXXXXXXX</w:t>
      </w:r>
    </w:p>
    <w:p w14:paraId="6A43DB2C" w14:textId="77777777" w:rsidR="009F32FB" w:rsidRPr="00B94DC9" w:rsidRDefault="00E96400">
      <w:pPr>
        <w:ind w:firstLine="708"/>
        <w:rPr>
          <w:color w:val="000000"/>
        </w:rPr>
      </w:pPr>
      <w:r w:rsidRPr="00B94DC9">
        <w:rPr>
          <w:color w:val="000000"/>
        </w:rPr>
        <w:t>IČ:</w:t>
      </w:r>
      <w:r w:rsidR="009F32FB" w:rsidRPr="00B94DC9">
        <w:rPr>
          <w:color w:val="000000"/>
        </w:rPr>
        <w:tab/>
      </w:r>
      <w:r w:rsidR="009F32FB" w:rsidRPr="00B94DC9">
        <w:rPr>
          <w:color w:val="000000"/>
        </w:rPr>
        <w:tab/>
        <w:t>24745391</w:t>
      </w:r>
    </w:p>
    <w:p w14:paraId="483C28FC" w14:textId="77777777" w:rsidR="00E96400" w:rsidRPr="00B94DC9" w:rsidRDefault="00E96400">
      <w:pPr>
        <w:ind w:firstLine="708"/>
        <w:rPr>
          <w:color w:val="000000"/>
        </w:rPr>
      </w:pPr>
      <w:r w:rsidRPr="00B94DC9">
        <w:rPr>
          <w:color w:val="000000"/>
        </w:rPr>
        <w:t>DIČ:</w:t>
      </w:r>
      <w:r w:rsidR="009F32FB" w:rsidRPr="00B94DC9">
        <w:rPr>
          <w:color w:val="000000"/>
        </w:rPr>
        <w:tab/>
      </w:r>
      <w:r w:rsidR="009F32FB" w:rsidRPr="00B94DC9">
        <w:rPr>
          <w:color w:val="000000"/>
        </w:rPr>
        <w:tab/>
        <w:t xml:space="preserve">CZ 24745391 </w:t>
      </w:r>
    </w:p>
    <w:p w14:paraId="46FD2B01" w14:textId="4A461A82" w:rsidR="00E96400" w:rsidRPr="00B94DC9" w:rsidRDefault="00E96400">
      <w:pPr>
        <w:ind w:firstLine="708"/>
        <w:rPr>
          <w:color w:val="000000"/>
        </w:rPr>
      </w:pPr>
      <w:r w:rsidRPr="00B94DC9">
        <w:rPr>
          <w:color w:val="000000"/>
        </w:rPr>
        <w:t>Bankovní spojení:</w:t>
      </w:r>
      <w:r w:rsidR="009F32FB" w:rsidRPr="00B94DC9">
        <w:rPr>
          <w:color w:val="000000"/>
        </w:rPr>
        <w:t xml:space="preserve"> </w:t>
      </w:r>
    </w:p>
    <w:p w14:paraId="7967AEEF" w14:textId="3ABFA7D0" w:rsidR="00B07F79" w:rsidRPr="00B94DC9" w:rsidRDefault="00B07F79">
      <w:pPr>
        <w:ind w:firstLine="708"/>
        <w:rPr>
          <w:color w:val="000000"/>
        </w:rPr>
      </w:pPr>
      <w:r w:rsidRPr="00B94DC9">
        <w:rPr>
          <w:color w:val="000000"/>
        </w:rPr>
        <w:t>Číslo účtu</w:t>
      </w:r>
      <w:r w:rsidR="00B26D39" w:rsidRPr="00B94DC9">
        <w:rPr>
          <w:color w:val="000000"/>
        </w:rPr>
        <w:t>:</w:t>
      </w:r>
      <w:r w:rsidR="009F32FB" w:rsidRPr="00B94DC9">
        <w:rPr>
          <w:color w:val="000000"/>
        </w:rPr>
        <w:tab/>
      </w:r>
      <w:r w:rsidR="008E3214">
        <w:rPr>
          <w:color w:val="000000"/>
        </w:rPr>
        <w:t>XXXXXXXX</w:t>
      </w:r>
    </w:p>
    <w:p w14:paraId="19AF0468" w14:textId="06253950" w:rsidR="00E96400" w:rsidRPr="00B94DC9" w:rsidRDefault="00E96400">
      <w:pPr>
        <w:ind w:firstLine="708"/>
        <w:rPr>
          <w:color w:val="000000"/>
        </w:rPr>
      </w:pPr>
      <w:r w:rsidRPr="00B94DC9">
        <w:rPr>
          <w:color w:val="000000"/>
        </w:rPr>
        <w:t>Zástupce oprávněný jednat ve věcech dílčích objednávek:</w:t>
      </w:r>
      <w:r w:rsidR="009F32FB" w:rsidRPr="00B94DC9">
        <w:rPr>
          <w:color w:val="000000"/>
        </w:rPr>
        <w:t xml:space="preserve"> </w:t>
      </w:r>
      <w:r w:rsidR="008E3214">
        <w:rPr>
          <w:color w:val="000000"/>
        </w:rPr>
        <w:t>XXXXXXXX</w:t>
      </w:r>
      <w:r w:rsidR="008E3214">
        <w:rPr>
          <w:color w:val="000000"/>
        </w:rPr>
        <w:t xml:space="preserve"> </w:t>
      </w:r>
    </w:p>
    <w:p w14:paraId="147830D7" w14:textId="069A8FB5" w:rsidR="00B94DC9" w:rsidRPr="00B94DC9" w:rsidRDefault="00E96400" w:rsidP="00B94DC9">
      <w:pPr>
        <w:ind w:firstLine="708"/>
        <w:rPr>
          <w:color w:val="000000"/>
        </w:rPr>
      </w:pPr>
      <w:r w:rsidRPr="00B94DC9">
        <w:rPr>
          <w:color w:val="000000"/>
        </w:rPr>
        <w:t>Kontakt:</w:t>
      </w:r>
      <w:r w:rsidR="009F32FB" w:rsidRPr="00B94DC9">
        <w:rPr>
          <w:color w:val="000000"/>
        </w:rPr>
        <w:t xml:space="preserve"> </w:t>
      </w:r>
      <w:r w:rsidR="008E3214">
        <w:rPr>
          <w:color w:val="000000"/>
        </w:rPr>
        <w:t>XXXXXXXX</w:t>
      </w:r>
      <w:r w:rsidR="008E3214">
        <w:rPr>
          <w:color w:val="000000"/>
        </w:rPr>
        <w:t xml:space="preserve">, </w:t>
      </w:r>
      <w:r w:rsidR="008E3214">
        <w:rPr>
          <w:color w:val="000000"/>
        </w:rPr>
        <w:t>XXXXXXXX</w:t>
      </w:r>
      <w:r w:rsidR="008E3214" w:rsidRPr="00B94DC9">
        <w:rPr>
          <w:color w:val="000000"/>
        </w:rPr>
        <w:t xml:space="preserve"> </w:t>
      </w:r>
    </w:p>
    <w:p w14:paraId="0609C233" w14:textId="61F675A8" w:rsidR="00E96400" w:rsidRPr="00B94DC9" w:rsidRDefault="00E96400" w:rsidP="00B94DC9">
      <w:pPr>
        <w:ind w:firstLine="708"/>
        <w:rPr>
          <w:color w:val="000000"/>
        </w:rPr>
      </w:pPr>
    </w:p>
    <w:p w14:paraId="3F6BDFA4" w14:textId="02BAD633" w:rsidR="00E96400" w:rsidRDefault="00E96400">
      <w:r>
        <w:tab/>
        <w:t>(dále jen „</w:t>
      </w:r>
      <w:r w:rsidR="009F32FB">
        <w:t>dodavatel</w:t>
      </w:r>
      <w:r>
        <w:t>“)</w:t>
      </w:r>
    </w:p>
    <w:p w14:paraId="286F6A80" w14:textId="77777777" w:rsidR="00E96400" w:rsidRDefault="00E96400">
      <w:r>
        <w:tab/>
      </w:r>
    </w:p>
    <w:p w14:paraId="555574C2" w14:textId="77777777" w:rsidR="00E96400" w:rsidRDefault="00E96400">
      <w:r>
        <w:tab/>
        <w:t xml:space="preserve">a </w:t>
      </w:r>
    </w:p>
    <w:p w14:paraId="4A6D2286" w14:textId="77777777" w:rsidR="00E96400" w:rsidRDefault="00E96400">
      <w:pPr>
        <w:jc w:val="center"/>
      </w:pPr>
    </w:p>
    <w:p w14:paraId="57D245AC" w14:textId="54B8181A" w:rsidR="00E96400" w:rsidRDefault="00D87650">
      <w:pPr>
        <w:numPr>
          <w:ilvl w:val="0"/>
          <w:numId w:val="6"/>
        </w:numPr>
      </w:pPr>
      <w:r>
        <w:rPr>
          <w:b/>
        </w:rPr>
        <w:t>Odběratel</w:t>
      </w:r>
      <w:r w:rsidR="00E96400">
        <w:rPr>
          <w:b/>
        </w:rPr>
        <w:t>:</w:t>
      </w:r>
    </w:p>
    <w:p w14:paraId="38C7ACE7" w14:textId="77777777" w:rsidR="00E96400" w:rsidRDefault="00E96400">
      <w:pPr>
        <w:ind w:firstLine="708"/>
      </w:pPr>
      <w:r>
        <w:t>Psychiatrická nemocnice v Opavě</w:t>
      </w:r>
    </w:p>
    <w:p w14:paraId="5F40F674" w14:textId="77777777" w:rsidR="00E96400" w:rsidRDefault="00E96400">
      <w:pPr>
        <w:ind w:firstLine="708"/>
      </w:pPr>
      <w:r>
        <w:t>Se sídlem: Olomoucká 305/88, 746 01 Opava</w:t>
      </w:r>
    </w:p>
    <w:p w14:paraId="5A3BA67E" w14:textId="77777777" w:rsidR="00E96400" w:rsidRDefault="00A06035">
      <w:pPr>
        <w:ind w:firstLine="708"/>
      </w:pPr>
      <w:r>
        <w:t>Zastoupen</w:t>
      </w:r>
      <w:r w:rsidR="0018122A">
        <w:t>a</w:t>
      </w:r>
      <w:r>
        <w:t xml:space="preserve"> Ing. </w:t>
      </w:r>
      <w:r w:rsidR="00A570AE">
        <w:t>Zdeňkem Jiříčkem, ředitelem</w:t>
      </w:r>
    </w:p>
    <w:p w14:paraId="3D6F0E42" w14:textId="77777777" w:rsidR="00E96400" w:rsidRDefault="00E96400">
      <w:pPr>
        <w:ind w:firstLine="708"/>
      </w:pPr>
      <w:r>
        <w:t>IČ: 00844004</w:t>
      </w:r>
    </w:p>
    <w:p w14:paraId="6882D5B0" w14:textId="77777777" w:rsidR="00E96400" w:rsidRDefault="00E96400">
      <w:pPr>
        <w:ind w:firstLine="708"/>
      </w:pPr>
      <w:r>
        <w:t>DIČ: CZ00844004</w:t>
      </w:r>
    </w:p>
    <w:p w14:paraId="7E4CA75C" w14:textId="77777777" w:rsidR="00E96400" w:rsidRDefault="00E96400">
      <w:pPr>
        <w:ind w:firstLine="708"/>
      </w:pPr>
      <w:r>
        <w:t xml:space="preserve">Bankovní spojení: </w:t>
      </w:r>
      <w:r w:rsidR="00CB1450">
        <w:t>Česká národní banka</w:t>
      </w:r>
    </w:p>
    <w:p w14:paraId="5DBD803D" w14:textId="77777777" w:rsidR="00E96400" w:rsidRDefault="00E96400">
      <w:pPr>
        <w:ind w:firstLine="708"/>
      </w:pPr>
      <w:r>
        <w:t xml:space="preserve">Číslo účtu: </w:t>
      </w:r>
      <w:r w:rsidR="00CB1450">
        <w:t>10006-339821/0710</w:t>
      </w:r>
    </w:p>
    <w:p w14:paraId="49ED7BE7" w14:textId="40935A2A" w:rsidR="00E96400" w:rsidRDefault="00E96400">
      <w:pPr>
        <w:ind w:firstLine="708"/>
      </w:pPr>
      <w:r>
        <w:t xml:space="preserve">Zástupce </w:t>
      </w:r>
      <w:r w:rsidR="00CC7528">
        <w:t xml:space="preserve">odběratele </w:t>
      </w:r>
      <w:r>
        <w:t xml:space="preserve">oprávněný jednat ve věcech dílčích objednávek: </w:t>
      </w:r>
      <w:r w:rsidR="008E3214">
        <w:rPr>
          <w:color w:val="000000"/>
        </w:rPr>
        <w:t>XXXXXXXX</w:t>
      </w:r>
      <w:r>
        <w:t xml:space="preserve">, </w:t>
      </w:r>
    </w:p>
    <w:p w14:paraId="36B71B4B" w14:textId="1ED1001A" w:rsidR="00E96400" w:rsidRDefault="00E96400">
      <w:pPr>
        <w:ind w:firstLine="708"/>
      </w:pPr>
      <w:r>
        <w:t xml:space="preserve">Kontakt: </w:t>
      </w:r>
      <w:r w:rsidR="008E3214">
        <w:rPr>
          <w:color w:val="000000"/>
        </w:rPr>
        <w:t>XXXXXXXX</w:t>
      </w:r>
      <w:r w:rsidR="008E3214">
        <w:rPr>
          <w:color w:val="000000"/>
        </w:rPr>
        <w:t xml:space="preserve">, </w:t>
      </w:r>
      <w:r w:rsidR="008E3214">
        <w:rPr>
          <w:color w:val="000000"/>
        </w:rPr>
        <w:t>XXXXXXXX</w:t>
      </w:r>
    </w:p>
    <w:p w14:paraId="299EE5F0" w14:textId="77777777" w:rsidR="00E96400" w:rsidRDefault="00E96400"/>
    <w:p w14:paraId="4FE7EBEC" w14:textId="420F3C9A" w:rsidR="00E96400" w:rsidRDefault="00E96400">
      <w:pPr>
        <w:rPr>
          <w:b/>
        </w:rPr>
      </w:pPr>
      <w:r>
        <w:t xml:space="preserve">            (dále jen „</w:t>
      </w:r>
      <w:r w:rsidR="00F67F20">
        <w:t>odběratel</w:t>
      </w:r>
      <w:r>
        <w:t>“</w:t>
      </w:r>
      <w:r>
        <w:rPr>
          <w:b/>
        </w:rPr>
        <w:t>)</w:t>
      </w:r>
    </w:p>
    <w:p w14:paraId="0F529E5F" w14:textId="77777777" w:rsidR="00E96400" w:rsidRDefault="00E96400">
      <w:pPr>
        <w:rPr>
          <w:b/>
        </w:rPr>
      </w:pPr>
    </w:p>
    <w:p w14:paraId="6F92499F" w14:textId="5D94AF98" w:rsidR="00E96400" w:rsidRDefault="00E96400">
      <w:pPr>
        <w:jc w:val="both"/>
      </w:pPr>
      <w:r>
        <w:t xml:space="preserve">Smluvní strany se dohodly </w:t>
      </w:r>
      <w:r w:rsidR="000C33A4">
        <w:t>ve smyslu</w:t>
      </w:r>
      <w:r>
        <w:t xml:space="preserve"> </w:t>
      </w:r>
      <w:proofErr w:type="spellStart"/>
      <w:r>
        <w:t>ust</w:t>
      </w:r>
      <w:proofErr w:type="spellEnd"/>
      <w:r>
        <w:t xml:space="preserve">. § </w:t>
      </w:r>
      <w:r w:rsidR="002506E3">
        <w:t xml:space="preserve">131 a násl. </w:t>
      </w:r>
      <w:proofErr w:type="spellStart"/>
      <w:r>
        <w:t>z.č</w:t>
      </w:r>
      <w:proofErr w:type="spellEnd"/>
      <w:r>
        <w:t xml:space="preserve">. </w:t>
      </w:r>
      <w:r w:rsidR="002506E3">
        <w:t>134/2016</w:t>
      </w:r>
      <w:r>
        <w:t xml:space="preserve"> Sb.</w:t>
      </w:r>
      <w:r w:rsidR="002506E3">
        <w:t xml:space="preserve">, o zadávání veřejných zakázek </w:t>
      </w:r>
      <w:r>
        <w:t>v platném znění a dnešního dne uzavřeli podle zákona č. 89/2012 Sb., občanského zákoníku následující</w:t>
      </w:r>
    </w:p>
    <w:p w14:paraId="5A1F51EB" w14:textId="77777777" w:rsidR="00E96400" w:rsidRDefault="00E96400">
      <w:pPr>
        <w:jc w:val="both"/>
      </w:pPr>
      <w:r>
        <w:tab/>
      </w:r>
      <w:r>
        <w:tab/>
      </w:r>
      <w:r>
        <w:tab/>
      </w:r>
    </w:p>
    <w:p w14:paraId="7E9699A1" w14:textId="4DAD709D" w:rsidR="00E96400" w:rsidRDefault="00BE694C" w:rsidP="00B94DC9">
      <w:pPr>
        <w:jc w:val="center"/>
      </w:pPr>
      <w:r>
        <w:rPr>
          <w:b/>
          <w:bCs/>
        </w:rPr>
        <w:t>R</w:t>
      </w:r>
      <w:r w:rsidR="00E96400">
        <w:rPr>
          <w:b/>
          <w:bCs/>
        </w:rPr>
        <w:t xml:space="preserve">ámcovou </w:t>
      </w:r>
      <w:r w:rsidR="009F32FB">
        <w:rPr>
          <w:b/>
          <w:bCs/>
        </w:rPr>
        <w:t>dohodu</w:t>
      </w:r>
      <w:r w:rsidR="00E96400">
        <w:rPr>
          <w:b/>
          <w:bCs/>
        </w:rPr>
        <w:t>:</w:t>
      </w:r>
    </w:p>
    <w:p w14:paraId="7290BFF4" w14:textId="77777777" w:rsidR="00E96400" w:rsidRDefault="00E96400">
      <w:pPr>
        <w:jc w:val="both"/>
      </w:pPr>
    </w:p>
    <w:p w14:paraId="3620E742" w14:textId="77777777" w:rsidR="00E96400" w:rsidRDefault="00E96400">
      <w:pPr>
        <w:jc w:val="center"/>
        <w:rPr>
          <w:b/>
        </w:rPr>
      </w:pPr>
      <w:r>
        <w:rPr>
          <w:b/>
        </w:rPr>
        <w:t>Článek I.</w:t>
      </w:r>
    </w:p>
    <w:p w14:paraId="27548CF2" w14:textId="77777777" w:rsidR="00E96400" w:rsidRDefault="00E96400">
      <w:pPr>
        <w:jc w:val="center"/>
        <w:rPr>
          <w:b/>
        </w:rPr>
      </w:pPr>
      <w:r>
        <w:rPr>
          <w:b/>
        </w:rPr>
        <w:t>Předmět smlouvy</w:t>
      </w:r>
    </w:p>
    <w:p w14:paraId="71AFDBB4" w14:textId="77777777" w:rsidR="00E96400" w:rsidRDefault="00E96400">
      <w:pPr>
        <w:jc w:val="center"/>
        <w:rPr>
          <w:b/>
        </w:rPr>
      </w:pPr>
    </w:p>
    <w:p w14:paraId="028C86A6" w14:textId="0988EF2A" w:rsidR="00E96400" w:rsidRDefault="00E96400" w:rsidP="00F67F20">
      <w:pPr>
        <w:numPr>
          <w:ilvl w:val="0"/>
          <w:numId w:val="5"/>
        </w:numPr>
        <w:jc w:val="both"/>
      </w:pPr>
      <w:r>
        <w:t xml:space="preserve">Předmětem plnění této smlouvy je rámcová úprava práv a povinností smluvních </w:t>
      </w:r>
      <w:proofErr w:type="gramStart"/>
      <w:r>
        <w:t xml:space="preserve">stran  </w:t>
      </w:r>
      <w:r w:rsidR="00F67F20">
        <w:t>na</w:t>
      </w:r>
      <w:proofErr w:type="gramEnd"/>
      <w:r w:rsidR="00F67F20">
        <w:t xml:space="preserve"> dodávku </w:t>
      </w:r>
      <w:r w:rsidR="00F67F20" w:rsidRPr="00B94DC9">
        <w:t>kar</w:t>
      </w:r>
      <w:r w:rsidR="0023298A">
        <w:t>e</w:t>
      </w:r>
      <w:r w:rsidR="00F67F20" w:rsidRPr="00B94DC9">
        <w:t xml:space="preserve">t </w:t>
      </w:r>
      <w:proofErr w:type="spellStart"/>
      <w:r w:rsidR="00F67F20" w:rsidRPr="00B94DC9">
        <w:t>Edenred</w:t>
      </w:r>
      <w:proofErr w:type="spellEnd"/>
      <w:r w:rsidR="00F67F20" w:rsidRPr="00B94DC9">
        <w:t xml:space="preserve"> </w:t>
      </w:r>
      <w:proofErr w:type="spellStart"/>
      <w:r w:rsidR="00F67F20" w:rsidRPr="00B94DC9">
        <w:t>Card</w:t>
      </w:r>
      <w:proofErr w:type="spellEnd"/>
      <w:r w:rsidR="00F67F20" w:rsidRPr="00B94DC9">
        <w:t xml:space="preserve">, pro zaměstnance  odběratele, které slouží k úhrady závodního stravování pro zaměstnance odběratele ve vybraných provozovnách.   </w:t>
      </w:r>
      <w:r>
        <w:t>Bližší vymezení průběžných dodávek jednotliv</w:t>
      </w:r>
      <w:r w:rsidR="00BE694C">
        <w:t xml:space="preserve">ých plnění </w:t>
      </w:r>
      <w:r>
        <w:t>nabízen</w:t>
      </w:r>
      <w:r w:rsidR="00BE694C">
        <w:t xml:space="preserve">ých dodavatelem </w:t>
      </w:r>
      <w:r>
        <w:t>je vymezeno a specifikováno v Příloze č. 1 smlouvy s názvem „Seznam zboží s cenovou nabídkou“, která tvoří nedílnou součást této smlouvy.</w:t>
      </w:r>
    </w:p>
    <w:p w14:paraId="454822EF" w14:textId="2699DCB9" w:rsidR="00FF5521" w:rsidRDefault="00F67F20">
      <w:pPr>
        <w:numPr>
          <w:ilvl w:val="0"/>
          <w:numId w:val="5"/>
        </w:numPr>
        <w:jc w:val="both"/>
      </w:pPr>
      <w:r>
        <w:t xml:space="preserve">Objednatel </w:t>
      </w:r>
      <w:r w:rsidR="00E96400">
        <w:t xml:space="preserve">si vyhrazuje právo objednávat </w:t>
      </w:r>
      <w:r>
        <w:t xml:space="preserve">platební prostředky </w:t>
      </w:r>
      <w:r w:rsidR="00E96400">
        <w:t xml:space="preserve">dle svých aktuálních potřeb a je oprávněn některou položku z Přílohy č. 1 neodebrat v předpokládaném objemu nebo ji neodebrat vůbec. </w:t>
      </w:r>
    </w:p>
    <w:p w14:paraId="7B710230" w14:textId="77777777" w:rsidR="00E96400" w:rsidRDefault="00E96400">
      <w:pPr>
        <w:jc w:val="both"/>
      </w:pPr>
    </w:p>
    <w:p w14:paraId="396DE3B3" w14:textId="77777777" w:rsidR="00B07F79" w:rsidRDefault="00B07F79">
      <w:pPr>
        <w:jc w:val="both"/>
      </w:pPr>
    </w:p>
    <w:p w14:paraId="47C51209" w14:textId="77777777" w:rsidR="00B07F79" w:rsidRDefault="00B07F79">
      <w:pPr>
        <w:jc w:val="both"/>
      </w:pPr>
    </w:p>
    <w:p w14:paraId="6E51AC19" w14:textId="77777777" w:rsidR="00E96400" w:rsidRDefault="00E96400">
      <w:pPr>
        <w:jc w:val="both"/>
        <w:rPr>
          <w:b/>
          <w:bCs/>
        </w:rPr>
      </w:pPr>
      <w:r>
        <w:rPr>
          <w:b/>
          <w:bCs/>
        </w:rPr>
        <w:tab/>
      </w:r>
      <w:r>
        <w:rPr>
          <w:b/>
          <w:bCs/>
        </w:rPr>
        <w:tab/>
      </w:r>
      <w:r>
        <w:rPr>
          <w:b/>
          <w:bCs/>
        </w:rPr>
        <w:tab/>
      </w:r>
      <w:r>
        <w:rPr>
          <w:b/>
          <w:bCs/>
        </w:rPr>
        <w:tab/>
      </w:r>
      <w:r>
        <w:rPr>
          <w:b/>
          <w:bCs/>
        </w:rPr>
        <w:tab/>
      </w:r>
      <w:r>
        <w:rPr>
          <w:b/>
          <w:bCs/>
        </w:rPr>
        <w:tab/>
        <w:t xml:space="preserve">Článek II.           </w:t>
      </w:r>
    </w:p>
    <w:p w14:paraId="4E442A33" w14:textId="77B57FA4" w:rsidR="00E96400" w:rsidRDefault="00BE694C" w:rsidP="00B94DC9">
      <w:pPr>
        <w:jc w:val="center"/>
        <w:rPr>
          <w:b/>
          <w:bCs/>
        </w:rPr>
      </w:pPr>
      <w:r>
        <w:rPr>
          <w:b/>
          <w:bCs/>
        </w:rPr>
        <w:t>O</w:t>
      </w:r>
      <w:r w:rsidR="0023298A">
        <w:rPr>
          <w:b/>
          <w:bCs/>
        </w:rPr>
        <w:t>bjednávky prostředků a některé další podmínky dodávek</w:t>
      </w:r>
    </w:p>
    <w:p w14:paraId="2813CEC1" w14:textId="77777777" w:rsidR="00E96400" w:rsidRDefault="00E96400">
      <w:pPr>
        <w:ind w:left="446"/>
        <w:jc w:val="both"/>
        <w:rPr>
          <w:b/>
          <w:bCs/>
        </w:rPr>
      </w:pPr>
    </w:p>
    <w:p w14:paraId="1AEF8EFE" w14:textId="2B215E68" w:rsidR="00E96400" w:rsidRDefault="00E96400">
      <w:pPr>
        <w:tabs>
          <w:tab w:val="left" w:pos="426"/>
        </w:tabs>
        <w:ind w:left="426"/>
        <w:jc w:val="both"/>
      </w:pPr>
      <w:r>
        <w:t xml:space="preserve">1) Jednotlivé </w:t>
      </w:r>
      <w:proofErr w:type="gramStart"/>
      <w:r w:rsidR="0023298A">
        <w:t xml:space="preserve">objednávky </w:t>
      </w:r>
      <w:r>
        <w:t xml:space="preserve"> budou</w:t>
      </w:r>
      <w:proofErr w:type="gramEnd"/>
      <w:r>
        <w:t xml:space="preserve"> uzavírány tak, že </w:t>
      </w:r>
      <w:r w:rsidR="0023298A">
        <w:t xml:space="preserve">odběratel </w:t>
      </w:r>
      <w:r>
        <w:t xml:space="preserve">zašle </w:t>
      </w:r>
      <w:r w:rsidR="0023298A">
        <w:t>dodavateli     </w:t>
      </w:r>
      <w:r>
        <w:t>formou písemné nebo elektronické objednávky, kde uvede druh     (položku) a množství objednan</w:t>
      </w:r>
      <w:r w:rsidR="0023298A">
        <w:t xml:space="preserve">ých prostředků </w:t>
      </w:r>
      <w:r>
        <w:t>vče</w:t>
      </w:r>
      <w:r w:rsidR="00FB2D90">
        <w:t xml:space="preserve">tně ceny za </w:t>
      </w:r>
      <w:r w:rsidR="0023298A">
        <w:t xml:space="preserve">jednotku </w:t>
      </w:r>
      <w:r w:rsidR="00FB2D90">
        <w:t xml:space="preserve">podle Přílohy č. </w:t>
      </w:r>
      <w:r>
        <w:t xml:space="preserve">1 této     smlouvy a termínu dodání (dále jen „závazná objednávka“) a </w:t>
      </w:r>
      <w:r w:rsidR="0023298A">
        <w:t xml:space="preserve">dodavatel </w:t>
      </w:r>
      <w:r>
        <w:t xml:space="preserve">tuto     objednávku ve lhůtě 2 pracovních dnů prostřednictvím výše uvedené e-mailové adresy     zástupce </w:t>
      </w:r>
      <w:r w:rsidR="00CC7528">
        <w:t xml:space="preserve">odběratele </w:t>
      </w:r>
      <w:r>
        <w:t xml:space="preserve">potvrdí. Případné změny nebo odchylky uvedené v potvrzení     objednávky zavazují </w:t>
      </w:r>
      <w:r w:rsidR="0023298A">
        <w:t xml:space="preserve">odběratele </w:t>
      </w:r>
      <w:r>
        <w:t>pouze v případě, jestliže proti nim nenamítne     nesouhlas ve lhůtě 2 pracovních dnů ode dne doručení potvrzení objednávky s     uvedením změn oproti závazné objednávce.</w:t>
      </w:r>
    </w:p>
    <w:p w14:paraId="734D67AF" w14:textId="7B76DCA5" w:rsidR="00E96400" w:rsidRDefault="00E96400" w:rsidP="00B94DC9">
      <w:pPr>
        <w:tabs>
          <w:tab w:val="left" w:pos="426"/>
        </w:tabs>
        <w:ind w:left="426"/>
        <w:jc w:val="both"/>
      </w:pPr>
      <w:r>
        <w:t>2) </w:t>
      </w:r>
      <w:r w:rsidR="0023298A">
        <w:t xml:space="preserve"> Dodavatel </w:t>
      </w:r>
      <w:r>
        <w:t xml:space="preserve">se touto smlouvou zavazuje k přijetí závazných objednávek a podle odst. 1 s výjimkou případu, kdy by            písemná objednávka </w:t>
      </w:r>
      <w:r w:rsidR="00CC7528">
        <w:t xml:space="preserve">odběratele </w:t>
      </w:r>
      <w:r>
        <w:t>nebyla dostatečně srozumitelná a určitá co do druhu        </w:t>
      </w:r>
      <w:proofErr w:type="gramStart"/>
      <w:r>
        <w:t>   (</w:t>
      </w:r>
      <w:proofErr w:type="gramEnd"/>
      <w:r>
        <w:t>položky) a množství anebo jestliže termín dodání zboží je pro            </w:t>
      </w:r>
      <w:r w:rsidR="00C56364">
        <w:t xml:space="preserve">dodavatele </w:t>
      </w:r>
      <w:r>
        <w:t>i přes vynaložené úsilí nesplnitelný. V takovém případě je však            </w:t>
      </w:r>
      <w:r w:rsidR="0023298A">
        <w:t xml:space="preserve">dodavatel </w:t>
      </w:r>
      <w:r>
        <w:t xml:space="preserve">povinen neprodleně </w:t>
      </w:r>
      <w:r w:rsidR="0023298A">
        <w:t xml:space="preserve">odběratele </w:t>
      </w:r>
      <w:r>
        <w:t xml:space="preserve">písemně vyzvat k odstranění shledaných            vad objednávky tak, aby mohla být objednávka </w:t>
      </w:r>
      <w:r w:rsidR="0023298A">
        <w:t xml:space="preserve">odběratele </w:t>
      </w:r>
      <w:r>
        <w:t>přijata, včetně uvedení nejbližšího možného termínu pro splnění dodávky.</w:t>
      </w:r>
    </w:p>
    <w:p w14:paraId="7B8F945D" w14:textId="7FD36772" w:rsidR="00C05358" w:rsidRDefault="00E96400" w:rsidP="00B94DC9">
      <w:pPr>
        <w:tabs>
          <w:tab w:val="left" w:pos="426"/>
        </w:tabs>
        <w:ind w:left="426"/>
        <w:jc w:val="both"/>
      </w:pPr>
      <w:r>
        <w:t xml:space="preserve">3) V případě, že </w:t>
      </w:r>
      <w:r w:rsidR="0023298A">
        <w:t xml:space="preserve">dodavatel </w:t>
      </w:r>
      <w:r>
        <w:t xml:space="preserve">nebude ve lhůtě 2 pracovních dnů ode dne odeslání            objednávky doručeno její písemné potvrzení ze strany </w:t>
      </w:r>
      <w:r w:rsidR="00C56364">
        <w:t>dodavatele</w:t>
      </w:r>
      <w:r>
        <w:t xml:space="preserve">, není touto            objednávkou </w:t>
      </w:r>
      <w:r w:rsidR="00CC7528">
        <w:t xml:space="preserve">odběratel </w:t>
      </w:r>
      <w:r>
        <w:t xml:space="preserve">právně vázán a je oprávněn od objednávky odstoupit a toto            odstoupení </w:t>
      </w:r>
      <w:proofErr w:type="gramStart"/>
      <w:r>
        <w:t xml:space="preserve">oznámit </w:t>
      </w:r>
      <w:r w:rsidR="0023298A">
        <w:t xml:space="preserve"> dodavateli</w:t>
      </w:r>
      <w:proofErr w:type="gramEnd"/>
      <w:r w:rsidR="0023298A">
        <w:t xml:space="preserve"> </w:t>
      </w:r>
      <w:r>
        <w:t>.</w:t>
      </w:r>
    </w:p>
    <w:p w14:paraId="4E3BB449" w14:textId="77777777" w:rsidR="00F67F20" w:rsidRDefault="00F67F20">
      <w:pPr>
        <w:ind w:firstLine="426"/>
        <w:jc w:val="both"/>
      </w:pPr>
    </w:p>
    <w:p w14:paraId="63804223" w14:textId="77777777" w:rsidR="00F67F20" w:rsidRPr="00B94DC9" w:rsidRDefault="0023298A" w:rsidP="00B94DC9">
      <w:pPr>
        <w:tabs>
          <w:tab w:val="left" w:pos="426"/>
        </w:tabs>
        <w:spacing w:before="120"/>
        <w:ind w:left="425"/>
        <w:jc w:val="both"/>
      </w:pPr>
      <w:r>
        <w:t xml:space="preserve">4) </w:t>
      </w:r>
      <w:r w:rsidR="00F67F20" w:rsidRPr="00B94DC9">
        <w:t>Smluvní strany si sjednal</w:t>
      </w:r>
      <w:r>
        <w:t>y</w:t>
      </w:r>
      <w:r w:rsidR="00F67F20" w:rsidRPr="00B94DC9">
        <w:t xml:space="preserve"> zprostředkování nepeněžního plnění pro zaměstnance odběratele prostřednictvím příslušných digitálních peněženek, které jsou k dispozici na </w:t>
      </w:r>
      <w:proofErr w:type="spellStart"/>
      <w:r w:rsidR="00F67F20" w:rsidRPr="00B94DC9">
        <w:t>Edenred</w:t>
      </w:r>
      <w:proofErr w:type="spellEnd"/>
      <w:r w:rsidR="00F67F20" w:rsidRPr="00B94DC9">
        <w:t xml:space="preserve"> </w:t>
      </w:r>
      <w:proofErr w:type="spellStart"/>
      <w:proofErr w:type="gramStart"/>
      <w:r w:rsidR="00F67F20" w:rsidRPr="00B94DC9">
        <w:t>Card,a</w:t>
      </w:r>
      <w:proofErr w:type="spellEnd"/>
      <w:proofErr w:type="gramEnd"/>
      <w:r w:rsidR="00F67F20" w:rsidRPr="00B94DC9">
        <w:t xml:space="preserve"> to platby prostřednictvím peněženky Ticket Restaurant®</w:t>
      </w:r>
      <w:r w:rsidR="00F67F20" w:rsidRPr="00B94DC9">
        <w:tab/>
      </w:r>
    </w:p>
    <w:p w14:paraId="4A762EF4" w14:textId="77777777" w:rsidR="00F67F20" w:rsidRPr="00B94DC9" w:rsidRDefault="0023298A" w:rsidP="00B94DC9">
      <w:pPr>
        <w:tabs>
          <w:tab w:val="left" w:pos="426"/>
        </w:tabs>
        <w:spacing w:before="120"/>
        <w:ind w:left="425"/>
        <w:jc w:val="both"/>
      </w:pPr>
      <w:r>
        <w:t xml:space="preserve">5) </w:t>
      </w:r>
      <w:proofErr w:type="spellStart"/>
      <w:r w:rsidR="00F67F20" w:rsidRPr="00B94DC9">
        <w:t>Edenred</w:t>
      </w:r>
      <w:proofErr w:type="spellEnd"/>
      <w:r w:rsidR="00F67F20" w:rsidRPr="00B94DC9">
        <w:t xml:space="preserve"> </w:t>
      </w:r>
      <w:proofErr w:type="spellStart"/>
      <w:r w:rsidR="00F67F20" w:rsidRPr="00B94DC9">
        <w:t>Card</w:t>
      </w:r>
      <w:proofErr w:type="spellEnd"/>
      <w:r w:rsidR="00F67F20" w:rsidRPr="00BC68E9">
        <w:t xml:space="preserve"> </w:t>
      </w:r>
      <w:r w:rsidR="00F67F20" w:rsidRPr="00B94DC9">
        <w:t xml:space="preserve">je multifunkční předplacená karta Mastercard, která v sobě může obsahovat až dvě digitální peněženky – </w:t>
      </w:r>
      <w:proofErr w:type="spellStart"/>
      <w:r w:rsidR="00F67F20" w:rsidRPr="00B94DC9">
        <w:t>stravenkovou</w:t>
      </w:r>
      <w:proofErr w:type="spellEnd"/>
      <w:r w:rsidR="00F67F20" w:rsidRPr="00B94DC9">
        <w:t xml:space="preserve"> (</w:t>
      </w:r>
      <w:proofErr w:type="spellStart"/>
      <w:r w:rsidR="00F67F20" w:rsidRPr="00B94DC9">
        <w:t>Ticket</w:t>
      </w:r>
      <w:proofErr w:type="spellEnd"/>
      <w:r w:rsidR="00F67F20" w:rsidRPr="00B94DC9">
        <w:t xml:space="preserve"> Restaurant®) a volnočasovou (</w:t>
      </w:r>
      <w:proofErr w:type="spellStart"/>
      <w:r w:rsidR="00F67F20" w:rsidRPr="00B94DC9">
        <w:t>Edenred</w:t>
      </w:r>
      <w:proofErr w:type="spellEnd"/>
      <w:r w:rsidR="00F67F20" w:rsidRPr="00B94DC9">
        <w:t xml:space="preserve"> </w:t>
      </w:r>
      <w:proofErr w:type="spellStart"/>
      <w:r w:rsidR="00F67F20" w:rsidRPr="00B94DC9">
        <w:t>Benefits</w:t>
      </w:r>
      <w:proofErr w:type="spellEnd"/>
      <w:r w:rsidR="00F67F20" w:rsidRPr="00B94DC9">
        <w:t xml:space="preserve">). </w:t>
      </w:r>
      <w:proofErr w:type="spellStart"/>
      <w:r w:rsidR="00F67F20" w:rsidRPr="00B94DC9">
        <w:t>Edenred</w:t>
      </w:r>
      <w:proofErr w:type="spellEnd"/>
      <w:r w:rsidR="00F67F20" w:rsidRPr="00B94DC9">
        <w:t xml:space="preserve"> </w:t>
      </w:r>
      <w:proofErr w:type="spellStart"/>
      <w:r w:rsidR="00F67F20" w:rsidRPr="00B94DC9">
        <w:t>Card</w:t>
      </w:r>
      <w:proofErr w:type="spellEnd"/>
      <w:r w:rsidR="00F67F20" w:rsidRPr="00B94DC9">
        <w:t xml:space="preserve"> je nepřenosná čipová karta s magnetickým proužkem vydaná společností </w:t>
      </w:r>
      <w:proofErr w:type="spellStart"/>
      <w:r w:rsidR="00F67F20" w:rsidRPr="00B94DC9">
        <w:t>PrePay</w:t>
      </w:r>
      <w:proofErr w:type="spellEnd"/>
      <w:r w:rsidR="00F67F20" w:rsidRPr="00B94DC9">
        <w:t xml:space="preserve"> Technologies Limited („PPT”), zapsaná pod číslem 04008083 v Anglii a Walesu, se sídlem 3 </w:t>
      </w:r>
      <w:proofErr w:type="spellStart"/>
      <w:r w:rsidR="00F67F20" w:rsidRPr="00B94DC9">
        <w:t>Sheldon</w:t>
      </w:r>
      <w:proofErr w:type="spellEnd"/>
      <w:r w:rsidR="00F67F20" w:rsidRPr="00B94DC9">
        <w:t xml:space="preserve"> Square, 6th </w:t>
      </w:r>
      <w:proofErr w:type="spellStart"/>
      <w:r w:rsidR="00F67F20" w:rsidRPr="00B94DC9">
        <w:t>Floor</w:t>
      </w:r>
      <w:proofErr w:type="spellEnd"/>
      <w:r w:rsidR="00F67F20" w:rsidRPr="00B94DC9">
        <w:t>, Londýn W2 6HY, Spojené království, na základě licence Mastercard s přiděleným osobním identifikačním číslem (PIN). EC není prostředkem elektronických peněz ve smyslu zákona č. 370/2017 Sb., o platebním styku, v platném znění.</w:t>
      </w:r>
    </w:p>
    <w:p w14:paraId="32F4123F" w14:textId="77777777" w:rsidR="00F67F20" w:rsidRPr="00B94DC9" w:rsidRDefault="0023298A" w:rsidP="00B94DC9">
      <w:pPr>
        <w:tabs>
          <w:tab w:val="left" w:pos="426"/>
        </w:tabs>
        <w:spacing w:before="120"/>
        <w:ind w:left="425"/>
        <w:jc w:val="both"/>
      </w:pPr>
      <w:r>
        <w:t xml:space="preserve">6) </w:t>
      </w:r>
      <w:proofErr w:type="spellStart"/>
      <w:r w:rsidR="00F67F20" w:rsidRPr="00B94DC9">
        <w:t>Edenred</w:t>
      </w:r>
      <w:proofErr w:type="spellEnd"/>
      <w:r w:rsidR="00F67F20" w:rsidRPr="00B94DC9">
        <w:t xml:space="preserve"> </w:t>
      </w:r>
      <w:proofErr w:type="spellStart"/>
      <w:r w:rsidR="00F67F20" w:rsidRPr="00B94DC9">
        <w:t>Card</w:t>
      </w:r>
      <w:proofErr w:type="spellEnd"/>
      <w:r w:rsidR="00F67F20" w:rsidRPr="00B94DC9">
        <w:t xml:space="preserve"> je personalizovaná karta na jméno přidělená konkrétnímu držiteli karty. Dodavatel na základě objednávky odběratele zajistí EC k distribuci jednotlivým zaměstnancům odběratele („Držitelé karty“).</w:t>
      </w:r>
      <w:r w:rsidR="00F67F20">
        <w:t xml:space="preserve"> </w:t>
      </w:r>
      <w:proofErr w:type="spellStart"/>
      <w:r w:rsidR="00F67F20" w:rsidRPr="00B94DC9">
        <w:t>Ticket</w:t>
      </w:r>
      <w:proofErr w:type="spellEnd"/>
      <w:r w:rsidR="00F67F20" w:rsidRPr="00B94DC9">
        <w:t xml:space="preserve"> Restaurant® je </w:t>
      </w:r>
      <w:proofErr w:type="spellStart"/>
      <w:r w:rsidR="00F67F20" w:rsidRPr="00B94DC9">
        <w:t>stravenková</w:t>
      </w:r>
      <w:proofErr w:type="spellEnd"/>
      <w:r w:rsidR="00F67F20" w:rsidRPr="00B94DC9">
        <w:t xml:space="preserve"> digitální peněženka, která umožňuje úhradu ceny nebo části ceny stravování nebo nákupu potravin, které slouží k přímé spotřebě. Prostřednictvím digitální peněženky TR je zakázáno hradit nákup tabákových a alkoholických výrobků. Prostředky nabité v rámci digitální peněženky TR nejsou elektronickými penězi ve smyslu zákona č. 370/2017 Sb., o platebním styku.</w:t>
      </w:r>
      <w:r w:rsidR="00F34AE0">
        <w:t xml:space="preserve"> </w:t>
      </w:r>
      <w:r w:rsidR="007976B4">
        <w:t>S</w:t>
      </w:r>
      <w:r w:rsidR="00F67F20" w:rsidRPr="00B94DC9">
        <w:t>chválení poskytovatelé služeb a maloobchodníci, a nikoli dodavatel nebo PPT, jsou subjekty odpovídajícími za kvalitu zboží a služeb poskytnutých Držitelům karet. Dodavatel neodpovídá za případnou nedostupnost nebo dočasné problémy s platebními terminály u schválených poskytovatelů služeb a maloobchodníků.</w:t>
      </w:r>
    </w:p>
    <w:p w14:paraId="586CB8ED" w14:textId="77777777" w:rsidR="00F67F20" w:rsidRPr="00B94DC9" w:rsidRDefault="00F67F20" w:rsidP="00B94DC9">
      <w:pPr>
        <w:ind w:firstLine="426"/>
        <w:jc w:val="both"/>
      </w:pPr>
    </w:p>
    <w:p w14:paraId="63ECB2A6" w14:textId="77777777" w:rsidR="00B07F79" w:rsidRDefault="00B07F79">
      <w:pPr>
        <w:jc w:val="both"/>
        <w:rPr>
          <w:b/>
          <w:bCs/>
        </w:rPr>
      </w:pPr>
    </w:p>
    <w:p w14:paraId="0A8E86EA" w14:textId="77777777" w:rsidR="00B07F79" w:rsidRDefault="00B07F79">
      <w:pPr>
        <w:jc w:val="both"/>
        <w:rPr>
          <w:b/>
          <w:bCs/>
        </w:rPr>
      </w:pPr>
    </w:p>
    <w:p w14:paraId="18DA751C" w14:textId="77777777" w:rsidR="00E96400" w:rsidRDefault="00E96400">
      <w:pPr>
        <w:jc w:val="center"/>
        <w:rPr>
          <w:b/>
        </w:rPr>
      </w:pPr>
      <w:r>
        <w:rPr>
          <w:b/>
        </w:rPr>
        <w:t>Článek III.</w:t>
      </w:r>
    </w:p>
    <w:p w14:paraId="0FCB6C32" w14:textId="77777777" w:rsidR="00E96400" w:rsidRDefault="00E96400">
      <w:pPr>
        <w:jc w:val="center"/>
      </w:pPr>
      <w:r>
        <w:rPr>
          <w:b/>
        </w:rPr>
        <w:t>Doba trvání smlouvy a její ukončení</w:t>
      </w:r>
    </w:p>
    <w:p w14:paraId="0A027669" w14:textId="77777777" w:rsidR="00E96400" w:rsidRDefault="00E96400">
      <w:pPr>
        <w:jc w:val="both"/>
      </w:pPr>
    </w:p>
    <w:p w14:paraId="1B854F1F" w14:textId="3550DDE8" w:rsidR="00E96400" w:rsidRDefault="00E96400">
      <w:pPr>
        <w:numPr>
          <w:ilvl w:val="0"/>
          <w:numId w:val="4"/>
        </w:numPr>
        <w:jc w:val="both"/>
      </w:pPr>
      <w:r>
        <w:t xml:space="preserve">Smluvní strany sjednávají tuto smlouvu na dobu určitou tak, že platnost této smlouvy bude ukončena ke dni dosažení objemu celkové hodnoty </w:t>
      </w:r>
      <w:r w:rsidR="00F26160">
        <w:t xml:space="preserve">finančních prostředků na karty </w:t>
      </w:r>
      <w:r>
        <w:t>v Kč bez DPH dle článku IV. této smlouvy.</w:t>
      </w:r>
    </w:p>
    <w:p w14:paraId="64391BD8" w14:textId="77777777" w:rsidR="00E96400" w:rsidRDefault="00E96400">
      <w:pPr>
        <w:numPr>
          <w:ilvl w:val="0"/>
          <w:numId w:val="4"/>
        </w:numPr>
        <w:jc w:val="both"/>
      </w:pPr>
      <w:r>
        <w:t>Platnost této smlouvy mohou obě smluvní strany ukončit vzájemnou dohodou nebo jednostrannou výpovědí bez udání důvodu učiněnou jednou ze smluvních stran, pro kterou se sjednává jednoměsíční výpovědní lhůta. Výpovědní lhůta začíná běžet prvním dnem měsíce následujícího po měsíci, v němž byla výpověď doručena druhé smluvní straně. Výpověď může být dána výhradně v písemné podobě, a to na posledně známou adresu.</w:t>
      </w:r>
    </w:p>
    <w:p w14:paraId="7DEE2786" w14:textId="77777777" w:rsidR="00E96400" w:rsidRDefault="00E96400">
      <w:pPr>
        <w:numPr>
          <w:ilvl w:val="0"/>
          <w:numId w:val="4"/>
        </w:numPr>
        <w:jc w:val="both"/>
      </w:pPr>
      <w:r>
        <w:t xml:space="preserve">Kterákoliv ze smluvních stran je oprávněna od smlouvy též jednostranně odstoupit s okamžitou platností, jestliže druhá smluvní strana velmi vážně nebo opětovně po písemném upozornění porušuje tuto smlouvu, nebo jestliže ani po upozornění druhou smluvní stranou neodstraní závadný stav ve svém jednání, které je v rozporu s touto smlouvou nebo dobrými mravy. </w:t>
      </w:r>
    </w:p>
    <w:p w14:paraId="346F3BC3" w14:textId="77777777" w:rsidR="00E96400" w:rsidRDefault="00E96400">
      <w:pPr>
        <w:numPr>
          <w:ilvl w:val="0"/>
          <w:numId w:val="4"/>
        </w:numPr>
      </w:pPr>
      <w:r>
        <w:t>Za vážné porušení smlouvy je považováno zejména to, že:</w:t>
      </w:r>
    </w:p>
    <w:p w14:paraId="2A5479E3" w14:textId="7F9AE061" w:rsidR="00E96400" w:rsidRDefault="00F26160">
      <w:pPr>
        <w:numPr>
          <w:ilvl w:val="0"/>
          <w:numId w:val="1"/>
        </w:numPr>
        <w:jc w:val="both"/>
      </w:pPr>
      <w:r>
        <w:t xml:space="preserve">dodávka </w:t>
      </w:r>
      <w:r w:rsidR="00E96400">
        <w:t xml:space="preserve">neodpovídá požadavkům </w:t>
      </w:r>
      <w:r>
        <w:t xml:space="preserve">odběratele </w:t>
      </w:r>
      <w:r w:rsidR="00E96400">
        <w:t>stanovených v objednávce,</w:t>
      </w:r>
    </w:p>
    <w:p w14:paraId="05D4CF56" w14:textId="739EDE0C" w:rsidR="00E96400" w:rsidRDefault="00E96400">
      <w:pPr>
        <w:numPr>
          <w:ilvl w:val="0"/>
          <w:numId w:val="1"/>
        </w:numPr>
        <w:jc w:val="both"/>
      </w:pPr>
      <w:r>
        <w:t>dodávky jsou opakovaně nekvalitní či vadné,</w:t>
      </w:r>
    </w:p>
    <w:p w14:paraId="5022CFDD" w14:textId="30B97975" w:rsidR="00E96400" w:rsidRDefault="00F26160">
      <w:pPr>
        <w:numPr>
          <w:ilvl w:val="0"/>
          <w:numId w:val="1"/>
        </w:numPr>
        <w:jc w:val="both"/>
      </w:pPr>
      <w:r>
        <w:t xml:space="preserve">dodavatel </w:t>
      </w:r>
      <w:r w:rsidR="00E96400">
        <w:t>neplní termíny dílčích dodávek nebo je dílčí plnění neúplné,</w:t>
      </w:r>
    </w:p>
    <w:p w14:paraId="628D1EE9" w14:textId="56754429" w:rsidR="00E96400" w:rsidRDefault="00F26160">
      <w:pPr>
        <w:numPr>
          <w:ilvl w:val="0"/>
          <w:numId w:val="1"/>
        </w:numPr>
        <w:jc w:val="both"/>
      </w:pPr>
      <w:r>
        <w:t xml:space="preserve">odběratel </w:t>
      </w:r>
      <w:r w:rsidR="00E96400">
        <w:t>je v prodlení s úhradou faktury.</w:t>
      </w:r>
    </w:p>
    <w:p w14:paraId="5AE7B160" w14:textId="77777777" w:rsidR="00E96400" w:rsidRDefault="00E96400">
      <w:pPr>
        <w:jc w:val="both"/>
      </w:pPr>
      <w:r>
        <w:t xml:space="preserve">      5) V případě, že nedošlo k řádnému doručení výpovědi z důvodu nepřevzetí poštovní </w:t>
      </w:r>
      <w:r>
        <w:tab/>
        <w:t xml:space="preserve">zásilky druhou ze smluvních stran či jiného obdobného důvodu, dohodly se smluvní </w:t>
      </w:r>
      <w:r>
        <w:tab/>
        <w:t xml:space="preserve">strany, že výpověď bude považována za doručenou okamžikem, kdy se poštovní </w:t>
      </w:r>
      <w:r>
        <w:tab/>
        <w:t xml:space="preserve">zásilka obsahující výpověď vrátí odesílateli zpět jako nevyzvednutá, nedoručitelná či z </w:t>
      </w:r>
      <w:r>
        <w:tab/>
        <w:t>jiného důvodu.</w:t>
      </w:r>
    </w:p>
    <w:p w14:paraId="058C9CD3" w14:textId="77777777" w:rsidR="00E96400" w:rsidRDefault="00E96400">
      <w:pPr>
        <w:jc w:val="both"/>
      </w:pPr>
    </w:p>
    <w:p w14:paraId="7E69022C" w14:textId="77777777" w:rsidR="00B07F79" w:rsidRDefault="00B07F79">
      <w:pPr>
        <w:jc w:val="both"/>
      </w:pPr>
    </w:p>
    <w:p w14:paraId="1D8542AE" w14:textId="77777777" w:rsidR="00B07F79" w:rsidRDefault="00B07F79">
      <w:pPr>
        <w:jc w:val="both"/>
      </w:pPr>
    </w:p>
    <w:p w14:paraId="1C5BC7E2" w14:textId="77777777" w:rsidR="00E96400" w:rsidRDefault="00E96400">
      <w:pPr>
        <w:jc w:val="center"/>
        <w:rPr>
          <w:b/>
        </w:rPr>
      </w:pPr>
      <w:r>
        <w:rPr>
          <w:b/>
        </w:rPr>
        <w:t>Článek IV.</w:t>
      </w:r>
    </w:p>
    <w:p w14:paraId="080FE533" w14:textId="77777777" w:rsidR="00E96400" w:rsidRDefault="00E96400">
      <w:pPr>
        <w:jc w:val="center"/>
        <w:rPr>
          <w:b/>
        </w:rPr>
      </w:pPr>
      <w:r>
        <w:rPr>
          <w:b/>
        </w:rPr>
        <w:t>Cena</w:t>
      </w:r>
    </w:p>
    <w:p w14:paraId="64D87C90" w14:textId="77777777" w:rsidR="00E96400" w:rsidRDefault="00E96400">
      <w:pPr>
        <w:jc w:val="center"/>
        <w:rPr>
          <w:b/>
        </w:rPr>
      </w:pPr>
    </w:p>
    <w:p w14:paraId="602F9280" w14:textId="23F4A623" w:rsidR="00E96400" w:rsidRDefault="00E96400" w:rsidP="00B94DC9">
      <w:pPr>
        <w:numPr>
          <w:ilvl w:val="0"/>
          <w:numId w:val="3"/>
        </w:numPr>
        <w:jc w:val="both"/>
      </w:pPr>
      <w:r>
        <w:t xml:space="preserve">Cena předmětu plnění v rozsahu dle článku I. této smlouvy (viz Příloha č. 1 této smlouvy – Seznam zboží s cenovou nabídkou) se stanovuje jako cena maximální a pevná, platná po celou dobu plnění, a to </w:t>
      </w:r>
      <w:r w:rsidRPr="00B94DC9">
        <w:t>v celkové výši</w:t>
      </w:r>
      <w:r w:rsidR="00B94DC9">
        <w:t xml:space="preserve"> 1.427.150</w:t>
      </w:r>
      <w:r>
        <w:t xml:space="preserve"> Kč bez DPH.</w:t>
      </w:r>
    </w:p>
    <w:p w14:paraId="1C1431D0" w14:textId="51F8D32F" w:rsidR="00E96400" w:rsidRDefault="00F26160">
      <w:pPr>
        <w:numPr>
          <w:ilvl w:val="0"/>
          <w:numId w:val="3"/>
        </w:numPr>
        <w:jc w:val="both"/>
      </w:pPr>
      <w:r>
        <w:t>C</w:t>
      </w:r>
      <w:r w:rsidR="00E96400">
        <w:t xml:space="preserve">ena je konečná, v ceně jsou již zahrnuty jak náklady na dopravu </w:t>
      </w:r>
      <w:r>
        <w:t xml:space="preserve">karet </w:t>
      </w:r>
      <w:r w:rsidR="00E96400">
        <w:t xml:space="preserve">do místa plnění podle čl. VI odst. 2, tak všechny vedlejší náklady a poplatky související s plněním této smlouvy. </w:t>
      </w:r>
    </w:p>
    <w:p w14:paraId="4DC7AEF6" w14:textId="51CAA264" w:rsidR="00E96400" w:rsidRDefault="00E96400">
      <w:pPr>
        <w:numPr>
          <w:ilvl w:val="0"/>
          <w:numId w:val="3"/>
        </w:numPr>
        <w:jc w:val="both"/>
      </w:pPr>
      <w:r>
        <w:t xml:space="preserve">V nabízených jednotkových cenách zahrne </w:t>
      </w:r>
      <w:proofErr w:type="gramStart"/>
      <w:r w:rsidR="00F26160">
        <w:t xml:space="preserve">dodavatel  </w:t>
      </w:r>
      <w:r>
        <w:t>veškeré</w:t>
      </w:r>
      <w:proofErr w:type="gramEnd"/>
      <w:r>
        <w:t xml:space="preserve"> náklady na provedení předmětu plnění. </w:t>
      </w:r>
    </w:p>
    <w:p w14:paraId="008FE844" w14:textId="474240CD" w:rsidR="00E96400" w:rsidRDefault="00F26160">
      <w:pPr>
        <w:numPr>
          <w:ilvl w:val="0"/>
          <w:numId w:val="3"/>
        </w:numPr>
        <w:jc w:val="both"/>
      </w:pPr>
      <w:r>
        <w:t xml:space="preserve">Dodavatel </w:t>
      </w:r>
      <w:r w:rsidR="00E96400">
        <w:t>se zavazuje sjednanou cenu garantovat po celou dobu trvání smluvního vztahu.</w:t>
      </w:r>
    </w:p>
    <w:p w14:paraId="2BCE2476" w14:textId="77777777" w:rsidR="00E96400" w:rsidRDefault="00E96400">
      <w:pPr>
        <w:numPr>
          <w:ilvl w:val="0"/>
          <w:numId w:val="3"/>
        </w:numPr>
        <w:jc w:val="both"/>
      </w:pPr>
      <w:r>
        <w:t>K nabídkové ceně bez DPH se připočte DPH ve výši zákonné sazby aktuálně platné k datu uskutečnění zdanitelného plnění.</w:t>
      </w:r>
    </w:p>
    <w:p w14:paraId="1E599FB5" w14:textId="77777777" w:rsidR="00E96400" w:rsidRDefault="00E96400">
      <w:pPr>
        <w:ind w:left="720"/>
        <w:jc w:val="both"/>
      </w:pPr>
    </w:p>
    <w:p w14:paraId="6F50A3C0" w14:textId="77777777" w:rsidR="00B07F79" w:rsidRDefault="00B07F79">
      <w:pPr>
        <w:ind w:left="720"/>
        <w:jc w:val="both"/>
      </w:pPr>
    </w:p>
    <w:p w14:paraId="03A6FFC4" w14:textId="77777777" w:rsidR="00B07F79" w:rsidRDefault="00B07F79">
      <w:pPr>
        <w:ind w:left="720"/>
        <w:jc w:val="both"/>
      </w:pPr>
    </w:p>
    <w:p w14:paraId="38AEB993" w14:textId="77777777" w:rsidR="00E96400" w:rsidRDefault="00E96400">
      <w:pPr>
        <w:jc w:val="center"/>
        <w:rPr>
          <w:b/>
        </w:rPr>
      </w:pPr>
      <w:r>
        <w:rPr>
          <w:b/>
        </w:rPr>
        <w:t>Článek V.</w:t>
      </w:r>
    </w:p>
    <w:p w14:paraId="22121F29" w14:textId="77777777" w:rsidR="00E96400" w:rsidRDefault="00E96400">
      <w:pPr>
        <w:jc w:val="center"/>
        <w:rPr>
          <w:b/>
        </w:rPr>
      </w:pPr>
      <w:r>
        <w:rPr>
          <w:b/>
        </w:rPr>
        <w:t>Platební podmínky</w:t>
      </w:r>
    </w:p>
    <w:p w14:paraId="2C422ACF" w14:textId="77777777" w:rsidR="00E96400" w:rsidRDefault="00E96400">
      <w:pPr>
        <w:jc w:val="center"/>
        <w:rPr>
          <w:b/>
        </w:rPr>
      </w:pPr>
    </w:p>
    <w:p w14:paraId="0171028C" w14:textId="1F2C0070" w:rsidR="00E96400" w:rsidRDefault="00662C1B">
      <w:pPr>
        <w:numPr>
          <w:ilvl w:val="0"/>
          <w:numId w:val="7"/>
        </w:numPr>
        <w:jc w:val="both"/>
      </w:pPr>
      <w:r>
        <w:t xml:space="preserve">Odběratel </w:t>
      </w:r>
      <w:r w:rsidR="00E96400">
        <w:t xml:space="preserve">se zavazuje za </w:t>
      </w:r>
      <w:r>
        <w:t xml:space="preserve">dodávky podle této </w:t>
      </w:r>
      <w:proofErr w:type="gramStart"/>
      <w:r>
        <w:t xml:space="preserve">smlouvy  </w:t>
      </w:r>
      <w:r w:rsidR="00E96400">
        <w:t>zaplatit</w:t>
      </w:r>
      <w:proofErr w:type="gramEnd"/>
      <w:r w:rsidR="00E96400">
        <w:t xml:space="preserve"> cenu v souladu s podmínkami uvedenými v této smlouvě.</w:t>
      </w:r>
    </w:p>
    <w:p w14:paraId="677B62F0" w14:textId="76198287" w:rsidR="00E96400" w:rsidRDefault="00E96400">
      <w:pPr>
        <w:numPr>
          <w:ilvl w:val="0"/>
          <w:numId w:val="7"/>
        </w:numPr>
        <w:jc w:val="both"/>
      </w:pPr>
      <w:r>
        <w:t xml:space="preserve">Fakturace bude probíhat podle dodaného množství na základě řádného daňového dokladu-faktury vystaveného </w:t>
      </w:r>
      <w:proofErr w:type="gramStart"/>
      <w:r w:rsidR="00662C1B">
        <w:t xml:space="preserve">dodavatelem </w:t>
      </w:r>
      <w:r>
        <w:t>.</w:t>
      </w:r>
      <w:proofErr w:type="gramEnd"/>
    </w:p>
    <w:p w14:paraId="038F863B" w14:textId="4BB17DF0" w:rsidR="00E96400" w:rsidRDefault="00E96400">
      <w:pPr>
        <w:numPr>
          <w:ilvl w:val="0"/>
          <w:numId w:val="7"/>
        </w:numPr>
        <w:jc w:val="both"/>
      </w:pPr>
      <w:r>
        <w:t xml:space="preserve">Nedílnou součástí faktury bude příloha s dodacími listy potvrzenými </w:t>
      </w:r>
      <w:r w:rsidR="00662C1B">
        <w:t>odběratelem</w:t>
      </w:r>
      <w:r w:rsidR="00BE4AC9">
        <w:t xml:space="preserve"> (v případě karet)</w:t>
      </w:r>
      <w:r>
        <w:t xml:space="preserve">. </w:t>
      </w:r>
    </w:p>
    <w:p w14:paraId="341D39BC" w14:textId="78057F64" w:rsidR="00E96400" w:rsidRDefault="00E96400">
      <w:pPr>
        <w:numPr>
          <w:ilvl w:val="0"/>
          <w:numId w:val="7"/>
        </w:numPr>
        <w:jc w:val="both"/>
      </w:pPr>
      <w:r>
        <w:t xml:space="preserve">Dle dohody smluvních stran uhradí </w:t>
      </w:r>
      <w:r w:rsidR="00BE4AC9">
        <w:t xml:space="preserve">odběratel </w:t>
      </w:r>
      <w:r w:rsidR="00C56364">
        <w:t xml:space="preserve">dodavateli </w:t>
      </w:r>
      <w:r>
        <w:t xml:space="preserve">fakturu bezhotovostně ve lhůtě splatnosti, která se sjednává 30 kalendářních dnů ode dne prokazatelného obdržení faktury </w:t>
      </w:r>
      <w:r w:rsidR="00CC7528">
        <w:t>odběratelem</w:t>
      </w:r>
      <w:r>
        <w:t>.</w:t>
      </w:r>
    </w:p>
    <w:p w14:paraId="603CB2E4" w14:textId="77777777" w:rsidR="00E96400" w:rsidRDefault="00E96400">
      <w:pPr>
        <w:numPr>
          <w:ilvl w:val="0"/>
          <w:numId w:val="7"/>
        </w:numPr>
        <w:jc w:val="both"/>
      </w:pPr>
      <w:r>
        <w:t>Daňové doklady musí mít veškeré náležitosti stanovené platnými daňovými předpisy.</w:t>
      </w:r>
    </w:p>
    <w:p w14:paraId="13A7CD9E" w14:textId="5FD4EA63" w:rsidR="00E96400" w:rsidRDefault="00E96400">
      <w:pPr>
        <w:numPr>
          <w:ilvl w:val="0"/>
          <w:numId w:val="7"/>
        </w:numPr>
        <w:jc w:val="both"/>
      </w:pPr>
      <w:r>
        <w:t xml:space="preserve">Pokud faktura nebude obsahovat všechny zákonem stanovené náležitosti nebo bude obsahovat nesprávné údaje, </w:t>
      </w:r>
      <w:r w:rsidR="00CC7528">
        <w:t xml:space="preserve">odběratel </w:t>
      </w:r>
      <w:r>
        <w:t xml:space="preserve">vrátí daňový doklad zpět </w:t>
      </w:r>
      <w:r w:rsidR="00C56364">
        <w:t xml:space="preserve">dodavateli </w:t>
      </w:r>
      <w:r>
        <w:t>k opravě.</w:t>
      </w:r>
    </w:p>
    <w:p w14:paraId="2787D262" w14:textId="0630C0A5" w:rsidR="00E96400" w:rsidRDefault="00E96400">
      <w:pPr>
        <w:numPr>
          <w:ilvl w:val="0"/>
          <w:numId w:val="7"/>
        </w:numPr>
        <w:jc w:val="both"/>
      </w:pPr>
      <w:r>
        <w:t xml:space="preserve">Lhůta splatnosti obdrženého opraveného daňového dokladu se sjednává do 30 dnů ode dne prokazatelného obdržení opraveného daňového dokladu </w:t>
      </w:r>
      <w:r w:rsidR="00BE4AC9">
        <w:t>odběratelem</w:t>
      </w:r>
      <w:r>
        <w:t>.</w:t>
      </w:r>
    </w:p>
    <w:p w14:paraId="209EC4FB" w14:textId="1E7D23F8" w:rsidR="00E96400" w:rsidRDefault="00BE4AC9">
      <w:pPr>
        <w:numPr>
          <w:ilvl w:val="0"/>
          <w:numId w:val="7"/>
        </w:numPr>
        <w:jc w:val="both"/>
      </w:pPr>
      <w:r>
        <w:t xml:space="preserve">Odběratel </w:t>
      </w:r>
      <w:r w:rsidR="00E96400">
        <w:t>neposkytuje zálohy.</w:t>
      </w:r>
    </w:p>
    <w:p w14:paraId="05F7A0B0" w14:textId="41D9ACC6" w:rsidR="00E96400" w:rsidRDefault="00E96400">
      <w:pPr>
        <w:numPr>
          <w:ilvl w:val="0"/>
          <w:numId w:val="7"/>
        </w:numPr>
        <w:jc w:val="both"/>
      </w:pPr>
      <w:r>
        <w:t xml:space="preserve">Dnem úhrady ceny zboží je den připsání fakturované částky na účet </w:t>
      </w:r>
      <w:r w:rsidR="00662C1B">
        <w:t>dodavatele</w:t>
      </w:r>
      <w:r>
        <w:t>.</w:t>
      </w:r>
    </w:p>
    <w:p w14:paraId="07DC28B4" w14:textId="77777777" w:rsidR="00E96400" w:rsidRDefault="00E96400">
      <w:pPr>
        <w:ind w:left="720"/>
        <w:jc w:val="both"/>
      </w:pPr>
    </w:p>
    <w:p w14:paraId="24122DAD" w14:textId="77777777" w:rsidR="00B07F79" w:rsidRDefault="00B07F79">
      <w:pPr>
        <w:jc w:val="center"/>
        <w:rPr>
          <w:b/>
        </w:rPr>
      </w:pPr>
    </w:p>
    <w:p w14:paraId="686F06BC" w14:textId="77777777" w:rsidR="00B07F79" w:rsidRDefault="00B07F79">
      <w:pPr>
        <w:jc w:val="center"/>
        <w:rPr>
          <w:b/>
        </w:rPr>
      </w:pPr>
    </w:p>
    <w:p w14:paraId="06623FAE" w14:textId="77777777" w:rsidR="00B07F79" w:rsidRDefault="00B07F79">
      <w:pPr>
        <w:jc w:val="center"/>
        <w:rPr>
          <w:b/>
        </w:rPr>
      </w:pPr>
    </w:p>
    <w:p w14:paraId="0231A079" w14:textId="77777777" w:rsidR="00E96400" w:rsidRDefault="00E96400">
      <w:pPr>
        <w:jc w:val="center"/>
        <w:rPr>
          <w:b/>
        </w:rPr>
      </w:pPr>
      <w:r>
        <w:rPr>
          <w:b/>
        </w:rPr>
        <w:t>Článek VI.</w:t>
      </w:r>
    </w:p>
    <w:p w14:paraId="44E60684" w14:textId="77777777" w:rsidR="00E96400" w:rsidRDefault="00E96400">
      <w:pPr>
        <w:jc w:val="center"/>
      </w:pPr>
      <w:r>
        <w:rPr>
          <w:b/>
        </w:rPr>
        <w:t>Dodání a převzetí zboží, vady zboží a odpovědnost za škodu</w:t>
      </w:r>
    </w:p>
    <w:p w14:paraId="4794D783" w14:textId="77777777" w:rsidR="00E96400" w:rsidRDefault="00E96400">
      <w:pPr>
        <w:jc w:val="center"/>
      </w:pPr>
    </w:p>
    <w:p w14:paraId="341C9A1A" w14:textId="2979ED47" w:rsidR="00E96400" w:rsidRDefault="00E75804">
      <w:pPr>
        <w:numPr>
          <w:ilvl w:val="0"/>
          <w:numId w:val="8"/>
        </w:numPr>
        <w:jc w:val="both"/>
      </w:pPr>
      <w:r>
        <w:t>Jednotlivá plněn</w:t>
      </w:r>
      <w:r w:rsidR="00214DDC">
        <w:t>í</w:t>
      </w:r>
      <w:r>
        <w:t xml:space="preserve"> </w:t>
      </w:r>
      <w:r w:rsidR="00E96400">
        <w:t>bud</w:t>
      </w:r>
      <w:r w:rsidR="00662C1B">
        <w:t xml:space="preserve">ou </w:t>
      </w:r>
      <w:r w:rsidR="00E96400">
        <w:t>dodán</w:t>
      </w:r>
      <w:r>
        <w:t>a</w:t>
      </w:r>
      <w:r w:rsidR="00E96400">
        <w:t xml:space="preserve"> </w:t>
      </w:r>
      <w:r w:rsidR="00662C1B">
        <w:t xml:space="preserve">odběrateli </w:t>
      </w:r>
      <w:r w:rsidR="00D87650">
        <w:t xml:space="preserve">dodavatelem </w:t>
      </w:r>
      <w:r w:rsidR="00EA1FA5">
        <w:t xml:space="preserve">formou nabití dobíjecí karty </w:t>
      </w:r>
      <w:r w:rsidR="00356A74" w:rsidRPr="00BB547F">
        <w:t>d</w:t>
      </w:r>
      <w:r w:rsidRPr="00BB547F">
        <w:t xml:space="preserve">o </w:t>
      </w:r>
      <w:r w:rsidR="00D15A12" w:rsidRPr="00BB547F">
        <w:t>2</w:t>
      </w:r>
      <w:r w:rsidRPr="00BB547F">
        <w:t xml:space="preserve"> dn</w:t>
      </w:r>
      <w:r w:rsidR="00B94DC9" w:rsidRPr="00BB547F">
        <w:t>ů</w:t>
      </w:r>
      <w:r w:rsidR="00356A74" w:rsidRPr="00BB547F">
        <w:t xml:space="preserve"> </w:t>
      </w:r>
      <w:r w:rsidR="00E96400" w:rsidRPr="00BB547F">
        <w:t xml:space="preserve">od </w:t>
      </w:r>
      <w:r w:rsidR="00963D93" w:rsidRPr="00BB547F">
        <w:t>potvrzení</w:t>
      </w:r>
      <w:r w:rsidR="00963D93">
        <w:t xml:space="preserve">  </w:t>
      </w:r>
      <w:r w:rsidR="00E96400">
        <w:t xml:space="preserve">dílčí objednávky </w:t>
      </w:r>
      <w:r w:rsidR="00BE4AC9">
        <w:t xml:space="preserve">zaslané </w:t>
      </w:r>
      <w:r w:rsidR="00E96400">
        <w:t xml:space="preserve">na e-mailovou adresu </w:t>
      </w:r>
      <w:r w:rsidR="00D87650">
        <w:t xml:space="preserve">dodavatele </w:t>
      </w:r>
      <w:proofErr w:type="spellStart"/>
      <w:r w:rsidR="00E96400">
        <w:t>t.j</w:t>
      </w:r>
      <w:proofErr w:type="spellEnd"/>
      <w:r w:rsidR="00E96400">
        <w:t xml:space="preserve"> </w:t>
      </w:r>
      <w:r w:rsidR="00B617D7">
        <w:rPr>
          <w:color w:val="000000"/>
        </w:rPr>
        <w:t>XXXXXXXX</w:t>
      </w:r>
      <w:r w:rsidR="00B617D7">
        <w:rPr>
          <w:sz w:val="23"/>
          <w:szCs w:val="23"/>
        </w:rPr>
        <w:t xml:space="preserve"> </w:t>
      </w:r>
      <w:r w:rsidR="00BB547F">
        <w:rPr>
          <w:sz w:val="23"/>
          <w:szCs w:val="23"/>
        </w:rPr>
        <w:t xml:space="preserve">a/nebo na </w:t>
      </w:r>
      <w:r w:rsidR="00B617D7">
        <w:rPr>
          <w:color w:val="000000"/>
        </w:rPr>
        <w:t>XXXXXXXX</w:t>
      </w:r>
      <w:r w:rsidR="00B617D7">
        <w:t xml:space="preserve">  </w:t>
      </w:r>
      <w:bookmarkStart w:id="0" w:name="_GoBack"/>
      <w:bookmarkEnd w:id="0"/>
      <w:r w:rsidR="00963D93">
        <w:t xml:space="preserve">Lhůta pro dodání karet </w:t>
      </w:r>
      <w:r w:rsidR="00963D93" w:rsidRPr="00BB547F">
        <w:t>je 5 pracovních dní</w:t>
      </w:r>
      <w:r w:rsidR="002B14C2" w:rsidRPr="00BB547F">
        <w:t>,</w:t>
      </w:r>
      <w:r w:rsidR="002B14C2">
        <w:t xml:space="preserve"> </w:t>
      </w:r>
      <w:r w:rsidR="002B14C2" w:rsidRPr="002B14C2">
        <w:t>od potvrzení objednávky</w:t>
      </w:r>
      <w:r w:rsidR="002B14C2">
        <w:t>.</w:t>
      </w:r>
    </w:p>
    <w:p w14:paraId="4850A54C" w14:textId="1FDB160E" w:rsidR="00E96400" w:rsidRDefault="00E96400">
      <w:pPr>
        <w:numPr>
          <w:ilvl w:val="0"/>
          <w:numId w:val="8"/>
        </w:numPr>
        <w:jc w:val="both"/>
      </w:pPr>
      <w:r>
        <w:t xml:space="preserve">Nebezpečí škody na zboží přechází na </w:t>
      </w:r>
      <w:r w:rsidR="00BE4AC9">
        <w:t xml:space="preserve">odběratele </w:t>
      </w:r>
      <w:r>
        <w:t xml:space="preserve">okamžikem, kdy </w:t>
      </w:r>
      <w:r w:rsidR="00BE4AC9">
        <w:t xml:space="preserve">odběratel </w:t>
      </w:r>
      <w:r>
        <w:t xml:space="preserve">převezme zboží od </w:t>
      </w:r>
      <w:r w:rsidR="00BE4AC9">
        <w:t xml:space="preserve">dodavatel </w:t>
      </w:r>
      <w:r>
        <w:t xml:space="preserve">za současného splnění podmínek uvedených v bodu </w:t>
      </w:r>
      <w:r w:rsidR="00B204C3">
        <w:t>4</w:t>
      </w:r>
      <w:r>
        <w:t xml:space="preserve"> tohoto článku.</w:t>
      </w:r>
    </w:p>
    <w:p w14:paraId="58E223E2" w14:textId="3DF49076" w:rsidR="00E96400" w:rsidRDefault="00E96400">
      <w:pPr>
        <w:numPr>
          <w:ilvl w:val="0"/>
          <w:numId w:val="8"/>
        </w:numPr>
        <w:jc w:val="both"/>
      </w:pPr>
      <w:r>
        <w:t xml:space="preserve">O dodání a převzetí </w:t>
      </w:r>
      <w:r w:rsidR="00662C1B">
        <w:t xml:space="preserve">karet </w:t>
      </w:r>
      <w:r>
        <w:t xml:space="preserve">sepíší smluvní strany zápis (dodací list). Dodací list musí mimo jiné obsahovat číslo závazné objednávky, popis dodaného zboží, množství a bude sloužit jako podklad pro vystavení faktury, dle čl. IV této smlouvy. </w:t>
      </w:r>
      <w:r w:rsidR="00662C1B">
        <w:t>Pro nabíjení karet se toto ustanovení nepoužije</w:t>
      </w:r>
      <w:r w:rsidR="00E75804">
        <w:t>.</w:t>
      </w:r>
    </w:p>
    <w:p w14:paraId="768775AE" w14:textId="7BA2747A" w:rsidR="00E96400" w:rsidRDefault="00E75804">
      <w:pPr>
        <w:numPr>
          <w:ilvl w:val="0"/>
          <w:numId w:val="8"/>
        </w:numPr>
        <w:jc w:val="both"/>
      </w:pPr>
      <w:r>
        <w:t xml:space="preserve">Dodavatel </w:t>
      </w:r>
      <w:r w:rsidR="00E96400">
        <w:t xml:space="preserve">je povinen dodat </w:t>
      </w:r>
      <w:r>
        <w:t xml:space="preserve">karty </w:t>
      </w:r>
      <w:r w:rsidR="00E96400">
        <w:t xml:space="preserve">zabalené v množství, míře nebo váze, jakosti, provedení, materiálových, výrobních, konstrukčních a vzhledových </w:t>
      </w:r>
      <w:r w:rsidR="000D21FA">
        <w:t>parametr</w:t>
      </w:r>
      <w:r w:rsidR="003D28C0">
        <w:t>ech</w:t>
      </w:r>
      <w:r w:rsidR="00E96400">
        <w:t>, jež určuje tato rámcová smlouva a jednotliv</w:t>
      </w:r>
      <w:r>
        <w:t xml:space="preserve">é objednávky </w:t>
      </w:r>
      <w:r w:rsidR="00E96400">
        <w:t>(vzniklá akceptaci objednávky).</w:t>
      </w:r>
      <w:r w:rsidR="00395735">
        <w:t xml:space="preserve"> </w:t>
      </w:r>
    </w:p>
    <w:p w14:paraId="45BA9995" w14:textId="25F7FE1B" w:rsidR="00E96400" w:rsidRDefault="00E96400">
      <w:pPr>
        <w:numPr>
          <w:ilvl w:val="0"/>
          <w:numId w:val="8"/>
        </w:numPr>
        <w:jc w:val="both"/>
      </w:pPr>
      <w:r>
        <w:t xml:space="preserve">Dopravu </w:t>
      </w:r>
      <w:r w:rsidR="00662C1B">
        <w:t xml:space="preserve">karet </w:t>
      </w:r>
      <w:r>
        <w:t xml:space="preserve">do místa plnění zajišťuje </w:t>
      </w:r>
      <w:r w:rsidR="00E75804">
        <w:t xml:space="preserve">dodavatel </w:t>
      </w:r>
      <w:r>
        <w:t>na své náklady a na své nebezpečí.</w:t>
      </w:r>
    </w:p>
    <w:p w14:paraId="22A2CF42" w14:textId="523A1955" w:rsidR="00E96400" w:rsidRDefault="00E96400">
      <w:pPr>
        <w:numPr>
          <w:ilvl w:val="0"/>
          <w:numId w:val="8"/>
        </w:numPr>
        <w:jc w:val="both"/>
      </w:pPr>
      <w:r>
        <w:t xml:space="preserve">Převzetí </w:t>
      </w:r>
      <w:r w:rsidR="00662C1B">
        <w:t xml:space="preserve">karet </w:t>
      </w:r>
      <w:r>
        <w:t xml:space="preserve">potvrdí přejímající zaměstnanec </w:t>
      </w:r>
      <w:r w:rsidR="00662C1B">
        <w:t>odběratele</w:t>
      </w:r>
      <w:r>
        <w:t xml:space="preserve"> na dodacím listu datum převzetí a podpis.</w:t>
      </w:r>
    </w:p>
    <w:p w14:paraId="25B48FAA" w14:textId="54A564F5" w:rsidR="00E96400" w:rsidRDefault="00E96400">
      <w:pPr>
        <w:numPr>
          <w:ilvl w:val="0"/>
          <w:numId w:val="8"/>
        </w:numPr>
        <w:jc w:val="both"/>
      </w:pPr>
      <w:r>
        <w:t xml:space="preserve">Poruší-li </w:t>
      </w:r>
      <w:r w:rsidR="00FF0AC9">
        <w:t xml:space="preserve">dodavatel </w:t>
      </w:r>
      <w:r>
        <w:t xml:space="preserve">povinnosti stanovené v bodu </w:t>
      </w:r>
      <w:r w:rsidR="00582596">
        <w:t>4</w:t>
      </w:r>
      <w:r>
        <w:t xml:space="preserve"> tohoto článku, má </w:t>
      </w:r>
      <w:r w:rsidR="00E75804">
        <w:t xml:space="preserve">dodávka </w:t>
      </w:r>
      <w:r>
        <w:t>vady.</w:t>
      </w:r>
    </w:p>
    <w:p w14:paraId="1AF82BB3" w14:textId="3350CDA8" w:rsidR="00E96400" w:rsidRDefault="00E96400">
      <w:pPr>
        <w:numPr>
          <w:ilvl w:val="0"/>
          <w:numId w:val="8"/>
        </w:numPr>
        <w:jc w:val="both"/>
      </w:pPr>
      <w:r>
        <w:t xml:space="preserve">Za vady </w:t>
      </w:r>
      <w:r w:rsidR="00E75804">
        <w:t xml:space="preserve">dodávky </w:t>
      </w:r>
      <w:r>
        <w:t>se považuje i dodání jiného zboží, než určuje tato smlouva a jednotliv</w:t>
      </w:r>
      <w:r w:rsidR="00E75804">
        <w:t>é objednávky</w:t>
      </w:r>
      <w:r>
        <w:t xml:space="preserve">, které svou jakostí a provedením jsou v rozporu s obvyklými vlastnostmi deklarovanými </w:t>
      </w:r>
      <w:r w:rsidR="00E75804">
        <w:t>dodavatelem</w:t>
      </w:r>
      <w:r>
        <w:t xml:space="preserve">. </w:t>
      </w:r>
      <w:r w:rsidR="00E75804">
        <w:t xml:space="preserve">Odběratel </w:t>
      </w:r>
      <w:r>
        <w:t>je povinen provádět vstupní kontrolu dodáv</w:t>
      </w:r>
      <w:r w:rsidR="00E75804">
        <w:t xml:space="preserve">ek </w:t>
      </w:r>
      <w:r>
        <w:t xml:space="preserve">podle množství, funkčních a jiných vlastností, jejichž existence je touto smlouvou předvídaná. </w:t>
      </w:r>
      <w:r w:rsidR="00E75804">
        <w:t xml:space="preserve">Odběratel </w:t>
      </w:r>
      <w:r>
        <w:t xml:space="preserve">je oprávněn uplatnit u </w:t>
      </w:r>
      <w:r w:rsidR="00D87650">
        <w:t xml:space="preserve">dodavatele </w:t>
      </w:r>
      <w:r>
        <w:t xml:space="preserve">nárok z odpovědnosti za vady, pokud jde o vady zjevné, ve lhůtě 48 hodin. </w:t>
      </w:r>
      <w:r w:rsidR="00E75804">
        <w:t xml:space="preserve">Dodavatel </w:t>
      </w:r>
      <w:r>
        <w:t xml:space="preserve">se zavazuje </w:t>
      </w:r>
      <w:r w:rsidR="00E75804">
        <w:t xml:space="preserve">odběratele </w:t>
      </w:r>
      <w:r>
        <w:t xml:space="preserve">podrobně </w:t>
      </w:r>
      <w:r>
        <w:lastRenderedPageBreak/>
        <w:t>informovat o postupu svých prací v souvislosti s plněním smlouvy a bezodkladně jej v předstihu informovat o jakémkoliv riziku nedodržení termínu dodání</w:t>
      </w:r>
      <w:r w:rsidR="00E75804">
        <w:t xml:space="preserve">. </w:t>
      </w:r>
    </w:p>
    <w:p w14:paraId="3DB13BAF" w14:textId="44F9AD48" w:rsidR="00E96400" w:rsidRDefault="00B66EC9">
      <w:pPr>
        <w:numPr>
          <w:ilvl w:val="0"/>
          <w:numId w:val="8"/>
        </w:numPr>
        <w:jc w:val="both"/>
      </w:pPr>
      <w:r>
        <w:t xml:space="preserve">Dodavatel </w:t>
      </w:r>
      <w:r w:rsidR="00E96400">
        <w:t xml:space="preserve">poskytuje </w:t>
      </w:r>
      <w:r w:rsidR="00CC7528">
        <w:t xml:space="preserve">odběrateli </w:t>
      </w:r>
      <w:r w:rsidR="00E96400">
        <w:t xml:space="preserve">záruky na všechny vady, které zboží vykazovalo v okamžiku převzetí zboží </w:t>
      </w:r>
      <w:r w:rsidR="00CC7528">
        <w:t>odběratelem</w:t>
      </w:r>
      <w:r w:rsidR="00E96400">
        <w:t xml:space="preserve">. Za takové vady se považují i vady skryté. Záruka se vztahuje na všechno zboží dodané </w:t>
      </w:r>
      <w:r w:rsidR="00D87650">
        <w:t>dodavatelem</w:t>
      </w:r>
      <w:r w:rsidR="00E96400">
        <w:t xml:space="preserve">. Za podmínek této záruky přebírá </w:t>
      </w:r>
      <w:r w:rsidR="00721EEC">
        <w:t xml:space="preserve">dodavatel </w:t>
      </w:r>
      <w:r w:rsidR="00E96400">
        <w:t xml:space="preserve">zodpovědnost za to, že </w:t>
      </w:r>
      <w:r w:rsidR="00721EEC">
        <w:t xml:space="preserve">dodávka </w:t>
      </w:r>
      <w:r w:rsidR="00E96400">
        <w:t xml:space="preserve">nemá výrobní ani materiálové vady, které by mohly ohrozit nebo ovlivnit funkčnost věci (zboží), pokud </w:t>
      </w:r>
      <w:r w:rsidR="00721EEC">
        <w:t xml:space="preserve">odběratel </w:t>
      </w:r>
      <w:r w:rsidR="00E96400">
        <w:t xml:space="preserve">užíval věc či součást věci, jež od </w:t>
      </w:r>
      <w:r w:rsidR="00721EEC">
        <w:t xml:space="preserve">dodavatele </w:t>
      </w:r>
      <w:r w:rsidR="00E96400">
        <w:t xml:space="preserve">odebral v souladu s pokyny </w:t>
      </w:r>
      <w:r w:rsidR="00721EEC">
        <w:t xml:space="preserve">dodavatele </w:t>
      </w:r>
      <w:r w:rsidR="00E96400">
        <w:t>nebo v souladu s obecným užíváním výrobku, jaké lze u výrobku tohoto druhu obecně očekávat.</w:t>
      </w:r>
    </w:p>
    <w:p w14:paraId="534B7141" w14:textId="77777777" w:rsidR="00E96400" w:rsidRDefault="00E96400">
      <w:pPr>
        <w:numPr>
          <w:ilvl w:val="0"/>
          <w:numId w:val="8"/>
        </w:numPr>
        <w:jc w:val="both"/>
      </w:pPr>
      <w:r>
        <w:t xml:space="preserve"> Za projev skryté vady se nepovažuje běžné opotřebení, ani závady vzniklé použití výrobku jiným </w:t>
      </w:r>
      <w:proofErr w:type="gramStart"/>
      <w:r>
        <w:t>způsobem,</w:t>
      </w:r>
      <w:proofErr w:type="gramEnd"/>
      <w:r>
        <w:t xml:space="preserve"> než způsobem, jakým se takový výrobek obecně užívá.</w:t>
      </w:r>
    </w:p>
    <w:p w14:paraId="1044ABCC" w14:textId="29723382" w:rsidR="00E96400" w:rsidRDefault="00E96400">
      <w:pPr>
        <w:numPr>
          <w:ilvl w:val="0"/>
          <w:numId w:val="8"/>
        </w:numPr>
        <w:jc w:val="both"/>
      </w:pPr>
      <w:r>
        <w:t xml:space="preserve">Záruka za skryté vady existující při předání a převzetí zboží zahrnuje odstranění všech vad nebo funkčních poruch. Vady nebo funkční poruchy budou odstraněny dodáním ekvivalentní náhradní věci, opravou věci nebo slevou z ceny zboží. </w:t>
      </w:r>
      <w:r w:rsidR="00CC7528">
        <w:t xml:space="preserve">Odběratel </w:t>
      </w:r>
      <w:r>
        <w:t xml:space="preserve">je oprávněn určit, jakým způsobem bude vada odstraněna při zvolení pragmatičnosti zvolené varianty. Náklady spojené s odstraněním vady hradí </w:t>
      </w:r>
      <w:r w:rsidR="00D87650">
        <w:t>dodavatel</w:t>
      </w:r>
      <w:r>
        <w:t>.</w:t>
      </w:r>
    </w:p>
    <w:p w14:paraId="357F7B24" w14:textId="58ADC890" w:rsidR="00E96400" w:rsidRDefault="00CC7528">
      <w:pPr>
        <w:numPr>
          <w:ilvl w:val="0"/>
          <w:numId w:val="8"/>
        </w:numPr>
        <w:jc w:val="both"/>
      </w:pPr>
      <w:r>
        <w:t xml:space="preserve">Odběratel </w:t>
      </w:r>
      <w:r w:rsidR="00E96400">
        <w:t xml:space="preserve">je povinen u </w:t>
      </w:r>
      <w:r w:rsidR="00D87650">
        <w:t>dodavatele</w:t>
      </w:r>
      <w:r>
        <w:t xml:space="preserve"> </w:t>
      </w:r>
      <w:r w:rsidR="00E96400">
        <w:t xml:space="preserve">zboží reklamovat pro jeho skryté vady, jež existovaly již v okamžiku jejího převzetí, bez zbytečného odkladu poté, co se o vadách dozvěděl, nejpozději však do 2 let ode dne předání a převzetí předmětného zboží. Všechny záruční nároky uplatněné přímo u </w:t>
      </w:r>
      <w:r w:rsidR="00D87650">
        <w:t>dodavatele</w:t>
      </w:r>
      <w:r>
        <w:t xml:space="preserve"> </w:t>
      </w:r>
      <w:r w:rsidR="00E96400">
        <w:t>během lhůty uvedené v tomto odstavci budou vyřízeny ve lhůtě 3 kalendářních dnů.</w:t>
      </w:r>
    </w:p>
    <w:p w14:paraId="76A3D93C" w14:textId="3AB488CD" w:rsidR="00E96400" w:rsidRDefault="00E96400">
      <w:pPr>
        <w:numPr>
          <w:ilvl w:val="0"/>
          <w:numId w:val="8"/>
        </w:numPr>
        <w:jc w:val="both"/>
      </w:pPr>
      <w:r>
        <w:t>Záruka se nevztahuje na vady a škody, jež se projevily v důsledku neodborného používání, nesprávného nastavení nebo užití pro jiné účely, než byly s</w:t>
      </w:r>
      <w:r w:rsidR="00D87650">
        <w:t xml:space="preserve"> dodavatelem </w:t>
      </w:r>
      <w:r>
        <w:t>dohodnuty nebo pro které se výrobek téhož druhu obvykle užívá.</w:t>
      </w:r>
    </w:p>
    <w:p w14:paraId="389BAFB7" w14:textId="7C9D468A" w:rsidR="00E96400" w:rsidRDefault="00E96400" w:rsidP="00214DDC">
      <w:pPr>
        <w:numPr>
          <w:ilvl w:val="0"/>
          <w:numId w:val="8"/>
        </w:numPr>
        <w:jc w:val="both"/>
      </w:pPr>
      <w:r>
        <w:t xml:space="preserve">Všechny záruční nároky musí být uplatněny telefonicky a poté písemně, a to u </w:t>
      </w:r>
      <w:r w:rsidR="00D87650">
        <w:t>dodavatele</w:t>
      </w:r>
      <w:r>
        <w:t>.</w:t>
      </w:r>
    </w:p>
    <w:p w14:paraId="47B0C0F8" w14:textId="77777777" w:rsidR="00E96400" w:rsidRDefault="00E96400">
      <w:pPr>
        <w:jc w:val="both"/>
      </w:pPr>
    </w:p>
    <w:p w14:paraId="62E7BA7D" w14:textId="77777777" w:rsidR="00B07F79" w:rsidRDefault="00B07F79">
      <w:pPr>
        <w:jc w:val="both"/>
      </w:pPr>
    </w:p>
    <w:p w14:paraId="6EEA49CA" w14:textId="77777777" w:rsidR="00B07F79" w:rsidRDefault="00B07F79">
      <w:pPr>
        <w:jc w:val="both"/>
      </w:pPr>
    </w:p>
    <w:p w14:paraId="2D1DB84E" w14:textId="77777777" w:rsidR="00B07F79" w:rsidRDefault="00B07F79">
      <w:pPr>
        <w:jc w:val="both"/>
      </w:pPr>
    </w:p>
    <w:p w14:paraId="68344DCB" w14:textId="77777777" w:rsidR="00E96400" w:rsidRDefault="00E96400">
      <w:pPr>
        <w:jc w:val="center"/>
        <w:rPr>
          <w:b/>
        </w:rPr>
      </w:pPr>
      <w:r>
        <w:rPr>
          <w:b/>
        </w:rPr>
        <w:t>Článek VII.</w:t>
      </w:r>
    </w:p>
    <w:p w14:paraId="39994D32" w14:textId="77777777" w:rsidR="00BE694C" w:rsidRDefault="00BE694C">
      <w:pPr>
        <w:jc w:val="center"/>
        <w:rPr>
          <w:b/>
        </w:rPr>
      </w:pPr>
      <w:r>
        <w:rPr>
          <w:b/>
        </w:rPr>
        <w:t>Osobní údaje</w:t>
      </w:r>
    </w:p>
    <w:p w14:paraId="493358F2" w14:textId="77777777" w:rsidR="00303C6A" w:rsidRDefault="00303C6A" w:rsidP="00303C6A">
      <w:pPr>
        <w:numPr>
          <w:ilvl w:val="0"/>
          <w:numId w:val="13"/>
        </w:numPr>
        <w:jc w:val="both"/>
      </w:pPr>
      <w:r w:rsidRPr="00B94DC9">
        <w:t>Odběratel a dodavatel se dohodl</w:t>
      </w:r>
      <w:r>
        <w:t>i</w:t>
      </w:r>
      <w:r w:rsidRPr="00B94DC9">
        <w:t>, že dodavatel bude zpracovávat osobní údaje</w:t>
      </w:r>
    </w:p>
    <w:p w14:paraId="51E81753" w14:textId="77777777" w:rsidR="00303C6A" w:rsidRPr="00B94DC9" w:rsidRDefault="00303C6A" w:rsidP="00B94DC9">
      <w:pPr>
        <w:numPr>
          <w:ilvl w:val="0"/>
          <w:numId w:val="13"/>
        </w:numPr>
        <w:jc w:val="both"/>
      </w:pPr>
      <w:r w:rsidRPr="00B94DC9">
        <w:t>Odběratel a dodavatel se dohodly, že dodavatel bude zpracovávat osobní údaje subjektů údajů jako samostatný správce údajů, což znamená, že bude dodržovat všechny povinnosti uložené správcům údajů v nařízení Evropského parlamentu a Rady (EU) 2016/679 ze dne 27. dubna 2016 o ochraně fyzických osob v souvislosti se zpracováním osobních údajů a o volném pohyb těchto údajů, zákoně č. 110/2019 Sb. o zpracování osobních údajů a v jakýchkoli dalších potenciálně použitelných zákonech/předpisech, které je provádějí (dále jen „právní předpisy o ochraně osobních údajů“). Aby se předešlo pochybnostem, dodavatel se považuje za příjemce osobních údajů předávaných odběratelem.</w:t>
      </w:r>
    </w:p>
    <w:p w14:paraId="4FD3BC12" w14:textId="77777777" w:rsidR="00303C6A" w:rsidRPr="00B94DC9" w:rsidRDefault="00303C6A" w:rsidP="00B94DC9">
      <w:pPr>
        <w:numPr>
          <w:ilvl w:val="0"/>
          <w:numId w:val="13"/>
        </w:numPr>
        <w:jc w:val="both"/>
      </w:pPr>
      <w:r w:rsidRPr="00B94DC9">
        <w:t>Odběratel souhlasí s tím, že bude předávat pouze osobní údaje subjektů údajů, kteří jsou oprávněni využívat řešení dodavatele, a že zajistí, aby dodavateli byly poskytovány pouze relevantní, přesné a aktuální informace.</w:t>
      </w:r>
    </w:p>
    <w:p w14:paraId="08E2CE1E" w14:textId="77777777" w:rsidR="00303C6A" w:rsidRPr="00B94DC9" w:rsidRDefault="00303C6A" w:rsidP="00B94DC9">
      <w:pPr>
        <w:numPr>
          <w:ilvl w:val="0"/>
          <w:numId w:val="13"/>
        </w:numPr>
        <w:jc w:val="both"/>
      </w:pPr>
      <w:r w:rsidRPr="00B94DC9">
        <w:t xml:space="preserve">Odběratel zaručuje, že náležitě informoval všechny subjekty údajů, jejichž osobní údaje mají být dodavateli zpřístupněny, prostřednictvím informačních oznámení nebo zásad ochrany osobních údajů, které jsou v souladu s požadavky příslušných právních předpisů o ochraně osobních údajů. Odběratel dále zaručuje, že na výše uvedené </w:t>
      </w:r>
      <w:r w:rsidRPr="00B94DC9">
        <w:lastRenderedPageBreak/>
        <w:t>zveřejnění se vztahuje vhodný právní základ (ať už souhlas nebo jiný právní základ), jak to vyžadují právní předpisy o ochraně osobních údajů.</w:t>
      </w:r>
    </w:p>
    <w:p w14:paraId="000A04A2" w14:textId="77777777" w:rsidR="00303C6A" w:rsidRPr="00B94DC9" w:rsidRDefault="00303C6A" w:rsidP="00B94DC9">
      <w:pPr>
        <w:numPr>
          <w:ilvl w:val="0"/>
          <w:numId w:val="13"/>
        </w:numPr>
        <w:jc w:val="both"/>
      </w:pPr>
      <w:r w:rsidRPr="00B94DC9">
        <w:t>Dodavatel odpovídá za soulad s právními předpisy o ochraně osobních údajů pouze od okamžiku, kdy obdrží od odběratele osobní údaje subjektů údajů, a to pouze za činnosti zpracování, které provádí jako správce údajů.</w:t>
      </w:r>
    </w:p>
    <w:p w14:paraId="1B606304" w14:textId="77777777" w:rsidR="00303C6A" w:rsidRPr="00B94DC9" w:rsidRDefault="00303C6A" w:rsidP="00B94DC9">
      <w:pPr>
        <w:numPr>
          <w:ilvl w:val="0"/>
          <w:numId w:val="13"/>
        </w:numPr>
        <w:jc w:val="both"/>
      </w:pPr>
      <w:r w:rsidRPr="00B94DC9">
        <w:t>Pro vyloučení pochybností se odběratel a dodavatel dohodly, že odběratel ponese plnou odpovědnost za jakékoli porušení právních předpisů o ochraně osobních údajů vyplývající z:</w:t>
      </w:r>
    </w:p>
    <w:p w14:paraId="5BC351B7" w14:textId="77777777" w:rsidR="00303C6A" w:rsidRPr="00B94DC9" w:rsidRDefault="00303C6A" w:rsidP="00B94DC9">
      <w:pPr>
        <w:numPr>
          <w:ilvl w:val="0"/>
          <w:numId w:val="14"/>
        </w:numPr>
        <w:jc w:val="both"/>
      </w:pPr>
      <w:r w:rsidRPr="00B94DC9">
        <w:t>jakákoli činnosti zpracování, kterou odběratel provádí jako správce údajů; a/nebo</w:t>
      </w:r>
    </w:p>
    <w:p w14:paraId="6F22C8F9" w14:textId="77777777" w:rsidR="00303C6A" w:rsidRPr="00B94DC9" w:rsidRDefault="00303C6A" w:rsidP="00B94DC9">
      <w:pPr>
        <w:numPr>
          <w:ilvl w:val="0"/>
          <w:numId w:val="14"/>
        </w:numPr>
        <w:jc w:val="both"/>
      </w:pPr>
      <w:r w:rsidRPr="00B94DC9">
        <w:t>jakékoli porušení zabezpečení osobních údajů, ke kterému může kdykoli dojít v souvislosti s činnostmi zpracování, pro které je odběratel správcem údajů.</w:t>
      </w:r>
    </w:p>
    <w:p w14:paraId="2484DD16" w14:textId="77777777" w:rsidR="00303C6A" w:rsidRDefault="00303C6A">
      <w:pPr>
        <w:jc w:val="center"/>
        <w:rPr>
          <w:b/>
        </w:rPr>
      </w:pPr>
    </w:p>
    <w:p w14:paraId="18226CBC" w14:textId="77777777" w:rsidR="00303C6A" w:rsidRDefault="00303C6A">
      <w:pPr>
        <w:jc w:val="center"/>
        <w:rPr>
          <w:b/>
        </w:rPr>
      </w:pPr>
    </w:p>
    <w:p w14:paraId="7BB236AB" w14:textId="77777777" w:rsidR="00303C6A" w:rsidRDefault="00303C6A">
      <w:pPr>
        <w:jc w:val="center"/>
        <w:rPr>
          <w:b/>
        </w:rPr>
      </w:pPr>
      <w:r w:rsidRPr="00303C6A">
        <w:rPr>
          <w:b/>
        </w:rPr>
        <w:t>Článek VII</w:t>
      </w:r>
      <w:r>
        <w:rPr>
          <w:b/>
        </w:rPr>
        <w:t>I</w:t>
      </w:r>
      <w:r w:rsidRPr="00303C6A">
        <w:rPr>
          <w:b/>
        </w:rPr>
        <w:t>.</w:t>
      </w:r>
    </w:p>
    <w:p w14:paraId="7EE83E2C" w14:textId="77777777" w:rsidR="00E96400" w:rsidRDefault="00E96400">
      <w:pPr>
        <w:jc w:val="center"/>
      </w:pPr>
      <w:r>
        <w:rPr>
          <w:b/>
        </w:rPr>
        <w:t>Závěrečná ustanovení</w:t>
      </w:r>
    </w:p>
    <w:p w14:paraId="2EA60829" w14:textId="77777777" w:rsidR="00E96400" w:rsidRDefault="00E96400">
      <w:pPr>
        <w:ind w:left="720"/>
        <w:jc w:val="both"/>
      </w:pPr>
    </w:p>
    <w:p w14:paraId="3293CF35" w14:textId="77777777" w:rsidR="00E96400" w:rsidRDefault="00E96400">
      <w:pPr>
        <w:numPr>
          <w:ilvl w:val="0"/>
          <w:numId w:val="2"/>
        </w:numPr>
        <w:jc w:val="both"/>
      </w:pPr>
      <w:r>
        <w:t>Tato smlouva nabývá platnosti dnem jejího podpisu zástupci obou smluvních stran</w:t>
      </w:r>
      <w:r w:rsidR="00236BF0">
        <w:t xml:space="preserve"> a účinnosti dnem zveřejnění v registru smluv</w:t>
      </w:r>
      <w:r>
        <w:t>.</w:t>
      </w:r>
    </w:p>
    <w:p w14:paraId="6B80F493" w14:textId="77777777" w:rsidR="00E96400" w:rsidRDefault="00E96400">
      <w:pPr>
        <w:numPr>
          <w:ilvl w:val="0"/>
          <w:numId w:val="2"/>
        </w:numPr>
        <w:jc w:val="both"/>
      </w:pPr>
      <w:r>
        <w:t>Tuto smlouvu lze měnit či doplňovat pouze písemnými dodatky podepsanými oprávněnými zástupci obou smluvních stran.</w:t>
      </w:r>
    </w:p>
    <w:p w14:paraId="4D33A0D1" w14:textId="77777777" w:rsidR="00E96400" w:rsidRDefault="00E96400">
      <w:pPr>
        <w:numPr>
          <w:ilvl w:val="0"/>
          <w:numId w:val="2"/>
        </w:numPr>
        <w:jc w:val="both"/>
      </w:pPr>
      <w:r>
        <w:t>Tato smlouva se vyhotovuje ve dvou stejnopisech s platností originálu, z nichž každá smluvní strana obdrží po jednom vyhotovení.</w:t>
      </w:r>
    </w:p>
    <w:p w14:paraId="50AD3DAD" w14:textId="77777777" w:rsidR="00E96400" w:rsidRDefault="00E96400">
      <w:pPr>
        <w:numPr>
          <w:ilvl w:val="0"/>
          <w:numId w:val="2"/>
        </w:numPr>
        <w:jc w:val="both"/>
      </w:pPr>
      <w:r>
        <w:t>Nedílnou součástí této smlouvy je Příloha č. 1 – Seznam zboží s cenovou nabídkou.</w:t>
      </w:r>
    </w:p>
    <w:p w14:paraId="21240831" w14:textId="77777777" w:rsidR="00F579B3" w:rsidRPr="00B94DC9" w:rsidRDefault="00F579B3" w:rsidP="00F579B3">
      <w:pPr>
        <w:numPr>
          <w:ilvl w:val="0"/>
          <w:numId w:val="2"/>
        </w:numPr>
        <w:jc w:val="both"/>
      </w:pPr>
      <w:r w:rsidRPr="00B94DC9">
        <w:t xml:space="preserve">Vztahy mezi smluvními stranami neupravené touto smlouvou se řídí Všeobecnými obchodními podmínkami pro Obchodní smlouvu (dále jen „VOP“), jejichž aktuální verze je k dispozici na </w:t>
      </w:r>
      <w:hyperlink r:id="rId7" w:history="1">
        <w:r w:rsidRPr="00B94DC9">
          <w:t>www.edenred.cz</w:t>
        </w:r>
      </w:hyperlink>
      <w:r w:rsidRPr="00B94DC9">
        <w:t xml:space="preserve">, a které tvoří v souladu s příslušnými ustanoveními právních předpisů nedílnou součást této smlouvy. </w:t>
      </w:r>
      <w:r>
        <w:t>O</w:t>
      </w:r>
      <w:r w:rsidRPr="00B94DC9">
        <w:t>dběratel potvrzuje, že se seznámil s obsahem a významem VOP a výslovně s jejich zněním souhlasí</w:t>
      </w:r>
      <w:r>
        <w:t xml:space="preserve">, </w:t>
      </w:r>
    </w:p>
    <w:p w14:paraId="0341F050" w14:textId="77777777" w:rsidR="00E96400" w:rsidRDefault="00E96400">
      <w:pPr>
        <w:numPr>
          <w:ilvl w:val="0"/>
          <w:numId w:val="2"/>
        </w:numPr>
        <w:jc w:val="both"/>
      </w:pPr>
      <w:r>
        <w:t>Znění této smlouvy není obchodním tajemstvím a dodavatel souhlasí se zveřejněním všech náležitostí smluvního vztahu.</w:t>
      </w:r>
    </w:p>
    <w:p w14:paraId="13ACDC58" w14:textId="77777777" w:rsidR="00E96400" w:rsidRDefault="00E96400">
      <w:pPr>
        <w:numPr>
          <w:ilvl w:val="0"/>
          <w:numId w:val="2"/>
        </w:numPr>
        <w:jc w:val="both"/>
      </w:pPr>
      <w:r>
        <w:t>Tato smlouva a právní vztahy z ní vyplývající se řídí právním řádem České republiky, a to především občanským zákoníkem jakož i dalšími právními předpisy.</w:t>
      </w:r>
    </w:p>
    <w:p w14:paraId="698DE70C" w14:textId="77777777" w:rsidR="00E96400" w:rsidRDefault="00E96400">
      <w:pPr>
        <w:numPr>
          <w:ilvl w:val="0"/>
          <w:numId w:val="2"/>
        </w:numPr>
        <w:jc w:val="both"/>
      </w:pPr>
      <w:r>
        <w:t>Účastnici prohlašují, že si smlouvu přečetli, s jejím obsahem souhlasí a prohlašují, že obsahuje jejich skutečnou a pravou vůli, prostou omylu a že nebyla uzavřena v tísni ani za nápadně nevýhodných podmínek, což potvrzují svými podpisy.</w:t>
      </w:r>
    </w:p>
    <w:p w14:paraId="03E5A85B" w14:textId="77777777" w:rsidR="00E81C2F" w:rsidRDefault="00E81C2F" w:rsidP="00E81C2F">
      <w:pPr>
        <w:numPr>
          <w:ilvl w:val="0"/>
          <w:numId w:val="2"/>
        </w:numPr>
        <w:jc w:val="both"/>
      </w:pPr>
      <w:r>
        <w:t>Smluvní strany se dohodly, že povinnost vyplývající ze zákona č. 340/2015 Sb., o registru smluv provede PNO zveřejněním této smlouvy v registru smluv, a to v zákonem stanoveném termínu.</w:t>
      </w:r>
    </w:p>
    <w:p w14:paraId="1C785B3D" w14:textId="77777777" w:rsidR="00E81C2F" w:rsidRDefault="00E81C2F" w:rsidP="00E81C2F">
      <w:pPr>
        <w:numPr>
          <w:ilvl w:val="0"/>
          <w:numId w:val="2"/>
        </w:numPr>
        <w:jc w:val="both"/>
      </w:pPr>
      <w:r>
        <w:t xml:space="preserve">Návrh smlouvy bude uchazečem předložen rovněž v otevřeném a strojově čitelném formátu dle z. č. 222/2015 Sb., o změně zákona o svobodném přístupu k informacím, z důvodu povinnosti zveřejňovat smlouvy dle zákona č. 340/2015 Sb., o registru smluv. </w:t>
      </w:r>
    </w:p>
    <w:p w14:paraId="50510522" w14:textId="77777777" w:rsidR="00B07F79" w:rsidRDefault="00B07F79" w:rsidP="00B07F79">
      <w:pPr>
        <w:numPr>
          <w:ilvl w:val="0"/>
          <w:numId w:val="2"/>
        </w:numPr>
      </w:pPr>
      <w:r>
        <w:t>Osobní údaje obsažené v této smlouvě bude Psychiatrická nemocnice v </w:t>
      </w:r>
      <w:proofErr w:type="gramStart"/>
      <w:r>
        <w:t>Opavě  (</w:t>
      </w:r>
      <w:proofErr w:type="gramEnd"/>
      <w:r>
        <w:t xml:space="preserve"> dále jen PNO) zpracovávat pouze pro účely plnění práv a povinností vyplývajících z této smlouvy, k jiným účelům nebudou tyto osobní údaje PNO použity. PNO při zpracování osobních údajů dodržuje platnou legislativu. Podrobné informace o ochraně osobních údajů jsou uvedeny na stránkách PNO www.pnopava.cz.</w:t>
      </w:r>
    </w:p>
    <w:p w14:paraId="4F3EB840" w14:textId="77777777" w:rsidR="00E81C2F" w:rsidRDefault="00E81C2F" w:rsidP="00E81C2F">
      <w:pPr>
        <w:ind w:left="1080"/>
        <w:jc w:val="both"/>
      </w:pPr>
    </w:p>
    <w:p w14:paraId="342F535B" w14:textId="77777777" w:rsidR="00E96400" w:rsidRDefault="00F579B3">
      <w:r>
        <w:t xml:space="preserve">Příloha: </w:t>
      </w:r>
      <w:r w:rsidRPr="00F579B3">
        <w:t>„Seznam zboží s cenovou nabídkou“,</w:t>
      </w:r>
    </w:p>
    <w:p w14:paraId="169D9750" w14:textId="77777777" w:rsidR="00E96400" w:rsidRDefault="00E96400"/>
    <w:p w14:paraId="36C295F4" w14:textId="2962321D" w:rsidR="00E96400" w:rsidRPr="00BB547F" w:rsidRDefault="00E96400">
      <w:r>
        <w:t>V Opavě dne</w:t>
      </w:r>
      <w:r w:rsidR="00A570AE" w:rsidRPr="00BB547F">
        <w:t>:</w:t>
      </w:r>
      <w:r w:rsidR="00837D8E" w:rsidRPr="00BB547F">
        <w:t xml:space="preserve"> </w:t>
      </w:r>
      <w:r w:rsidR="00D37F8C">
        <w:t>31.1.2024</w:t>
      </w:r>
      <w:r w:rsidR="00A570AE" w:rsidRPr="00BB547F">
        <w:t xml:space="preserve">                                       </w:t>
      </w:r>
      <w:r w:rsidR="00690EA3" w:rsidRPr="00BB547F">
        <w:t>V</w:t>
      </w:r>
      <w:r w:rsidR="00F579B3" w:rsidRPr="00BB547F">
        <w:t> </w:t>
      </w:r>
      <w:proofErr w:type="gramStart"/>
      <w:r w:rsidR="00F579B3" w:rsidRPr="00BB547F">
        <w:t xml:space="preserve">Praze </w:t>
      </w:r>
      <w:r w:rsidR="007B0EEE" w:rsidRPr="00BB547F">
        <w:t>:</w:t>
      </w:r>
      <w:proofErr w:type="gramEnd"/>
      <w:r w:rsidR="00837D8E" w:rsidRPr="00BB547F">
        <w:t> </w:t>
      </w:r>
      <w:r w:rsidR="00D37F8C">
        <w:t>29.1.2024</w:t>
      </w:r>
    </w:p>
    <w:p w14:paraId="61FF8CD4" w14:textId="77777777" w:rsidR="00AE7BAD" w:rsidRPr="00BB547F" w:rsidRDefault="00AE7BAD"/>
    <w:p w14:paraId="23CA7D08" w14:textId="77777777" w:rsidR="00E96400" w:rsidRPr="00BB547F" w:rsidRDefault="00E96400"/>
    <w:p w14:paraId="2A2B517B" w14:textId="2231B990" w:rsidR="006A455D" w:rsidRPr="00BB547F" w:rsidRDefault="006A455D" w:rsidP="006A455D">
      <w:r w:rsidRPr="00BB547F">
        <w:t xml:space="preserve">Psychiatrická nemocnice v Opavě           </w:t>
      </w:r>
      <w:r w:rsidR="00A570AE" w:rsidRPr="00BB547F">
        <w:t xml:space="preserve"> </w:t>
      </w:r>
      <w:r w:rsidRPr="00BB547F">
        <w:t xml:space="preserve">            </w:t>
      </w:r>
      <w:r w:rsidR="00F579B3" w:rsidRPr="00BB547F">
        <w:t xml:space="preserve">Edenred CZ s. r. o. </w:t>
      </w:r>
    </w:p>
    <w:p w14:paraId="5AE1B0A7" w14:textId="5EAC69C1" w:rsidR="00FD0006" w:rsidRDefault="006A455D" w:rsidP="00FD0006">
      <w:pPr>
        <w:tabs>
          <w:tab w:val="left" w:pos="4395"/>
        </w:tabs>
      </w:pPr>
      <w:r w:rsidRPr="00BB547F">
        <w:t xml:space="preserve">Ing. </w:t>
      </w:r>
      <w:r w:rsidR="00A570AE" w:rsidRPr="00BB547F">
        <w:t>Zdeněk Jiříček</w:t>
      </w:r>
      <w:r w:rsidRPr="00BB547F">
        <w:t xml:space="preserve"> </w:t>
      </w:r>
      <w:r w:rsidR="00FD0006" w:rsidRPr="00BB547F">
        <w:t xml:space="preserve"> </w:t>
      </w:r>
      <w:r w:rsidRPr="00BB547F">
        <w:t xml:space="preserve">                                 </w:t>
      </w:r>
      <w:r w:rsidR="00A570AE" w:rsidRPr="00BB547F">
        <w:t xml:space="preserve">           </w:t>
      </w:r>
      <w:r w:rsidRPr="00BB547F">
        <w:t xml:space="preserve"> </w:t>
      </w:r>
      <w:r w:rsidR="00BB547F" w:rsidRPr="00BB547F">
        <w:t>Dagmar Horová, na základě plné moci</w:t>
      </w:r>
      <w:r w:rsidR="00FD0006" w:rsidRPr="00BB547F">
        <w:t xml:space="preserve"> </w:t>
      </w:r>
      <w:r w:rsidR="00D87650" w:rsidRPr="00BB547F">
        <w:t>dodavatele</w:t>
      </w:r>
      <w:r w:rsidR="00BB547F" w:rsidRPr="00BB547F">
        <w:tab/>
        <w:t xml:space="preserve">     KAM – Public</w:t>
      </w:r>
    </w:p>
    <w:p w14:paraId="61291E31" w14:textId="6E64D2FE" w:rsidR="006A455D" w:rsidRDefault="00FD0006" w:rsidP="00BB547F">
      <w:pPr>
        <w:tabs>
          <w:tab w:val="left" w:pos="4395"/>
        </w:tabs>
      </w:pPr>
      <w:r>
        <w:t xml:space="preserve">ředitel                                                                    </w:t>
      </w:r>
    </w:p>
    <w:p w14:paraId="01781A0B" w14:textId="77777777" w:rsidR="006A455D" w:rsidRDefault="006A455D" w:rsidP="006A455D">
      <w:pPr>
        <w:tabs>
          <w:tab w:val="left" w:pos="4678"/>
        </w:tabs>
      </w:pPr>
    </w:p>
    <w:p w14:paraId="778BBC1C" w14:textId="77777777" w:rsidR="006A455D" w:rsidRDefault="006A455D" w:rsidP="006A455D">
      <w:r>
        <w:t xml:space="preserve">           </w:t>
      </w:r>
    </w:p>
    <w:p w14:paraId="46BC6D24" w14:textId="62A68300" w:rsidR="006A455D" w:rsidRDefault="006A455D" w:rsidP="006A455D">
      <w:pPr>
        <w:tabs>
          <w:tab w:val="left" w:pos="4536"/>
        </w:tabs>
      </w:pPr>
      <w:r>
        <w:t>(</w:t>
      </w:r>
      <w:r w:rsidR="003C3DF5">
        <w:t>odběratel</w:t>
      </w:r>
      <w:r>
        <w:t>)</w:t>
      </w:r>
      <w:r>
        <w:tab/>
      </w:r>
      <w:proofErr w:type="gramStart"/>
      <w:r>
        <w:t xml:space="preserve"> </w:t>
      </w:r>
      <w:r w:rsidR="00A570AE">
        <w:t xml:space="preserve"> </w:t>
      </w:r>
      <w:r>
        <w:t xml:space="preserve"> (</w:t>
      </w:r>
      <w:proofErr w:type="gramEnd"/>
      <w:r w:rsidR="003C3DF5">
        <w:t xml:space="preserve">dodavatel </w:t>
      </w:r>
      <w:r>
        <w:t>)</w:t>
      </w:r>
    </w:p>
    <w:p w14:paraId="1580932C" w14:textId="77777777" w:rsidR="008E3214" w:rsidRDefault="00E96400">
      <w:pPr>
        <w:sectPr w:rsidR="008E3214" w:rsidSect="00A06035">
          <w:footerReference w:type="default" r:id="rId8"/>
          <w:pgSz w:w="11906" w:h="16838"/>
          <w:pgMar w:top="1417" w:right="1417" w:bottom="1417" w:left="1417" w:header="708" w:footer="708" w:gutter="0"/>
          <w:pgNumType w:start="1"/>
          <w:cols w:space="708"/>
          <w:docGrid w:linePitch="360"/>
        </w:sectPr>
      </w:pPr>
      <w:r>
        <w:t xml:space="preserve"> </w:t>
      </w:r>
    </w:p>
    <w:p w14:paraId="6777E14B" w14:textId="77777777" w:rsidR="008E3214" w:rsidRDefault="008E3214" w:rsidP="008E3214">
      <w:r>
        <w:lastRenderedPageBreak/>
        <w:t>Příloha č. 1 Seznam zboží s cenovou nabídkou</w:t>
      </w:r>
    </w:p>
    <w:p w14:paraId="1BEC1ED9" w14:textId="3FD19CC4" w:rsidR="008E3214" w:rsidRDefault="008E3214" w:rsidP="008E3214">
      <w:r>
        <w:tab/>
      </w:r>
      <w:r>
        <w:tab/>
      </w:r>
      <w:r>
        <w:tab/>
      </w:r>
      <w:r>
        <w:tab/>
      </w:r>
    </w:p>
    <w:p w14:paraId="4C68286C" w14:textId="7D0AEF21" w:rsidR="008E3214" w:rsidRDefault="008E3214" w:rsidP="008E3214">
      <w:r>
        <w:t>Ceny v Kč bez DPH</w:t>
      </w:r>
      <w:r>
        <w:tab/>
      </w:r>
    </w:p>
    <w:p w14:paraId="2784D2FB" w14:textId="77777777" w:rsidR="008E3214" w:rsidRDefault="008E3214" w:rsidP="008E3214"/>
    <w:tbl>
      <w:tblPr>
        <w:tblStyle w:val="Mkatabulky"/>
        <w:tblW w:w="5000" w:type="pct"/>
        <w:tblLook w:val="04A0" w:firstRow="1" w:lastRow="0" w:firstColumn="1" w:lastColumn="0" w:noHBand="0" w:noVBand="1"/>
      </w:tblPr>
      <w:tblGrid>
        <w:gridCol w:w="3257"/>
        <w:gridCol w:w="567"/>
        <w:gridCol w:w="1274"/>
        <w:gridCol w:w="1702"/>
        <w:gridCol w:w="2262"/>
      </w:tblGrid>
      <w:tr w:rsidR="008E3214" w:rsidRPr="008E3214" w14:paraId="2872E7CD" w14:textId="77777777" w:rsidTr="008E3214">
        <w:tc>
          <w:tcPr>
            <w:tcW w:w="1797" w:type="pct"/>
          </w:tcPr>
          <w:p w14:paraId="11B13095" w14:textId="77777777" w:rsidR="008E3214" w:rsidRPr="008E3214" w:rsidRDefault="008E3214" w:rsidP="005E2DCF">
            <w:r w:rsidRPr="008E3214">
              <w:t>Název</w:t>
            </w:r>
          </w:p>
        </w:tc>
        <w:tc>
          <w:tcPr>
            <w:tcW w:w="313" w:type="pct"/>
          </w:tcPr>
          <w:p w14:paraId="55A17B93" w14:textId="77777777" w:rsidR="008E3214" w:rsidRPr="008E3214" w:rsidRDefault="008E3214" w:rsidP="005E2DCF">
            <w:r w:rsidRPr="008E3214">
              <w:t>MJ</w:t>
            </w:r>
          </w:p>
        </w:tc>
        <w:tc>
          <w:tcPr>
            <w:tcW w:w="703" w:type="pct"/>
          </w:tcPr>
          <w:p w14:paraId="2F0EA021" w14:textId="77777777" w:rsidR="008E3214" w:rsidRPr="008E3214" w:rsidRDefault="008E3214" w:rsidP="005E2DCF">
            <w:r w:rsidRPr="008E3214">
              <w:t>Množství</w:t>
            </w:r>
          </w:p>
        </w:tc>
        <w:tc>
          <w:tcPr>
            <w:tcW w:w="939" w:type="pct"/>
          </w:tcPr>
          <w:p w14:paraId="5F21D0C7" w14:textId="77777777" w:rsidR="008E3214" w:rsidRPr="008E3214" w:rsidRDefault="008E3214" w:rsidP="005E2DCF">
            <w:r w:rsidRPr="008E3214">
              <w:t>Cena za MJ</w:t>
            </w:r>
          </w:p>
        </w:tc>
        <w:tc>
          <w:tcPr>
            <w:tcW w:w="1249" w:type="pct"/>
          </w:tcPr>
          <w:p w14:paraId="2F534460" w14:textId="77777777" w:rsidR="008E3214" w:rsidRPr="008E3214" w:rsidRDefault="008E3214" w:rsidP="005E2DCF">
            <w:r w:rsidRPr="008E3214">
              <w:t>Celkem</w:t>
            </w:r>
          </w:p>
        </w:tc>
      </w:tr>
      <w:tr w:rsidR="008E3214" w:rsidRPr="008E3214" w14:paraId="2F0EE7BD" w14:textId="77777777" w:rsidTr="008E3214">
        <w:tc>
          <w:tcPr>
            <w:tcW w:w="1797" w:type="pct"/>
          </w:tcPr>
          <w:p w14:paraId="5B335D8A" w14:textId="77777777" w:rsidR="008E3214" w:rsidRPr="008E3214" w:rsidRDefault="008E3214" w:rsidP="005E2DCF">
            <w:r w:rsidRPr="008E3214">
              <w:t>stravovací poukázka v nominální hodnotě 50 Kč</w:t>
            </w:r>
          </w:p>
        </w:tc>
        <w:tc>
          <w:tcPr>
            <w:tcW w:w="313" w:type="pct"/>
          </w:tcPr>
          <w:p w14:paraId="5C986E91" w14:textId="77777777" w:rsidR="008E3214" w:rsidRPr="008E3214" w:rsidRDefault="008E3214" w:rsidP="005E2DCF">
            <w:r w:rsidRPr="008E3214">
              <w:t>ks</w:t>
            </w:r>
          </w:p>
        </w:tc>
        <w:tc>
          <w:tcPr>
            <w:tcW w:w="703" w:type="pct"/>
          </w:tcPr>
          <w:p w14:paraId="5ED69F0B" w14:textId="3D3FB843" w:rsidR="008E3214" w:rsidRPr="008E3214" w:rsidRDefault="008E3214" w:rsidP="008E3214">
            <w:pPr>
              <w:jc w:val="right"/>
            </w:pPr>
            <w:r w:rsidRPr="008E3214">
              <w:t>26</w:t>
            </w:r>
            <w:r>
              <w:t xml:space="preserve"> </w:t>
            </w:r>
            <w:r w:rsidRPr="008E3214">
              <w:t>000</w:t>
            </w:r>
          </w:p>
        </w:tc>
        <w:tc>
          <w:tcPr>
            <w:tcW w:w="939" w:type="pct"/>
          </w:tcPr>
          <w:p w14:paraId="6AA05830" w14:textId="77777777" w:rsidR="008E3214" w:rsidRPr="008E3214" w:rsidRDefault="008E3214" w:rsidP="008E3214">
            <w:pPr>
              <w:jc w:val="right"/>
            </w:pPr>
            <w:r w:rsidRPr="008E3214">
              <w:t>48,88</w:t>
            </w:r>
          </w:p>
        </w:tc>
        <w:tc>
          <w:tcPr>
            <w:tcW w:w="1249" w:type="pct"/>
          </w:tcPr>
          <w:p w14:paraId="2464188F" w14:textId="77777777" w:rsidR="008E3214" w:rsidRPr="008E3214" w:rsidRDefault="008E3214" w:rsidP="008E3214">
            <w:pPr>
              <w:jc w:val="right"/>
            </w:pPr>
            <w:r w:rsidRPr="008E3214">
              <w:t>1 270 750,00</w:t>
            </w:r>
          </w:p>
        </w:tc>
      </w:tr>
      <w:tr w:rsidR="008E3214" w:rsidRPr="008E3214" w14:paraId="7B0B3163" w14:textId="77777777" w:rsidTr="008E3214">
        <w:tc>
          <w:tcPr>
            <w:tcW w:w="1797" w:type="pct"/>
          </w:tcPr>
          <w:p w14:paraId="69DD0391" w14:textId="77777777" w:rsidR="008E3214" w:rsidRPr="008E3214" w:rsidRDefault="008E3214" w:rsidP="005E2DCF">
            <w:r w:rsidRPr="008E3214">
              <w:t>stravovací poukázka v nominální hodnotě 80 Kč</w:t>
            </w:r>
          </w:p>
        </w:tc>
        <w:tc>
          <w:tcPr>
            <w:tcW w:w="313" w:type="pct"/>
          </w:tcPr>
          <w:p w14:paraId="5EDEBD92" w14:textId="77777777" w:rsidR="008E3214" w:rsidRPr="008E3214" w:rsidRDefault="008E3214" w:rsidP="005E2DCF">
            <w:r w:rsidRPr="008E3214">
              <w:t>ks</w:t>
            </w:r>
          </w:p>
        </w:tc>
        <w:tc>
          <w:tcPr>
            <w:tcW w:w="703" w:type="pct"/>
          </w:tcPr>
          <w:p w14:paraId="221B7976" w14:textId="508CACE5" w:rsidR="008E3214" w:rsidRPr="008E3214" w:rsidRDefault="008E3214" w:rsidP="008E3214">
            <w:pPr>
              <w:jc w:val="right"/>
            </w:pPr>
            <w:r w:rsidRPr="008E3214">
              <w:t>2</w:t>
            </w:r>
            <w:r>
              <w:t xml:space="preserve"> </w:t>
            </w:r>
            <w:r w:rsidRPr="008E3214">
              <w:t>000</w:t>
            </w:r>
          </w:p>
        </w:tc>
        <w:tc>
          <w:tcPr>
            <w:tcW w:w="939" w:type="pct"/>
          </w:tcPr>
          <w:p w14:paraId="130F5B2B" w14:textId="77777777" w:rsidR="008E3214" w:rsidRPr="008E3214" w:rsidRDefault="008E3214" w:rsidP="008E3214">
            <w:pPr>
              <w:jc w:val="right"/>
            </w:pPr>
            <w:r w:rsidRPr="008E3214">
              <w:t>78,20</w:t>
            </w:r>
          </w:p>
        </w:tc>
        <w:tc>
          <w:tcPr>
            <w:tcW w:w="1249" w:type="pct"/>
          </w:tcPr>
          <w:p w14:paraId="4F29360B" w14:textId="77777777" w:rsidR="008E3214" w:rsidRPr="008E3214" w:rsidRDefault="008E3214" w:rsidP="008E3214">
            <w:pPr>
              <w:jc w:val="right"/>
            </w:pPr>
            <w:r w:rsidRPr="008E3214">
              <w:t>156 400,00</w:t>
            </w:r>
          </w:p>
        </w:tc>
      </w:tr>
      <w:tr w:rsidR="008E3214" w:rsidRPr="008E3214" w14:paraId="1EBFD943" w14:textId="77777777" w:rsidTr="008E3214">
        <w:tc>
          <w:tcPr>
            <w:tcW w:w="1797" w:type="pct"/>
          </w:tcPr>
          <w:p w14:paraId="4669E21B" w14:textId="4E9BF28B" w:rsidR="008E3214" w:rsidRPr="008E3214" w:rsidRDefault="008E3214" w:rsidP="005E2DCF">
            <w:r>
              <w:t>CELKEM</w:t>
            </w:r>
          </w:p>
        </w:tc>
        <w:tc>
          <w:tcPr>
            <w:tcW w:w="313" w:type="pct"/>
          </w:tcPr>
          <w:p w14:paraId="6713F109" w14:textId="77777777" w:rsidR="008E3214" w:rsidRPr="008E3214" w:rsidRDefault="008E3214" w:rsidP="005E2DCF"/>
        </w:tc>
        <w:tc>
          <w:tcPr>
            <w:tcW w:w="703" w:type="pct"/>
          </w:tcPr>
          <w:p w14:paraId="0312CE33" w14:textId="77777777" w:rsidR="008E3214" w:rsidRPr="008E3214" w:rsidRDefault="008E3214" w:rsidP="008E3214">
            <w:pPr>
              <w:jc w:val="right"/>
            </w:pPr>
          </w:p>
        </w:tc>
        <w:tc>
          <w:tcPr>
            <w:tcW w:w="939" w:type="pct"/>
          </w:tcPr>
          <w:p w14:paraId="037D2B89" w14:textId="77777777" w:rsidR="008E3214" w:rsidRPr="008E3214" w:rsidRDefault="008E3214" w:rsidP="008E3214">
            <w:pPr>
              <w:jc w:val="right"/>
            </w:pPr>
          </w:p>
        </w:tc>
        <w:tc>
          <w:tcPr>
            <w:tcW w:w="1249" w:type="pct"/>
          </w:tcPr>
          <w:p w14:paraId="73FBD24D" w14:textId="1D938D0B" w:rsidR="008E3214" w:rsidRPr="008E3214" w:rsidRDefault="008E3214" w:rsidP="008E3214">
            <w:pPr>
              <w:jc w:val="right"/>
            </w:pPr>
            <w:r>
              <w:t>1 427 150,00</w:t>
            </w:r>
          </w:p>
        </w:tc>
      </w:tr>
    </w:tbl>
    <w:p w14:paraId="45B3E3E8" w14:textId="0AE56655" w:rsidR="00E96400" w:rsidRDefault="008E3214" w:rsidP="008E3214">
      <w:r>
        <w:tab/>
      </w:r>
      <w:r>
        <w:tab/>
      </w:r>
      <w:r>
        <w:tab/>
      </w:r>
      <w:r>
        <w:tab/>
      </w:r>
    </w:p>
    <w:sectPr w:rsidR="00E96400" w:rsidSect="00A06035">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5E6998" w14:textId="77777777" w:rsidR="008A1F8F" w:rsidRDefault="008A1F8F" w:rsidP="00A06035">
      <w:r>
        <w:separator/>
      </w:r>
    </w:p>
  </w:endnote>
  <w:endnote w:type="continuationSeparator" w:id="0">
    <w:p w14:paraId="42EE11BE" w14:textId="77777777" w:rsidR="008A1F8F" w:rsidRDefault="008A1F8F" w:rsidP="00A06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A9F75" w14:textId="77777777" w:rsidR="00CE0760" w:rsidRDefault="00CE0760">
    <w:pPr>
      <w:pStyle w:val="Zpat"/>
      <w:jc w:val="center"/>
    </w:pPr>
    <w:r>
      <w:fldChar w:fldCharType="begin"/>
    </w:r>
    <w:r>
      <w:instrText>PAGE   \* MERGEFORMAT</w:instrText>
    </w:r>
    <w:r>
      <w:fldChar w:fldCharType="separate"/>
    </w:r>
    <w:r w:rsidR="00AF6D29">
      <w:rPr>
        <w:noProof/>
      </w:rPr>
      <w:t>6</w:t>
    </w:r>
    <w:r>
      <w:fldChar w:fldCharType="end"/>
    </w:r>
  </w:p>
  <w:p w14:paraId="36043A2D" w14:textId="77777777" w:rsidR="00CE0760" w:rsidRDefault="00CE076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27E06F" w14:textId="77777777" w:rsidR="008A1F8F" w:rsidRDefault="008A1F8F" w:rsidP="00A06035">
      <w:r>
        <w:separator/>
      </w:r>
    </w:p>
  </w:footnote>
  <w:footnote w:type="continuationSeparator" w:id="0">
    <w:p w14:paraId="309A070D" w14:textId="77777777" w:rsidR="008A1F8F" w:rsidRDefault="008A1F8F" w:rsidP="00A060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lowerLetter"/>
      <w:lvlText w:val="%1)"/>
      <w:lvlJc w:val="left"/>
      <w:pPr>
        <w:tabs>
          <w:tab w:val="num" w:pos="0"/>
        </w:tabs>
        <w:ind w:left="1080" w:hanging="36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108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720" w:hanging="360"/>
      </w:p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720" w:hanging="360"/>
      </w:pPr>
    </w:lvl>
  </w:abstractNum>
  <w:abstractNum w:abstractNumId="8" w15:restartNumberingAfterBreak="0">
    <w:nsid w:val="00000009"/>
    <w:multiLevelType w:val="multilevel"/>
    <w:tmpl w:val="0000000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1F37386F"/>
    <w:multiLevelType w:val="singleLevel"/>
    <w:tmpl w:val="00000008"/>
    <w:lvl w:ilvl="0">
      <w:start w:val="1"/>
      <w:numFmt w:val="decimal"/>
      <w:lvlText w:val="%1)"/>
      <w:lvlJc w:val="left"/>
      <w:pPr>
        <w:tabs>
          <w:tab w:val="num" w:pos="0"/>
        </w:tabs>
        <w:ind w:left="720" w:hanging="360"/>
      </w:pPr>
    </w:lvl>
  </w:abstractNum>
  <w:abstractNum w:abstractNumId="10" w15:restartNumberingAfterBreak="0">
    <w:nsid w:val="35E84DB1"/>
    <w:multiLevelType w:val="singleLevel"/>
    <w:tmpl w:val="00000008"/>
    <w:lvl w:ilvl="0">
      <w:start w:val="1"/>
      <w:numFmt w:val="decimal"/>
      <w:lvlText w:val="%1)"/>
      <w:lvlJc w:val="left"/>
      <w:pPr>
        <w:tabs>
          <w:tab w:val="num" w:pos="0"/>
        </w:tabs>
        <w:ind w:left="720" w:hanging="360"/>
      </w:pPr>
    </w:lvl>
  </w:abstractNum>
  <w:abstractNum w:abstractNumId="11" w15:restartNumberingAfterBreak="0">
    <w:nsid w:val="37F445D8"/>
    <w:multiLevelType w:val="hybridMultilevel"/>
    <w:tmpl w:val="43F0AEDA"/>
    <w:lvl w:ilvl="0" w:tplc="C9901BC8">
      <w:start w:val="8"/>
      <w:numFmt w:val="bullet"/>
      <w:lvlText w:val="•"/>
      <w:lvlJc w:val="left"/>
      <w:pPr>
        <w:ind w:left="1080" w:hanging="720"/>
      </w:pPr>
      <w:rPr>
        <w:rFonts w:ascii="Century Gothic" w:eastAsia="Times New Roman" w:hAnsi="Century Gothic"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40F96424"/>
    <w:multiLevelType w:val="hybridMultilevel"/>
    <w:tmpl w:val="8738F310"/>
    <w:lvl w:ilvl="0" w:tplc="61A22356">
      <w:start w:val="1"/>
      <w:numFmt w:val="decimal"/>
      <w:lvlText w:val="%1."/>
      <w:lvlJc w:val="left"/>
      <w:pPr>
        <w:ind w:left="720" w:hanging="360"/>
      </w:pPr>
      <w:rPr>
        <w:b/>
        <w:sz w:val="14"/>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2C67F8"/>
    <w:multiLevelType w:val="hybridMultilevel"/>
    <w:tmpl w:val="E044442A"/>
    <w:lvl w:ilvl="0" w:tplc="04050019">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lvlOverride w:ilvl="0">
      <w:startOverride w:val="1"/>
    </w:lvlOverride>
  </w:num>
  <w:num w:numId="11">
    <w:abstractNumId w:val="12"/>
  </w:num>
  <w:num w:numId="12">
    <w:abstractNumId w:val="11"/>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380"/>
    <w:rsid w:val="00003716"/>
    <w:rsid w:val="00005CB1"/>
    <w:rsid w:val="00011755"/>
    <w:rsid w:val="00012BF9"/>
    <w:rsid w:val="00051B04"/>
    <w:rsid w:val="00053FBF"/>
    <w:rsid w:val="00060C18"/>
    <w:rsid w:val="000723D5"/>
    <w:rsid w:val="000749B0"/>
    <w:rsid w:val="00074E75"/>
    <w:rsid w:val="00075324"/>
    <w:rsid w:val="000B2AD9"/>
    <w:rsid w:val="000C33A4"/>
    <w:rsid w:val="000C41D4"/>
    <w:rsid w:val="000D21FA"/>
    <w:rsid w:val="000D2778"/>
    <w:rsid w:val="000D5592"/>
    <w:rsid w:val="000E20C1"/>
    <w:rsid w:val="000F13F9"/>
    <w:rsid w:val="000F1E0D"/>
    <w:rsid w:val="00101860"/>
    <w:rsid w:val="00116932"/>
    <w:rsid w:val="0012321C"/>
    <w:rsid w:val="00125C20"/>
    <w:rsid w:val="00170898"/>
    <w:rsid w:val="0018122A"/>
    <w:rsid w:val="00181631"/>
    <w:rsid w:val="001B4370"/>
    <w:rsid w:val="00214DDC"/>
    <w:rsid w:val="0023298A"/>
    <w:rsid w:val="00236BF0"/>
    <w:rsid w:val="00245A9C"/>
    <w:rsid w:val="00246B71"/>
    <w:rsid w:val="002506E3"/>
    <w:rsid w:val="0027001F"/>
    <w:rsid w:val="002A5A1F"/>
    <w:rsid w:val="002B14C2"/>
    <w:rsid w:val="002C1C53"/>
    <w:rsid w:val="002C6238"/>
    <w:rsid w:val="002D1D8B"/>
    <w:rsid w:val="002D5E76"/>
    <w:rsid w:val="002F2E05"/>
    <w:rsid w:val="002F6380"/>
    <w:rsid w:val="00303C6A"/>
    <w:rsid w:val="00313B3D"/>
    <w:rsid w:val="003461B9"/>
    <w:rsid w:val="00351A2C"/>
    <w:rsid w:val="00354532"/>
    <w:rsid w:val="00356A74"/>
    <w:rsid w:val="003701BC"/>
    <w:rsid w:val="00380B89"/>
    <w:rsid w:val="00395735"/>
    <w:rsid w:val="00397CD5"/>
    <w:rsid w:val="003B00EA"/>
    <w:rsid w:val="003B16BA"/>
    <w:rsid w:val="003C3DF5"/>
    <w:rsid w:val="003C5545"/>
    <w:rsid w:val="003C574A"/>
    <w:rsid w:val="003D0808"/>
    <w:rsid w:val="003D28C0"/>
    <w:rsid w:val="00400981"/>
    <w:rsid w:val="00421D70"/>
    <w:rsid w:val="00424935"/>
    <w:rsid w:val="0044098F"/>
    <w:rsid w:val="00457986"/>
    <w:rsid w:val="00472CC8"/>
    <w:rsid w:val="00485935"/>
    <w:rsid w:val="00494B22"/>
    <w:rsid w:val="0049675D"/>
    <w:rsid w:val="004C2437"/>
    <w:rsid w:val="004F2747"/>
    <w:rsid w:val="00513638"/>
    <w:rsid w:val="00553B99"/>
    <w:rsid w:val="0055787E"/>
    <w:rsid w:val="00566994"/>
    <w:rsid w:val="00570886"/>
    <w:rsid w:val="00571681"/>
    <w:rsid w:val="00582596"/>
    <w:rsid w:val="005B1881"/>
    <w:rsid w:val="005B6C08"/>
    <w:rsid w:val="005E2F03"/>
    <w:rsid w:val="005E7D2B"/>
    <w:rsid w:val="005F07B0"/>
    <w:rsid w:val="00623044"/>
    <w:rsid w:val="0065559C"/>
    <w:rsid w:val="00662C1B"/>
    <w:rsid w:val="00676808"/>
    <w:rsid w:val="006827DA"/>
    <w:rsid w:val="00690EA3"/>
    <w:rsid w:val="006A2BAF"/>
    <w:rsid w:val="006A455D"/>
    <w:rsid w:val="00715F21"/>
    <w:rsid w:val="007166D6"/>
    <w:rsid w:val="007168CF"/>
    <w:rsid w:val="00721EEC"/>
    <w:rsid w:val="007976B4"/>
    <w:rsid w:val="007B0EEE"/>
    <w:rsid w:val="007B662E"/>
    <w:rsid w:val="007C0309"/>
    <w:rsid w:val="007E1FE4"/>
    <w:rsid w:val="007F0797"/>
    <w:rsid w:val="007F41BE"/>
    <w:rsid w:val="007F4302"/>
    <w:rsid w:val="007F5F5B"/>
    <w:rsid w:val="00813F64"/>
    <w:rsid w:val="00816221"/>
    <w:rsid w:val="00817916"/>
    <w:rsid w:val="00837D8E"/>
    <w:rsid w:val="00842264"/>
    <w:rsid w:val="00847E3C"/>
    <w:rsid w:val="00874192"/>
    <w:rsid w:val="00897340"/>
    <w:rsid w:val="008A1F8F"/>
    <w:rsid w:val="008A5522"/>
    <w:rsid w:val="008C5CBA"/>
    <w:rsid w:val="008D30B0"/>
    <w:rsid w:val="008E3214"/>
    <w:rsid w:val="009029B5"/>
    <w:rsid w:val="009163FE"/>
    <w:rsid w:val="00925CAF"/>
    <w:rsid w:val="0092628E"/>
    <w:rsid w:val="00963D93"/>
    <w:rsid w:val="009744BE"/>
    <w:rsid w:val="0098660C"/>
    <w:rsid w:val="009B58AB"/>
    <w:rsid w:val="009D4DC5"/>
    <w:rsid w:val="009F32FB"/>
    <w:rsid w:val="00A06035"/>
    <w:rsid w:val="00A124A9"/>
    <w:rsid w:val="00A1559A"/>
    <w:rsid w:val="00A247AB"/>
    <w:rsid w:val="00A570AE"/>
    <w:rsid w:val="00A74D26"/>
    <w:rsid w:val="00A81B66"/>
    <w:rsid w:val="00A8368A"/>
    <w:rsid w:val="00A915C6"/>
    <w:rsid w:val="00A96934"/>
    <w:rsid w:val="00A97E92"/>
    <w:rsid w:val="00AA5899"/>
    <w:rsid w:val="00AD4412"/>
    <w:rsid w:val="00AD6632"/>
    <w:rsid w:val="00AE7BAD"/>
    <w:rsid w:val="00AF222D"/>
    <w:rsid w:val="00AF6D29"/>
    <w:rsid w:val="00B07F79"/>
    <w:rsid w:val="00B204C3"/>
    <w:rsid w:val="00B26D39"/>
    <w:rsid w:val="00B31173"/>
    <w:rsid w:val="00B617D7"/>
    <w:rsid w:val="00B66EC9"/>
    <w:rsid w:val="00B76967"/>
    <w:rsid w:val="00B82995"/>
    <w:rsid w:val="00B94DC9"/>
    <w:rsid w:val="00BA42D3"/>
    <w:rsid w:val="00BB547F"/>
    <w:rsid w:val="00BD3E0B"/>
    <w:rsid w:val="00BE4AC9"/>
    <w:rsid w:val="00BE694C"/>
    <w:rsid w:val="00BF366B"/>
    <w:rsid w:val="00BF5BA4"/>
    <w:rsid w:val="00C0055D"/>
    <w:rsid w:val="00C05358"/>
    <w:rsid w:val="00C56364"/>
    <w:rsid w:val="00C5665A"/>
    <w:rsid w:val="00C615F1"/>
    <w:rsid w:val="00C62276"/>
    <w:rsid w:val="00CB1450"/>
    <w:rsid w:val="00CB4ADE"/>
    <w:rsid w:val="00CC7528"/>
    <w:rsid w:val="00CE0760"/>
    <w:rsid w:val="00CE2001"/>
    <w:rsid w:val="00D15A12"/>
    <w:rsid w:val="00D37F8C"/>
    <w:rsid w:val="00D61608"/>
    <w:rsid w:val="00D64CCC"/>
    <w:rsid w:val="00D700AC"/>
    <w:rsid w:val="00D87650"/>
    <w:rsid w:val="00D92EBB"/>
    <w:rsid w:val="00DA5BF5"/>
    <w:rsid w:val="00DB1B94"/>
    <w:rsid w:val="00DB48B8"/>
    <w:rsid w:val="00DE2F28"/>
    <w:rsid w:val="00E028E1"/>
    <w:rsid w:val="00E1369C"/>
    <w:rsid w:val="00E31AA8"/>
    <w:rsid w:val="00E3622E"/>
    <w:rsid w:val="00E6397A"/>
    <w:rsid w:val="00E75804"/>
    <w:rsid w:val="00E81C2F"/>
    <w:rsid w:val="00E87A1F"/>
    <w:rsid w:val="00E96400"/>
    <w:rsid w:val="00E9674A"/>
    <w:rsid w:val="00EA1FA5"/>
    <w:rsid w:val="00EA3F77"/>
    <w:rsid w:val="00EB0FC7"/>
    <w:rsid w:val="00EC7A18"/>
    <w:rsid w:val="00EF4EAC"/>
    <w:rsid w:val="00F02B28"/>
    <w:rsid w:val="00F209AB"/>
    <w:rsid w:val="00F26160"/>
    <w:rsid w:val="00F34AE0"/>
    <w:rsid w:val="00F46BE3"/>
    <w:rsid w:val="00F579B3"/>
    <w:rsid w:val="00F67F20"/>
    <w:rsid w:val="00FB2D90"/>
    <w:rsid w:val="00FC4C37"/>
    <w:rsid w:val="00FD0006"/>
    <w:rsid w:val="00FF0AC9"/>
    <w:rsid w:val="00FF55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1836846"/>
  <w15:chartTrackingRefBased/>
  <w15:docId w15:val="{84E49105-F136-4215-8C7C-BB9CA2493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303C6A"/>
    <w:pPr>
      <w:suppressAutoHyphens/>
    </w:pPr>
    <w:rPr>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6z1">
    <w:name w:val="WW8Num6z1"/>
    <w:rPr>
      <w:rFonts w:ascii="Times New Roman" w:eastAsia="Times New Roman" w:hAnsi="Times New Roman" w:cs="Times New Roman"/>
    </w:rPr>
  </w:style>
  <w:style w:type="character" w:customStyle="1" w:styleId="WW8Num9z1">
    <w:name w:val="WW8Num9z1"/>
    <w:rPr>
      <w:rFonts w:ascii="Courier New" w:hAnsi="Courier New" w:cs="Courier New"/>
    </w:rPr>
  </w:style>
  <w:style w:type="character" w:customStyle="1" w:styleId="Standardnpsmoodstavce2">
    <w:name w:val="Standardní písmo odstavce2"/>
  </w:style>
  <w:style w:type="character" w:customStyle="1" w:styleId="WW8Num9z0">
    <w:name w:val="WW8Num9z0"/>
    <w:rPr>
      <w:rFonts w:ascii="Times New Roman" w:eastAsia="Times New Roman" w:hAnsi="Times New Roman" w:cs="Times New Roman"/>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Standardnpsmoodstavce1">
    <w:name w:val="Standardní písmo odstavce1"/>
  </w:style>
  <w:style w:type="character" w:styleId="Hypertextovodkaz">
    <w:name w:val="Hyperlink"/>
    <w:uiPriority w:val="99"/>
    <w:rPr>
      <w:color w:val="0000FF"/>
      <w:u w:val="single"/>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Arial Unicode MS" w:hAnsi="Arial" w:cs="Mangal"/>
      <w:sz w:val="28"/>
      <w:szCs w:val="28"/>
    </w:rPr>
  </w:style>
  <w:style w:type="paragraph" w:styleId="Zkladntext">
    <w:name w:val="Body Text"/>
    <w:basedOn w:val="Normln"/>
    <w:pPr>
      <w:spacing w:after="120"/>
    </w:p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styleId="Odstavecseseznamem">
    <w:name w:val="List Paragraph"/>
    <w:basedOn w:val="Normln"/>
    <w:uiPriority w:val="34"/>
    <w:qFormat/>
    <w:pPr>
      <w:ind w:left="708"/>
    </w:pPr>
  </w:style>
  <w:style w:type="paragraph" w:styleId="Zhlav">
    <w:name w:val="header"/>
    <w:basedOn w:val="Normln"/>
    <w:link w:val="ZhlavChar"/>
    <w:uiPriority w:val="99"/>
    <w:rsid w:val="00A06035"/>
    <w:pPr>
      <w:tabs>
        <w:tab w:val="center" w:pos="4536"/>
        <w:tab w:val="right" w:pos="9072"/>
      </w:tabs>
    </w:pPr>
  </w:style>
  <w:style w:type="character" w:customStyle="1" w:styleId="ZhlavChar">
    <w:name w:val="Záhlaví Char"/>
    <w:link w:val="Zhlav"/>
    <w:uiPriority w:val="99"/>
    <w:rsid w:val="00A06035"/>
    <w:rPr>
      <w:sz w:val="24"/>
      <w:szCs w:val="24"/>
      <w:lang w:eastAsia="ar-SA"/>
    </w:rPr>
  </w:style>
  <w:style w:type="paragraph" w:styleId="Zpat">
    <w:name w:val="footer"/>
    <w:basedOn w:val="Normln"/>
    <w:link w:val="ZpatChar"/>
    <w:uiPriority w:val="99"/>
    <w:rsid w:val="00A06035"/>
    <w:pPr>
      <w:tabs>
        <w:tab w:val="center" w:pos="4536"/>
        <w:tab w:val="right" w:pos="9072"/>
      </w:tabs>
    </w:pPr>
  </w:style>
  <w:style w:type="character" w:customStyle="1" w:styleId="ZpatChar">
    <w:name w:val="Zápatí Char"/>
    <w:link w:val="Zpat"/>
    <w:uiPriority w:val="99"/>
    <w:rsid w:val="00A06035"/>
    <w:rPr>
      <w:sz w:val="24"/>
      <w:szCs w:val="24"/>
      <w:lang w:eastAsia="ar-SA"/>
    </w:rPr>
  </w:style>
  <w:style w:type="paragraph" w:styleId="Textbubliny">
    <w:name w:val="Balloon Text"/>
    <w:basedOn w:val="Normln"/>
    <w:link w:val="TextbublinyChar"/>
    <w:rsid w:val="00690EA3"/>
    <w:rPr>
      <w:rFonts w:ascii="Segoe UI" w:hAnsi="Segoe UI" w:cs="Segoe UI"/>
      <w:sz w:val="18"/>
      <w:szCs w:val="18"/>
    </w:rPr>
  </w:style>
  <w:style w:type="character" w:customStyle="1" w:styleId="TextbublinyChar">
    <w:name w:val="Text bubliny Char"/>
    <w:link w:val="Textbubliny"/>
    <w:rsid w:val="00690EA3"/>
    <w:rPr>
      <w:rFonts w:ascii="Segoe UI" w:hAnsi="Segoe UI" w:cs="Segoe UI"/>
      <w:sz w:val="18"/>
      <w:szCs w:val="18"/>
      <w:lang w:eastAsia="ar-SA"/>
    </w:rPr>
  </w:style>
  <w:style w:type="paragraph" w:styleId="Revize">
    <w:name w:val="Revision"/>
    <w:hidden/>
    <w:uiPriority w:val="99"/>
    <w:semiHidden/>
    <w:rsid w:val="009F32FB"/>
    <w:rPr>
      <w:sz w:val="24"/>
      <w:szCs w:val="24"/>
      <w:lang w:eastAsia="ar-SA"/>
    </w:rPr>
  </w:style>
  <w:style w:type="character" w:styleId="Odkaznakoment">
    <w:name w:val="annotation reference"/>
    <w:rsid w:val="00F67F20"/>
    <w:rPr>
      <w:sz w:val="16"/>
      <w:szCs w:val="16"/>
    </w:rPr>
  </w:style>
  <w:style w:type="paragraph" w:styleId="Textkomente">
    <w:name w:val="annotation text"/>
    <w:basedOn w:val="Normln"/>
    <w:link w:val="TextkomenteChar"/>
    <w:rsid w:val="00F67F20"/>
    <w:rPr>
      <w:sz w:val="20"/>
      <w:szCs w:val="20"/>
    </w:rPr>
  </w:style>
  <w:style w:type="character" w:customStyle="1" w:styleId="TextkomenteChar">
    <w:name w:val="Text komentáře Char"/>
    <w:link w:val="Textkomente"/>
    <w:rsid w:val="00F67F20"/>
    <w:rPr>
      <w:lang w:eastAsia="ar-SA"/>
    </w:rPr>
  </w:style>
  <w:style w:type="paragraph" w:styleId="Pedmtkomente">
    <w:name w:val="annotation subject"/>
    <w:basedOn w:val="Textkomente"/>
    <w:next w:val="Textkomente"/>
    <w:link w:val="PedmtkomenteChar"/>
    <w:rsid w:val="00F67F20"/>
    <w:rPr>
      <w:b/>
      <w:bCs/>
    </w:rPr>
  </w:style>
  <w:style w:type="character" w:customStyle="1" w:styleId="PedmtkomenteChar">
    <w:name w:val="Předmět komentáře Char"/>
    <w:link w:val="Pedmtkomente"/>
    <w:rsid w:val="00F67F20"/>
    <w:rPr>
      <w:b/>
      <w:bCs/>
      <w:lang w:eastAsia="ar-SA"/>
    </w:rPr>
  </w:style>
  <w:style w:type="character" w:styleId="Nevyeenzmnka">
    <w:name w:val="Unresolved Mention"/>
    <w:basedOn w:val="Standardnpsmoodstavce"/>
    <w:uiPriority w:val="99"/>
    <w:semiHidden/>
    <w:unhideWhenUsed/>
    <w:rsid w:val="00BD3E0B"/>
    <w:rPr>
      <w:color w:val="605E5C"/>
      <w:shd w:val="clear" w:color="auto" w:fill="E1DFDD"/>
    </w:rPr>
  </w:style>
  <w:style w:type="table" w:styleId="Mkatabulky">
    <w:name w:val="Table Grid"/>
    <w:basedOn w:val="Normlntabulka"/>
    <w:rsid w:val="008E3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571366">
      <w:bodyDiv w:val="1"/>
      <w:marLeft w:val="0"/>
      <w:marRight w:val="0"/>
      <w:marTop w:val="0"/>
      <w:marBottom w:val="0"/>
      <w:divBdr>
        <w:top w:val="none" w:sz="0" w:space="0" w:color="auto"/>
        <w:left w:val="none" w:sz="0" w:space="0" w:color="auto"/>
        <w:bottom w:val="none" w:sz="0" w:space="0" w:color="auto"/>
        <w:right w:val="none" w:sz="0" w:space="0" w:color="auto"/>
      </w:divBdr>
    </w:div>
    <w:div w:id="1467577013">
      <w:bodyDiv w:val="1"/>
      <w:marLeft w:val="0"/>
      <w:marRight w:val="0"/>
      <w:marTop w:val="0"/>
      <w:marBottom w:val="0"/>
      <w:divBdr>
        <w:top w:val="none" w:sz="0" w:space="0" w:color="auto"/>
        <w:left w:val="none" w:sz="0" w:space="0" w:color="auto"/>
        <w:bottom w:val="none" w:sz="0" w:space="0" w:color="auto"/>
        <w:right w:val="none" w:sz="0" w:space="0" w:color="auto"/>
      </w:divBdr>
    </w:div>
    <w:div w:id="1498617852">
      <w:bodyDiv w:val="1"/>
      <w:marLeft w:val="0"/>
      <w:marRight w:val="0"/>
      <w:marTop w:val="0"/>
      <w:marBottom w:val="0"/>
      <w:divBdr>
        <w:top w:val="none" w:sz="0" w:space="0" w:color="auto"/>
        <w:left w:val="none" w:sz="0" w:space="0" w:color="auto"/>
        <w:bottom w:val="none" w:sz="0" w:space="0" w:color="auto"/>
        <w:right w:val="none" w:sz="0" w:space="0" w:color="auto"/>
      </w:divBdr>
    </w:div>
    <w:div w:id="1532037450">
      <w:bodyDiv w:val="1"/>
      <w:marLeft w:val="0"/>
      <w:marRight w:val="0"/>
      <w:marTop w:val="0"/>
      <w:marBottom w:val="0"/>
      <w:divBdr>
        <w:top w:val="none" w:sz="0" w:space="0" w:color="auto"/>
        <w:left w:val="none" w:sz="0" w:space="0" w:color="auto"/>
        <w:bottom w:val="none" w:sz="0" w:space="0" w:color="auto"/>
        <w:right w:val="none" w:sz="0" w:space="0" w:color="auto"/>
      </w:divBdr>
    </w:div>
    <w:div w:id="1549755341">
      <w:bodyDiv w:val="1"/>
      <w:marLeft w:val="0"/>
      <w:marRight w:val="0"/>
      <w:marTop w:val="0"/>
      <w:marBottom w:val="0"/>
      <w:divBdr>
        <w:top w:val="none" w:sz="0" w:space="0" w:color="auto"/>
        <w:left w:val="none" w:sz="0" w:space="0" w:color="auto"/>
        <w:bottom w:val="none" w:sz="0" w:space="0" w:color="auto"/>
        <w:right w:val="none" w:sz="0" w:space="0" w:color="auto"/>
      </w:divBdr>
    </w:div>
    <w:div w:id="2092004346">
      <w:bodyDiv w:val="1"/>
      <w:marLeft w:val="0"/>
      <w:marRight w:val="0"/>
      <w:marTop w:val="0"/>
      <w:marBottom w:val="0"/>
      <w:divBdr>
        <w:top w:val="none" w:sz="0" w:space="0" w:color="auto"/>
        <w:left w:val="none" w:sz="0" w:space="0" w:color="auto"/>
        <w:bottom w:val="none" w:sz="0" w:space="0" w:color="auto"/>
        <w:right w:val="none" w:sz="0" w:space="0" w:color="auto"/>
      </w:divBdr>
    </w:div>
    <w:div w:id="213355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denred.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2522</Words>
  <Characters>14881</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Rámcová kupní smlouva na dodávky</vt:lpstr>
    </vt:vector>
  </TitlesOfParts>
  <Company>PL Opava</Company>
  <LinksUpToDate>false</LinksUpToDate>
  <CharactersWithSpaces>17369</CharactersWithSpaces>
  <SharedDoc>false</SharedDoc>
  <HLinks>
    <vt:vector size="12" baseType="variant">
      <vt:variant>
        <vt:i4>7405675</vt:i4>
      </vt:variant>
      <vt:variant>
        <vt:i4>3</vt:i4>
      </vt:variant>
      <vt:variant>
        <vt:i4>0</vt:i4>
      </vt:variant>
      <vt:variant>
        <vt:i4>5</vt:i4>
      </vt:variant>
      <vt:variant>
        <vt:lpwstr>http://www.edenred.cz/</vt:lpwstr>
      </vt:variant>
      <vt:variant>
        <vt:lpwstr/>
      </vt:variant>
      <vt:variant>
        <vt:i4>6553675</vt:i4>
      </vt:variant>
      <vt:variant>
        <vt:i4>0</vt:i4>
      </vt:variant>
      <vt:variant>
        <vt:i4>0</vt:i4>
      </vt:variant>
      <vt:variant>
        <vt:i4>5</vt:i4>
      </vt:variant>
      <vt:variant>
        <vt:lpwstr>mailto:kurica@pnopava.cz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kupní smlouva na dodávky</dc:title>
  <dc:subject/>
  <dc:creator>Kurica</dc:creator>
  <cp:keywords/>
  <cp:lastModifiedBy>Škaroupka Michal</cp:lastModifiedBy>
  <cp:revision>6</cp:revision>
  <cp:lastPrinted>2024-01-18T06:15:00Z</cp:lastPrinted>
  <dcterms:created xsi:type="dcterms:W3CDTF">2024-01-23T06:48:00Z</dcterms:created>
  <dcterms:modified xsi:type="dcterms:W3CDTF">2024-02-05T06:04:00Z</dcterms:modified>
</cp:coreProperties>
</file>