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7221300287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Petrůvka</w:t>
      </w:r>
    </w:p>
    <w:p>
      <w:pPr>
        <w:pStyle w:val="BodyText"/>
        <w:tabs>
          <w:tab w:pos="2982" w:val="left" w:leader="none"/>
        </w:tabs>
        <w:ind w:left="102" w:right="1792"/>
      </w:pPr>
      <w:r>
        <w:rPr/>
        <w:t>kontaktní adresa:</w:t>
        <w:tab/>
        <w:t>Obecní</w:t>
      </w:r>
      <w:r>
        <w:rPr>
          <w:spacing w:val="-6"/>
        </w:rPr>
        <w:t> </w:t>
      </w:r>
      <w:r>
        <w:rPr/>
        <w:t>úřad</w:t>
      </w:r>
      <w:r>
        <w:rPr>
          <w:spacing w:val="-6"/>
        </w:rPr>
        <w:t> </w:t>
      </w:r>
      <w:r>
        <w:rPr/>
        <w:t>Petrůvka,</w:t>
      </w:r>
      <w:r>
        <w:rPr>
          <w:spacing w:val="-6"/>
        </w:rPr>
        <w:t> </w:t>
      </w:r>
      <w:r>
        <w:rPr/>
        <w:t>Petrůvka</w:t>
      </w:r>
      <w:r>
        <w:rPr>
          <w:spacing w:val="-4"/>
        </w:rPr>
        <w:t> </w:t>
      </w:r>
      <w:r>
        <w:rPr/>
        <w:t>č.</w:t>
      </w:r>
      <w:r>
        <w:rPr>
          <w:spacing w:val="-5"/>
        </w:rPr>
        <w:t> </w:t>
      </w:r>
      <w:r>
        <w:rPr/>
        <w:t>p.</w:t>
      </w:r>
      <w:r>
        <w:rPr>
          <w:spacing w:val="-5"/>
        </w:rPr>
        <w:t> </w:t>
      </w:r>
      <w:r>
        <w:rPr/>
        <w:t>90,</w:t>
      </w:r>
      <w:r>
        <w:rPr>
          <w:spacing w:val="-6"/>
        </w:rPr>
        <w:t> </w:t>
      </w:r>
      <w:r>
        <w:rPr/>
        <w:t>763</w:t>
      </w:r>
      <w:r>
        <w:rPr>
          <w:spacing w:val="-3"/>
        </w:rPr>
        <w:t> </w:t>
      </w:r>
      <w:r>
        <w:rPr/>
        <w:t>21</w:t>
      </w:r>
      <w:r>
        <w:rPr>
          <w:spacing w:val="-4"/>
        </w:rPr>
        <w:t> </w:t>
      </w:r>
      <w:r>
        <w:rPr/>
        <w:t>Slavičín </w:t>
      </w:r>
      <w:r>
        <w:rPr>
          <w:spacing w:val="-4"/>
        </w:rPr>
        <w:t>IČO:</w:t>
      </w:r>
      <w:r>
        <w:rPr/>
        <w:tab/>
      </w:r>
      <w:r>
        <w:rPr>
          <w:spacing w:val="-2"/>
        </w:rPr>
        <w:t>68731957</w:t>
      </w:r>
    </w:p>
    <w:p>
      <w:pPr>
        <w:pStyle w:val="BodyText"/>
        <w:tabs>
          <w:tab w:pos="2982" w:val="left" w:leader="none"/>
        </w:tabs>
        <w:spacing w:line="265" w:lineRule="exact"/>
        <w:ind w:left="102"/>
      </w:pPr>
      <w:r>
        <w:rPr>
          <w:spacing w:val="-2"/>
        </w:rPr>
        <w:t>zastoupená:</w:t>
      </w:r>
      <w:r>
        <w:rPr/>
        <w:tab/>
        <w:t>Zdenkou</w:t>
      </w:r>
      <w:r>
        <w:rPr>
          <w:spacing w:val="-2"/>
        </w:rPr>
        <w:t> </w:t>
      </w:r>
      <w:r>
        <w:rPr/>
        <w:t>S</w:t>
      </w:r>
      <w:r>
        <w:rPr>
          <w:spacing w:val="-1"/>
        </w:rPr>
        <w:t> </w:t>
      </w:r>
      <w:r>
        <w:rPr/>
        <w:t>l</w:t>
      </w:r>
      <w:r>
        <w:rPr>
          <w:spacing w:val="-3"/>
        </w:rPr>
        <w:t> </w:t>
      </w:r>
      <w:r>
        <w:rPr/>
        <w:t>a</w:t>
      </w:r>
      <w:r>
        <w:rPr>
          <w:spacing w:val="-2"/>
        </w:rPr>
        <w:t> </w:t>
      </w:r>
      <w:r>
        <w:rPr/>
        <w:t>n</w:t>
      </w:r>
      <w:r>
        <w:rPr>
          <w:spacing w:val="-2"/>
        </w:rPr>
        <w:t> </w:t>
      </w:r>
      <w:r>
        <w:rPr/>
        <w:t>í</w:t>
      </w:r>
      <w:r>
        <w:rPr>
          <w:spacing w:val="-3"/>
        </w:rPr>
        <w:t> </w:t>
      </w:r>
      <w:r>
        <w:rPr/>
        <w:t>k</w:t>
      </w:r>
      <w:r>
        <w:rPr>
          <w:spacing w:val="-1"/>
        </w:rPr>
        <w:t> </w:t>
      </w:r>
      <w:r>
        <w:rPr/>
        <w:t>o</w:t>
      </w:r>
      <w:r>
        <w:rPr>
          <w:spacing w:val="-2"/>
        </w:rPr>
        <w:t> </w:t>
      </w:r>
      <w:r>
        <w:rPr/>
        <w:t>v</w:t>
      </w:r>
      <w:r>
        <w:rPr>
          <w:spacing w:val="-1"/>
        </w:rPr>
        <w:t> </w:t>
      </w:r>
      <w:r>
        <w:rPr/>
        <w:t>o</w:t>
      </w:r>
      <w:r>
        <w:rPr>
          <w:spacing w:val="-2"/>
        </w:rPr>
        <w:t> </w:t>
      </w:r>
      <w:r>
        <w:rPr/>
        <w:t>u,</w:t>
      </w:r>
      <w:r>
        <w:rPr>
          <w:spacing w:val="-1"/>
        </w:rPr>
        <w:t> </w:t>
      </w:r>
      <w:r>
        <w:rPr>
          <w:spacing w:val="-2"/>
        </w:rPr>
        <w:t>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94-8912661/0710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7221300287 o poskytnutí finančních prostředků ze Státního fondu životního prostředí ČR ze dne 4. 8.2023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94"/>
        <w:jc w:val="both"/>
      </w:pPr>
      <w:r>
        <w:rPr/>
        <w:t>„FVE</w:t>
      </w:r>
      <w:r>
        <w:rPr>
          <w:spacing w:val="-8"/>
        </w:rPr>
        <w:t> </w:t>
      </w:r>
      <w:r>
        <w:rPr/>
        <w:t>Kulturní</w:t>
      </w:r>
      <w:r>
        <w:rPr>
          <w:spacing w:val="-7"/>
        </w:rPr>
        <w:t> </w:t>
      </w:r>
      <w:r>
        <w:rPr/>
        <w:t>dům</w:t>
      </w:r>
      <w:r>
        <w:rPr>
          <w:spacing w:val="-7"/>
        </w:rPr>
        <w:t> </w:t>
      </w:r>
      <w:r>
        <w:rPr/>
        <w:t>Petrůvka</w:t>
      </w:r>
      <w:r>
        <w:rPr>
          <w:spacing w:val="-7"/>
        </w:rPr>
        <w:t> </w:t>
      </w:r>
      <w:r>
        <w:rPr>
          <w:spacing w:val="-5"/>
        </w:rPr>
        <w:t>39“</w:t>
      </w:r>
    </w:p>
    <w:p>
      <w:pPr>
        <w:pStyle w:val="BodyText"/>
        <w:spacing w:before="118"/>
        <w:ind w:left="385"/>
      </w:pPr>
      <w:r>
        <w:rPr/>
        <w:t>(dále</w:t>
      </w:r>
      <w:r>
        <w:rPr>
          <w:spacing w:val="-6"/>
        </w:rPr>
        <w:t> </w:t>
      </w:r>
      <w:r>
        <w:rPr/>
        <w:t>jen</w:t>
      </w:r>
      <w:r>
        <w:rPr>
          <w:spacing w:val="-5"/>
        </w:rPr>
        <w:t> </w:t>
      </w:r>
      <w:r>
        <w:rPr/>
        <w:t>„projekt“</w:t>
      </w:r>
      <w:r>
        <w:rPr>
          <w:spacing w:val="-5"/>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701</w:t>
      </w:r>
      <w:r>
        <w:rPr>
          <w:b/>
          <w:spacing w:val="-1"/>
          <w:sz w:val="20"/>
        </w:rPr>
        <w:t> </w:t>
      </w:r>
      <w:r>
        <w:rPr>
          <w:b/>
          <w:sz w:val="20"/>
        </w:rPr>
        <w:t>610,72 Kč </w:t>
      </w:r>
      <w:r>
        <w:rPr>
          <w:sz w:val="20"/>
        </w:rPr>
        <w:t>(slovy: sedm set jeden tisíc šest set deset korun českých a sedmdesát dva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1 010 630,60 Kč.</w:t>
      </w:r>
    </w:p>
    <w:p>
      <w:pPr>
        <w:pStyle w:val="ListParagraph"/>
        <w:numPr>
          <w:ilvl w:val="0"/>
          <w:numId w:val="2"/>
        </w:numPr>
        <w:tabs>
          <w:tab w:pos="386" w:val="left" w:leader="none"/>
        </w:tabs>
        <w:spacing w:line="240" w:lineRule="auto" w:before="122"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0"/>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right="3148"/>
      </w:pPr>
      <w:r>
        <w:rPr/>
        <w:t>Platební</w:t>
      </w:r>
      <w:r>
        <w:rPr>
          <w:spacing w:val="-8"/>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7"/>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0"/>
          <w:numId w:val="3"/>
        </w:numPr>
        <w:tabs>
          <w:tab w:pos="386" w:val="left" w:leader="none"/>
        </w:tabs>
        <w:spacing w:line="240" w:lineRule="auto" w:before="10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line="265" w:lineRule="exact" w:before="188"/>
        <w:ind w:left="3140"/>
      </w:pPr>
      <w:r>
        <w:rPr>
          <w:spacing w:val="-5"/>
        </w:rPr>
        <w:t>IV.</w:t>
      </w:r>
    </w:p>
    <w:p>
      <w:pPr>
        <w:pStyle w:val="Heading2"/>
        <w:spacing w:line="265" w:lineRule="exact"/>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 účel akce „FVE Kulturní dům Petrůvka 39“ tím, že akce bude provedena v souladu</w:t>
      </w:r>
      <w:r>
        <w:rPr>
          <w:spacing w:val="19"/>
          <w:sz w:val="20"/>
        </w:rPr>
        <w:t> </w:t>
      </w:r>
      <w:r>
        <w:rPr>
          <w:sz w:val="20"/>
        </w:rPr>
        <w:t>s</w:t>
      </w:r>
      <w:r>
        <w:rPr>
          <w:spacing w:val="-2"/>
          <w:sz w:val="20"/>
        </w:rPr>
        <w:t> </w:t>
      </w:r>
      <w:r>
        <w:rPr>
          <w:sz w:val="20"/>
        </w:rPr>
        <w:t>Výzvou,</w:t>
      </w:r>
      <w:r>
        <w:rPr>
          <w:spacing w:val="40"/>
          <w:sz w:val="20"/>
        </w:rPr>
        <w:t> </w:t>
      </w:r>
      <w:r>
        <w:rPr>
          <w:sz w:val="20"/>
        </w:rPr>
        <w:t>žádostí o podporu a jejími přílohami a touto Smlouvou,</w:t>
      </w:r>
    </w:p>
    <w:p>
      <w:pPr>
        <w:pStyle w:val="ListParagraph"/>
        <w:numPr>
          <w:ilvl w:val="1"/>
          <w:numId w:val="4"/>
        </w:numPr>
        <w:tabs>
          <w:tab w:pos="746" w:val="left" w:leader="none"/>
          <w:tab w:pos="1669" w:val="left" w:leader="none"/>
          <w:tab w:pos="2625" w:val="left" w:leader="none"/>
          <w:tab w:pos="3352" w:val="left" w:leader="none"/>
          <w:tab w:pos="4489" w:val="left" w:leader="none"/>
          <w:tab w:pos="5139" w:val="left" w:leader="none"/>
          <w:tab w:pos="6499" w:val="left" w:leader="none"/>
          <w:tab w:pos="7598" w:val="left" w:leader="none"/>
          <w:tab w:pos="8007" w:val="left" w:leader="none"/>
          <w:tab w:pos="8797" w:val="left" w:leader="none"/>
        </w:tabs>
        <w:spacing w:line="237" w:lineRule="auto" w:before="3" w:after="0"/>
        <w:ind w:left="745" w:right="113"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19,80 kWp a instalací akumulace o kapacitě 20,40 kWh,</w:t>
      </w:r>
    </w:p>
    <w:p>
      <w:pPr>
        <w:pStyle w:val="ListParagraph"/>
        <w:numPr>
          <w:ilvl w:val="1"/>
          <w:numId w:val="4"/>
        </w:numPr>
        <w:tabs>
          <w:tab w:pos="745" w:val="left" w:leader="none"/>
          <w:tab w:pos="746" w:val="left" w:leader="none"/>
        </w:tabs>
        <w:spacing w:line="240" w:lineRule="auto" w:before="122"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20.40</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19.80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13.04</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39.46</w:t>
            </w:r>
          </w:p>
        </w:tc>
      </w:tr>
      <w:tr>
        <w:trPr>
          <w:trHeight w:val="505"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15.17</w:t>
            </w:r>
          </w:p>
        </w:tc>
      </w:tr>
    </w:tbl>
    <w:p>
      <w:pPr>
        <w:pStyle w:val="BodyText"/>
        <w:spacing w:before="2"/>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7" w:hanging="284"/>
        <w:jc w:val="both"/>
        <w:rPr>
          <w:sz w:val="20"/>
        </w:rPr>
      </w:pPr>
      <w:r>
        <w:rPr>
          <w:sz w:val="20"/>
        </w:rPr>
        <w:t>vrátit</w:t>
      </w:r>
      <w:r>
        <w:rPr>
          <w:spacing w:val="-10"/>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2"/>
          <w:sz w:val="20"/>
        </w:rPr>
        <w:t> </w:t>
      </w:r>
      <w:r>
        <w:rPr>
          <w:sz w:val="20"/>
        </w:rPr>
        <w:t>souvislosti</w:t>
      </w:r>
      <w:r>
        <w:rPr>
          <w:spacing w:val="-14"/>
          <w:sz w:val="20"/>
        </w:rPr>
        <w:t> </w:t>
      </w:r>
      <w:r>
        <w:rPr>
          <w:sz w:val="20"/>
        </w:rPr>
        <w:t>příjemce</w:t>
      </w:r>
      <w:r>
        <w:rPr>
          <w:spacing w:val="-14"/>
          <w:sz w:val="20"/>
        </w:rPr>
        <w:t> </w:t>
      </w:r>
      <w:r>
        <w:rPr>
          <w:sz w:val="20"/>
        </w:rPr>
        <w:t>podpory</w:t>
      </w:r>
      <w:r>
        <w:rPr>
          <w:spacing w:val="-11"/>
          <w:sz w:val="20"/>
        </w:rPr>
        <w:t> </w:t>
      </w:r>
      <w:r>
        <w:rPr>
          <w:sz w:val="20"/>
        </w:rPr>
        <w:t>prohlašuje,</w:t>
      </w:r>
      <w:r>
        <w:rPr>
          <w:spacing w:val="-11"/>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4"/>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6"/>
          <w:sz w:val="20"/>
        </w:rPr>
        <w:t> </w:t>
      </w:r>
      <w:r>
        <w:rPr>
          <w:sz w:val="20"/>
        </w:rPr>
        <w:t>veřejných</w:t>
      </w:r>
      <w:r>
        <w:rPr>
          <w:spacing w:val="-6"/>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5"/>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7"/>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2"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0"/>
          <w:numId w:val="6"/>
        </w:numPr>
        <w:tabs>
          <w:tab w:pos="386" w:val="left" w:leader="none"/>
        </w:tabs>
        <w:spacing w:line="237" w:lineRule="auto" w:before="102"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1" w:val="left" w:leader="none"/>
          <w:tab w:pos="1879" w:val="left" w:leader="none"/>
          <w:tab w:pos="2875" w:val="left" w:leader="none"/>
          <w:tab w:pos="3575" w:val="left" w:leader="none"/>
          <w:tab w:pos="3990"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4"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0"/>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2024-01-08T09:13:26Z</dcterms:created>
  <dcterms:modified xsi:type="dcterms:W3CDTF">2024-01-08T09:13:26Z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2024-01-08T00:00:00Z</vt:filetime>
  </property>
</Properties>
</file>