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2D4" w:rsidRDefault="002510B1">
      <w:pPr>
        <w:pStyle w:val="Zkladntext1"/>
        <w:shd w:val="clear" w:color="auto" w:fill="auto"/>
      </w:pPr>
      <w:r>
        <w:rPr>
          <w:b/>
          <w:bCs/>
        </w:rPr>
        <w:t>Dodatek</w:t>
      </w:r>
      <w:r>
        <w:rPr>
          <w:b/>
          <w:bCs/>
        </w:rPr>
        <w:br/>
        <w:t>ke smlouvě o poskytování právních služeb ze dne 10. 06. 2019,</w:t>
      </w:r>
      <w:r>
        <w:rPr>
          <w:b/>
          <w:bCs/>
        </w:rPr>
        <w:br/>
        <w:t>č. NPU-310/45701/2019; ev. č. 152/310/2019</w:t>
      </w:r>
    </w:p>
    <w:p w:rsidR="00DF12D4" w:rsidRDefault="002510B1">
      <w:pPr>
        <w:pStyle w:val="Zkladntext1"/>
        <w:shd w:val="clear" w:color="auto" w:fill="auto"/>
      </w:pPr>
      <w:r>
        <w:t>uzavřený níže uvedeného dne, měsíce a roku mezi</w:t>
      </w:r>
    </w:p>
    <w:p w:rsidR="00DF12D4" w:rsidRDefault="002510B1">
      <w:pPr>
        <w:pStyle w:val="Zkladntext1"/>
        <w:shd w:val="clear" w:color="auto" w:fill="auto"/>
      </w:pPr>
      <w:r>
        <w:rPr>
          <w:b/>
          <w:bCs/>
        </w:rPr>
        <w:t>Národním památkovým ústavem,</w:t>
      </w:r>
      <w:r>
        <w:rPr>
          <w:b/>
          <w:bCs/>
        </w:rPr>
        <w:br/>
        <w:t>státní příspěvková organizace</w:t>
      </w:r>
      <w:r>
        <w:rPr>
          <w:b/>
          <w:bCs/>
        </w:rPr>
        <w:br/>
      </w:r>
      <w:r>
        <w:t>IČO: 75032333, DIČ: CZ75032333</w:t>
      </w:r>
      <w:r>
        <w:br/>
        <w:t xml:space="preserve">se </w:t>
      </w:r>
      <w:r>
        <w:t>sídlem: Valdštejnské nám. 3/162, 118 01 Praha 1</w:t>
      </w:r>
      <w:r>
        <w:br/>
        <w:t>zastoupený generální ředitelkou Ing. arch. Naděždou Goryczkovou</w:t>
      </w:r>
      <w:r>
        <w:br/>
        <w:t>identifikátor datové schránky: 2cy8h6t</w:t>
      </w:r>
      <w:r>
        <w:br/>
        <w:t xml:space="preserve">e-mail: </w:t>
      </w:r>
      <w:hyperlink r:id="rId7" w:history="1">
        <w:r w:rsidR="00041311">
          <w:t>xxx</w:t>
        </w:r>
      </w:hyperlink>
    </w:p>
    <w:p w:rsidR="00DF12D4" w:rsidRDefault="002510B1">
      <w:pPr>
        <w:pStyle w:val="Zkladntext1"/>
        <w:shd w:val="clear" w:color="auto" w:fill="auto"/>
      </w:pPr>
      <w:r>
        <w:rPr>
          <w:b/>
          <w:bCs/>
        </w:rPr>
        <w:t xml:space="preserve">- </w:t>
      </w:r>
      <w:r>
        <w:t>dále také jen „</w:t>
      </w:r>
      <w:r>
        <w:rPr>
          <w:b/>
          <w:bCs/>
          <w:i/>
          <w:iCs/>
        </w:rPr>
        <w:t>Národní památkový ústav</w:t>
      </w:r>
      <w:r>
        <w:t xml:space="preserve">“ </w:t>
      </w:r>
      <w:r>
        <w:rPr>
          <w:b/>
          <w:bCs/>
        </w:rPr>
        <w:t>-</w:t>
      </w:r>
      <w:r>
        <w:rPr>
          <w:b/>
          <w:bCs/>
        </w:rPr>
        <w:br/>
      </w:r>
      <w:r>
        <w:t>jako klientem na straně jedné</w:t>
      </w:r>
    </w:p>
    <w:p w:rsidR="00DF12D4" w:rsidRDefault="002510B1">
      <w:pPr>
        <w:pStyle w:val="Zkladntext1"/>
        <w:shd w:val="clear" w:color="auto" w:fill="auto"/>
        <w:spacing w:after="0"/>
      </w:pPr>
      <w:r>
        <w:t>a</w:t>
      </w:r>
    </w:p>
    <w:p w:rsidR="00DF12D4" w:rsidRDefault="002510B1">
      <w:pPr>
        <w:pStyle w:val="Zkladntext1"/>
        <w:shd w:val="clear" w:color="auto" w:fill="auto"/>
        <w:spacing w:after="0"/>
      </w:pPr>
      <w:r>
        <w:rPr>
          <w:b/>
          <w:bCs/>
        </w:rPr>
        <w:t>Vejmelka &amp; Wunsch, s. r. o.</w:t>
      </w:r>
    </w:p>
    <w:p w:rsidR="00DF12D4" w:rsidRDefault="002510B1">
      <w:pPr>
        <w:pStyle w:val="Zkladntext1"/>
        <w:shd w:val="clear" w:color="auto" w:fill="auto"/>
        <w:spacing w:after="0"/>
      </w:pPr>
      <w:r>
        <w:t>IČO: 262 10 185</w:t>
      </w:r>
      <w:r>
        <w:br/>
        <w:t>se sídlem: Italská 753/27, Vinohrady, 120 00 Praha 2,</w:t>
      </w:r>
      <w:r>
        <w:br/>
        <w:t>zastoupená JUDr. Petrem Wunschem, jednatelem</w:t>
      </w:r>
      <w:r>
        <w:br/>
        <w:t>zapsanou v obchod</w:t>
      </w:r>
      <w:r>
        <w:t>ním rejstříku vedeném Městským soudem v Praze, oddíl C, vložka 124636</w:t>
      </w:r>
      <w:r>
        <w:br/>
        <w:t>identifikátor datové schránky: uq49z7h</w:t>
      </w:r>
    </w:p>
    <w:p w:rsidR="00DF12D4" w:rsidRDefault="002510B1">
      <w:pPr>
        <w:pStyle w:val="Zkladntext1"/>
        <w:shd w:val="clear" w:color="auto" w:fill="auto"/>
      </w:pPr>
      <w:r>
        <w:t xml:space="preserve">e-mail: </w:t>
      </w:r>
      <w:hyperlink r:id="rId8" w:history="1">
        <w:r w:rsidR="00041311">
          <w:t>xxx</w:t>
        </w:r>
      </w:hyperlink>
      <w:r>
        <w:br/>
        <w:t xml:space="preserve">telefon: </w:t>
      </w:r>
      <w:r w:rsidR="00041311">
        <w:t>xxx</w:t>
      </w:r>
      <w:r>
        <w:br/>
        <w:t xml:space="preserve">fax: </w:t>
      </w:r>
      <w:r w:rsidR="00041311">
        <w:t>xxx</w:t>
      </w:r>
    </w:p>
    <w:p w:rsidR="00DF12D4" w:rsidRDefault="002510B1">
      <w:pPr>
        <w:pStyle w:val="Zkladntext1"/>
        <w:shd w:val="clear" w:color="auto" w:fill="auto"/>
        <w:spacing w:after="440"/>
      </w:pPr>
      <w:r>
        <w:rPr>
          <w:b/>
          <w:bCs/>
        </w:rPr>
        <w:t xml:space="preserve">- </w:t>
      </w:r>
      <w:r>
        <w:t>dále také jen „</w:t>
      </w:r>
      <w:r>
        <w:rPr>
          <w:b/>
          <w:bCs/>
          <w:i/>
          <w:iCs/>
        </w:rPr>
        <w:t>advokátní kancelář</w:t>
      </w:r>
      <w:r>
        <w:t xml:space="preserve">“ </w:t>
      </w:r>
      <w:r>
        <w:rPr>
          <w:b/>
          <w:bCs/>
        </w:rPr>
        <w:t>-</w:t>
      </w:r>
      <w:r>
        <w:rPr>
          <w:b/>
          <w:bCs/>
        </w:rPr>
        <w:br/>
      </w:r>
      <w:r>
        <w:t>jako pr</w:t>
      </w:r>
      <w:r>
        <w:t>ávním poradcem na straně druhé</w:t>
      </w:r>
    </w:p>
    <w:p w:rsidR="00DF12D4" w:rsidRDefault="002510B1">
      <w:pPr>
        <w:pStyle w:val="Zkladntext1"/>
        <w:shd w:val="clear" w:color="auto" w:fill="auto"/>
        <w:spacing w:after="840"/>
      </w:pPr>
      <w:r>
        <w:t>(klient a advokátní kancelář společně dále jen „</w:t>
      </w:r>
      <w:r>
        <w:rPr>
          <w:b/>
          <w:bCs/>
          <w:i/>
          <w:iCs/>
        </w:rPr>
        <w:t>smluvní strany</w:t>
      </w:r>
      <w:r>
        <w:t>“ a jednotlivě „</w:t>
      </w:r>
      <w:r>
        <w:rPr>
          <w:b/>
          <w:bCs/>
          <w:i/>
          <w:iCs/>
        </w:rPr>
        <w:t>smluvní strana</w:t>
      </w:r>
      <w:r>
        <w:t>“).</w:t>
      </w:r>
    </w:p>
    <w:p w:rsidR="00DF12D4" w:rsidRDefault="002510B1">
      <w:pPr>
        <w:pStyle w:val="Zkladntext1"/>
        <w:numPr>
          <w:ilvl w:val="0"/>
          <w:numId w:val="1"/>
        </w:numPr>
        <w:shd w:val="clear" w:color="auto" w:fill="auto"/>
        <w:tabs>
          <w:tab w:val="left" w:pos="566"/>
        </w:tabs>
        <w:ind w:left="580" w:hanging="580"/>
        <w:jc w:val="both"/>
      </w:pPr>
      <w:r>
        <w:t>Smluvní strany se dohodly na tom, že ustanovení bodu 5.1 smlouvy o poskytování právních služeb ze dne 10. 06. 2019, č. NPU-310/45</w:t>
      </w:r>
      <w:r>
        <w:t>701/2019; ev.č. 152/310/2019 (dále jen „smlouva o poskytování právních služeb“) se nahrazuje tímto zněním:</w:t>
      </w:r>
    </w:p>
    <w:p w:rsidR="00DF12D4" w:rsidRDefault="002510B1">
      <w:pPr>
        <w:pStyle w:val="Zkladntext1"/>
        <w:shd w:val="clear" w:color="auto" w:fill="auto"/>
        <w:ind w:left="580"/>
        <w:jc w:val="both"/>
      </w:pPr>
      <w:r>
        <w:t xml:space="preserve">„5.1 Za právní služby poskytované podle této smlouvy je Národní památkový ústav povinen zaplatit advokátní kanceláři odměnu. Odměna se sjednává jako </w:t>
      </w:r>
      <w:r>
        <w:t>odměna časová na hodinové bázi, kdy za každou hodinu strávenou poskytováním právních služeb náleží advokátní kanceláři odměna ve výši 2.000,- Kč plus DPH v zákonné výši. Za čas strávený na cestě k poskytování služeb mimo město sídla advokátní kanceláře (zp</w:t>
      </w:r>
      <w:r>
        <w:t>ravidla za účelem účasti na soudním jednání) náleží advokátní kanceláři kromě náhrady nákladů vynaložených na cestu (bod 5.7 této smlouvy níže) i náhrada za ztrátu času dle § 13 vyhlášky č. 177/1996 Sb., ve výši 100 Kč za každou i jen započatou půlhodinu.“</w:t>
      </w:r>
      <w:r>
        <w:t>.</w:t>
      </w:r>
    </w:p>
    <w:p w:rsidR="00DF12D4" w:rsidRDefault="002510B1">
      <w:pPr>
        <w:pStyle w:val="Zkladntext1"/>
        <w:numPr>
          <w:ilvl w:val="0"/>
          <w:numId w:val="1"/>
        </w:numPr>
        <w:shd w:val="clear" w:color="auto" w:fill="auto"/>
        <w:tabs>
          <w:tab w:val="left" w:pos="566"/>
        </w:tabs>
        <w:jc w:val="left"/>
      </w:pPr>
      <w:r>
        <w:t>Ostatní ustanovení smlouvy o poskytování právních služeb nejsou tímto dodatkem dotčena.</w:t>
      </w:r>
      <w:r>
        <w:br w:type="page"/>
      </w:r>
    </w:p>
    <w:p w:rsidR="00DF12D4" w:rsidRDefault="002510B1">
      <w:pPr>
        <w:pStyle w:val="Zkladntext1"/>
        <w:numPr>
          <w:ilvl w:val="0"/>
          <w:numId w:val="1"/>
        </w:numPr>
        <w:shd w:val="clear" w:color="auto" w:fill="auto"/>
        <w:tabs>
          <w:tab w:val="left" w:pos="566"/>
        </w:tabs>
        <w:spacing w:after="320" w:line="240" w:lineRule="auto"/>
        <w:jc w:val="left"/>
      </w:pPr>
      <w:r>
        <w:lastRenderedPageBreak/>
        <w:t>Tento dodatek byl sepsán ve dvou vyhotoveních, z nichž každá smluvní strana obdrží po jednom.</w:t>
      </w:r>
    </w:p>
    <w:p w:rsidR="00DF12D4" w:rsidRDefault="002510B1">
      <w:pPr>
        <w:pStyle w:val="Zkladntext1"/>
        <w:numPr>
          <w:ilvl w:val="0"/>
          <w:numId w:val="1"/>
        </w:numPr>
        <w:shd w:val="clear" w:color="auto" w:fill="auto"/>
        <w:tabs>
          <w:tab w:val="left" w:pos="566"/>
        </w:tabs>
        <w:spacing w:after="600" w:line="240" w:lineRule="auto"/>
        <w:jc w:val="left"/>
      </w:pPr>
      <w:r>
        <w:t>Tento dodatek nabývá platnosti jeho uzavřením a účinnosti uveřejněním v</w:t>
      </w:r>
      <w:r>
        <w:t xml:space="preserve"> registru smluv.</w:t>
      </w:r>
    </w:p>
    <w:p w:rsidR="00DF12D4" w:rsidRDefault="002510B1">
      <w:pPr>
        <w:pStyle w:val="Zkladntext1"/>
        <w:shd w:val="clear" w:color="auto" w:fill="auto"/>
        <w:spacing w:after="0" w:line="240" w:lineRule="auto"/>
        <w:ind w:left="2960"/>
        <w:jc w:val="left"/>
        <w:sectPr w:rsidR="00DF12D4">
          <w:pgSz w:w="11900" w:h="16840"/>
          <w:pgMar w:top="1446" w:right="1421" w:bottom="1270" w:left="1325" w:header="1018" w:footer="842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1335405</wp:posOffset>
                </wp:positionH>
                <wp:positionV relativeFrom="paragraph">
                  <wp:posOffset>12700</wp:posOffset>
                </wp:positionV>
                <wp:extent cx="707390" cy="17970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F12D4" w:rsidRDefault="002510B1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V Praze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05.15000000000001pt;margin-top:1.pt;width:55.700000000000003pt;height:14.1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 dne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V Praze dne 31. 01. 2024</w:t>
      </w:r>
    </w:p>
    <w:p w:rsidR="00DF12D4" w:rsidRDefault="00DF12D4">
      <w:pPr>
        <w:spacing w:line="239" w:lineRule="exact"/>
        <w:rPr>
          <w:sz w:val="19"/>
          <w:szCs w:val="19"/>
        </w:rPr>
      </w:pPr>
    </w:p>
    <w:p w:rsidR="00DF12D4" w:rsidRDefault="00DF12D4">
      <w:pPr>
        <w:spacing w:line="1" w:lineRule="exact"/>
        <w:sectPr w:rsidR="00DF12D4">
          <w:type w:val="continuous"/>
          <w:pgSz w:w="11900" w:h="16840"/>
          <w:pgMar w:top="1734" w:right="0" w:bottom="10860" w:left="0" w:header="0" w:footer="3" w:gutter="0"/>
          <w:cols w:space="720"/>
          <w:noEndnote/>
          <w:docGrid w:linePitch="360"/>
        </w:sectPr>
      </w:pPr>
    </w:p>
    <w:p w:rsidR="00DF12D4" w:rsidRDefault="002510B1">
      <w:pPr>
        <w:pStyle w:val="Zkladntext1"/>
        <w:framePr w:w="2573" w:h="1253" w:wrap="none" w:vAnchor="text" w:hAnchor="page" w:x="2099" w:y="21"/>
        <w:shd w:val="clear" w:color="auto" w:fill="auto"/>
        <w:spacing w:after="140" w:line="240" w:lineRule="auto"/>
        <w:jc w:val="left"/>
      </w:pPr>
      <w:r>
        <w:t>Za Národní památkový ústav</w:t>
      </w:r>
    </w:p>
    <w:p w:rsidR="00DF12D4" w:rsidRDefault="002510B1">
      <w:pPr>
        <w:pStyle w:val="Zkladntext1"/>
        <w:framePr w:w="2731" w:h="293" w:wrap="none" w:vAnchor="text" w:hAnchor="page" w:x="6362" w:y="21"/>
        <w:shd w:val="clear" w:color="auto" w:fill="auto"/>
        <w:spacing w:after="0" w:line="240" w:lineRule="auto"/>
        <w:jc w:val="left"/>
      </w:pPr>
      <w:r>
        <w:t>Za Vejmelka &amp; Wunsch, s. r. o.</w:t>
      </w:r>
    </w:p>
    <w:p w:rsidR="00DF12D4" w:rsidRDefault="00DF12D4">
      <w:pPr>
        <w:spacing w:line="360" w:lineRule="exact"/>
      </w:pPr>
    </w:p>
    <w:p w:rsidR="00DF12D4" w:rsidRDefault="00DF12D4">
      <w:pPr>
        <w:spacing w:line="360" w:lineRule="exact"/>
      </w:pPr>
    </w:p>
    <w:p w:rsidR="00DF12D4" w:rsidRDefault="00DF12D4">
      <w:pPr>
        <w:spacing w:after="575" w:line="1" w:lineRule="exact"/>
      </w:pPr>
    </w:p>
    <w:p w:rsidR="00DF12D4" w:rsidRDefault="00DF12D4">
      <w:pPr>
        <w:spacing w:line="1" w:lineRule="exact"/>
        <w:sectPr w:rsidR="00DF12D4">
          <w:type w:val="continuous"/>
          <w:pgSz w:w="11900" w:h="16840"/>
          <w:pgMar w:top="1734" w:right="1565" w:bottom="10860" w:left="1373" w:header="0" w:footer="3" w:gutter="0"/>
          <w:cols w:space="720"/>
          <w:noEndnote/>
          <w:docGrid w:linePitch="360"/>
        </w:sectPr>
      </w:pPr>
    </w:p>
    <w:p w:rsidR="00DF12D4" w:rsidRDefault="002510B1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1332230</wp:posOffset>
                </wp:positionH>
                <wp:positionV relativeFrom="paragraph">
                  <wp:posOffset>12700</wp:posOffset>
                </wp:positionV>
                <wp:extent cx="1771015" cy="18288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01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F12D4" w:rsidRDefault="002510B1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Ing. arch. Naděžda Goryczková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104.90000000000001pt;margin-top:1.pt;width:139.44999999999999pt;height:14.4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arch. Naděžda Goryczková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F12D4" w:rsidRDefault="002510B1">
      <w:pPr>
        <w:pStyle w:val="Zkladntext1"/>
        <w:pBdr>
          <w:top w:val="single" w:sz="4" w:space="0" w:color="auto"/>
        </w:pBdr>
        <w:shd w:val="clear" w:color="auto" w:fill="auto"/>
        <w:spacing w:after="0" w:line="283" w:lineRule="auto"/>
        <w:ind w:left="1460" w:firstLine="20"/>
        <w:jc w:val="left"/>
      </w:pPr>
      <w:bookmarkStart w:id="0" w:name="_GoBack"/>
      <w:bookmarkEnd w:id="0"/>
      <w:r>
        <w:t>JUDr. Petr Wunsch</w:t>
      </w:r>
      <w:r>
        <w:t xml:space="preserve"> jednatel</w:t>
      </w:r>
    </w:p>
    <w:sectPr w:rsidR="00DF12D4">
      <w:type w:val="continuous"/>
      <w:pgSz w:w="11900" w:h="16840"/>
      <w:pgMar w:top="1734" w:right="1565" w:bottom="1734" w:left="48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0B1" w:rsidRDefault="002510B1">
      <w:r>
        <w:separator/>
      </w:r>
    </w:p>
  </w:endnote>
  <w:endnote w:type="continuationSeparator" w:id="0">
    <w:p w:rsidR="002510B1" w:rsidRDefault="0025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0B1" w:rsidRDefault="002510B1"/>
  </w:footnote>
  <w:footnote w:type="continuationSeparator" w:id="0">
    <w:p w:rsidR="002510B1" w:rsidRDefault="002510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B6D21"/>
    <w:multiLevelType w:val="multilevel"/>
    <w:tmpl w:val="8ED87F6E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D4"/>
    <w:rsid w:val="00041311"/>
    <w:rsid w:val="002510B1"/>
    <w:rsid w:val="00DF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B171B"/>
  <w15:docId w15:val="{97868608-5D44-4755-B333-CDA736DC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 w:line="276" w:lineRule="auto"/>
      <w:jc w:val="center"/>
    </w:pPr>
    <w:rPr>
      <w:rFonts w:ascii="Garamond" w:eastAsia="Garamond" w:hAnsi="Garamond" w:cs="Garamond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90" w:lineRule="auto"/>
      <w:ind w:firstLine="180"/>
    </w:pPr>
    <w:rPr>
      <w:rFonts w:ascii="Arial" w:eastAsia="Arial" w:hAnsi="Arial" w:cs="Arial"/>
      <w:sz w:val="10"/>
      <w:szCs w:val="1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ahoma" w:eastAsia="Tahoma" w:hAnsi="Tahoma" w:cs="Tahoma"/>
      <w:sz w:val="30"/>
      <w:szCs w:val="3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2" w:lineRule="auto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gue@vejwun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podatelna@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338</Words>
  <Characters>1997</Characters>
  <Application>Microsoft Office Word</Application>
  <DocSecurity>0</DocSecurity>
  <Lines>16</Lines>
  <Paragraphs>4</Paragraphs>
  <ScaleCrop>false</ScaleCrop>
  <Company>HP Inc.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V&amp;W</dc:creator>
  <cp:keywords/>
  <cp:lastModifiedBy>Janouchová Miroslava</cp:lastModifiedBy>
  <cp:revision>2</cp:revision>
  <dcterms:created xsi:type="dcterms:W3CDTF">2024-02-02T07:37:00Z</dcterms:created>
  <dcterms:modified xsi:type="dcterms:W3CDTF">2024-02-02T08:24:00Z</dcterms:modified>
</cp:coreProperties>
</file>