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3148" w14:textId="77777777" w:rsidR="00AC0307" w:rsidRDefault="001A1AC4">
      <w:pPr>
        <w:jc w:val="center"/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Přílohy</w:t>
      </w:r>
    </w:p>
    <w:p w14:paraId="48143149" w14:textId="77777777" w:rsidR="00AC0307" w:rsidRDefault="001A1AC4">
      <w:pPr>
        <w:jc w:val="center"/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 xml:space="preserve">Návrh smlouvy </w:t>
      </w:r>
      <w:r>
        <w:rPr>
          <w:rFonts w:asciiTheme="minorHAnsi" w:hAnsiTheme="minorHAnsi" w:cstheme="minorHAnsi"/>
          <w:b/>
          <w:sz w:val="32"/>
          <w:szCs w:val="32"/>
        </w:rPr>
        <w:t>o energetických službách určených veřejnému zadavateli</w:t>
      </w:r>
    </w:p>
    <w:p w14:paraId="4814314A" w14:textId="77777777" w:rsidR="00AC0307" w:rsidRDefault="00AC0307">
      <w:pPr>
        <w:spacing w:line="288" w:lineRule="auto"/>
        <w:rPr>
          <w:rFonts w:ascii="Arial" w:hAnsi="Arial"/>
          <w:b/>
          <w:sz w:val="28"/>
          <w:szCs w:val="28"/>
          <w:lang w:eastAsia="cs-CZ"/>
        </w:rPr>
      </w:pPr>
    </w:p>
    <w:p w14:paraId="4814314B" w14:textId="77777777" w:rsidR="00AC0307" w:rsidRDefault="001A1AC4">
      <w:pPr>
        <w:spacing w:line="288" w:lineRule="auto"/>
        <w:rPr>
          <w:rFonts w:ascii="Arial" w:hAnsi="Arial"/>
          <w:b/>
          <w:sz w:val="28"/>
          <w:szCs w:val="28"/>
          <w:lang w:eastAsia="cs-CZ"/>
        </w:rPr>
      </w:pPr>
      <w:r>
        <w:rPr>
          <w:rFonts w:ascii="Arial" w:hAnsi="Arial"/>
          <w:b/>
          <w:sz w:val="28"/>
          <w:szCs w:val="28"/>
          <w:lang w:eastAsia="cs-CZ"/>
        </w:rPr>
        <w:t>Obsah:</w:t>
      </w:r>
    </w:p>
    <w:p w14:paraId="68F4F36D" w14:textId="28D2350B" w:rsidR="00291795" w:rsidRDefault="001A1AC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rFonts w:ascii="Arial" w:hAnsi="Arial"/>
          <w:b w:val="0"/>
          <w:sz w:val="28"/>
          <w:szCs w:val="28"/>
          <w:lang w:eastAsia="cs-CZ"/>
        </w:rPr>
        <w:fldChar w:fldCharType="begin"/>
      </w:r>
      <w:r>
        <w:rPr>
          <w:rFonts w:ascii="Arial" w:hAnsi="Arial"/>
          <w:b w:val="0"/>
          <w:sz w:val="28"/>
          <w:szCs w:val="28"/>
          <w:lang w:eastAsia="cs-CZ"/>
        </w:rPr>
        <w:instrText xml:space="preserve"> TOC \o "1-1" \h \z \t "Nadpis 2;2;Nadpis 3;3" </w:instrText>
      </w:r>
      <w:r>
        <w:rPr>
          <w:rFonts w:ascii="Arial" w:hAnsi="Arial"/>
          <w:b w:val="0"/>
          <w:sz w:val="28"/>
          <w:szCs w:val="28"/>
          <w:lang w:eastAsia="cs-CZ"/>
        </w:rPr>
        <w:fldChar w:fldCharType="separate"/>
      </w:r>
      <w:hyperlink w:anchor="_Toc129194052" w:history="1">
        <w:r w:rsidR="00291795" w:rsidRPr="00AF5FCE">
          <w:rPr>
            <w:rStyle w:val="Hypertextovodkaz"/>
            <w:noProof/>
          </w:rPr>
          <w:t>Příloha č. 1: Popis výchozího stavu včetně referenční spotřeby a referenčních nákladů</w:t>
        </w:r>
        <w:r w:rsidR="00291795">
          <w:rPr>
            <w:noProof/>
            <w:webHidden/>
          </w:rPr>
          <w:tab/>
        </w:r>
        <w:r w:rsidR="00291795">
          <w:rPr>
            <w:noProof/>
            <w:webHidden/>
          </w:rPr>
          <w:fldChar w:fldCharType="begin"/>
        </w:r>
        <w:r w:rsidR="00291795">
          <w:rPr>
            <w:noProof/>
            <w:webHidden/>
          </w:rPr>
          <w:instrText xml:space="preserve"> PAGEREF _Toc129194052 \h </w:instrText>
        </w:r>
        <w:r w:rsidR="00291795">
          <w:rPr>
            <w:noProof/>
            <w:webHidden/>
          </w:rPr>
        </w:r>
        <w:r w:rsidR="00291795">
          <w:rPr>
            <w:noProof/>
            <w:webHidden/>
          </w:rPr>
          <w:fldChar w:fldCharType="separate"/>
        </w:r>
        <w:r w:rsidR="008B0C22">
          <w:rPr>
            <w:noProof/>
            <w:webHidden/>
          </w:rPr>
          <w:t>2</w:t>
        </w:r>
        <w:r w:rsidR="00291795">
          <w:rPr>
            <w:noProof/>
            <w:webHidden/>
          </w:rPr>
          <w:fldChar w:fldCharType="end"/>
        </w:r>
      </w:hyperlink>
    </w:p>
    <w:p w14:paraId="182B8FEA" w14:textId="249F28AC" w:rsidR="00291795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29194053" w:history="1">
        <w:r w:rsidR="00291795" w:rsidRPr="00AF5FCE">
          <w:rPr>
            <w:rStyle w:val="Hypertextovodkaz"/>
            <w:noProof/>
          </w:rPr>
          <w:t>Příloha č. 2: Popis základních opatření</w:t>
        </w:r>
        <w:r w:rsidR="00291795">
          <w:rPr>
            <w:noProof/>
            <w:webHidden/>
          </w:rPr>
          <w:tab/>
        </w:r>
        <w:r w:rsidR="00291795">
          <w:rPr>
            <w:noProof/>
            <w:webHidden/>
          </w:rPr>
          <w:fldChar w:fldCharType="begin"/>
        </w:r>
        <w:r w:rsidR="00291795">
          <w:rPr>
            <w:noProof/>
            <w:webHidden/>
          </w:rPr>
          <w:instrText xml:space="preserve"> PAGEREF _Toc129194053 \h </w:instrText>
        </w:r>
        <w:r w:rsidR="00291795">
          <w:rPr>
            <w:noProof/>
            <w:webHidden/>
          </w:rPr>
        </w:r>
        <w:r w:rsidR="00291795">
          <w:rPr>
            <w:noProof/>
            <w:webHidden/>
          </w:rPr>
          <w:fldChar w:fldCharType="separate"/>
        </w:r>
        <w:r w:rsidR="008B0C22">
          <w:rPr>
            <w:noProof/>
            <w:webHidden/>
          </w:rPr>
          <w:t>3</w:t>
        </w:r>
        <w:r w:rsidR="00291795">
          <w:rPr>
            <w:noProof/>
            <w:webHidden/>
          </w:rPr>
          <w:fldChar w:fldCharType="end"/>
        </w:r>
      </w:hyperlink>
    </w:p>
    <w:p w14:paraId="5A3CCC63" w14:textId="73CA2ED7" w:rsidR="00291795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29194054" w:history="1">
        <w:r w:rsidR="00291795" w:rsidRPr="00AF5FCE">
          <w:rPr>
            <w:rStyle w:val="Hypertextovodkaz"/>
            <w:noProof/>
          </w:rPr>
          <w:t>Příloha č. 3: Cena a její úhrada</w:t>
        </w:r>
        <w:r w:rsidR="00291795">
          <w:rPr>
            <w:noProof/>
            <w:webHidden/>
          </w:rPr>
          <w:tab/>
        </w:r>
        <w:r w:rsidR="00291795">
          <w:rPr>
            <w:noProof/>
            <w:webHidden/>
          </w:rPr>
          <w:fldChar w:fldCharType="begin"/>
        </w:r>
        <w:r w:rsidR="00291795">
          <w:rPr>
            <w:noProof/>
            <w:webHidden/>
          </w:rPr>
          <w:instrText xml:space="preserve"> PAGEREF _Toc129194054 \h </w:instrText>
        </w:r>
        <w:r w:rsidR="00291795">
          <w:rPr>
            <w:noProof/>
            <w:webHidden/>
          </w:rPr>
        </w:r>
        <w:r w:rsidR="00291795">
          <w:rPr>
            <w:noProof/>
            <w:webHidden/>
          </w:rPr>
          <w:fldChar w:fldCharType="separate"/>
        </w:r>
        <w:r w:rsidR="008B0C22">
          <w:rPr>
            <w:noProof/>
            <w:webHidden/>
          </w:rPr>
          <w:t>4</w:t>
        </w:r>
        <w:r w:rsidR="00291795">
          <w:rPr>
            <w:noProof/>
            <w:webHidden/>
          </w:rPr>
          <w:fldChar w:fldCharType="end"/>
        </w:r>
      </w:hyperlink>
    </w:p>
    <w:p w14:paraId="6979DDA2" w14:textId="2E73D25C" w:rsidR="00291795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29194055" w:history="1">
        <w:r w:rsidR="00291795" w:rsidRPr="00AF5FCE">
          <w:rPr>
            <w:rStyle w:val="Hypertextovodkaz"/>
            <w:noProof/>
          </w:rPr>
          <w:t>Příloha č. 4: Harmonogram realizace projektu</w:t>
        </w:r>
        <w:r w:rsidR="00291795">
          <w:rPr>
            <w:noProof/>
            <w:webHidden/>
          </w:rPr>
          <w:tab/>
        </w:r>
        <w:r w:rsidR="00291795">
          <w:rPr>
            <w:noProof/>
            <w:webHidden/>
          </w:rPr>
          <w:fldChar w:fldCharType="begin"/>
        </w:r>
        <w:r w:rsidR="00291795">
          <w:rPr>
            <w:noProof/>
            <w:webHidden/>
          </w:rPr>
          <w:instrText xml:space="preserve"> PAGEREF _Toc129194055 \h </w:instrText>
        </w:r>
        <w:r w:rsidR="00291795">
          <w:rPr>
            <w:noProof/>
            <w:webHidden/>
          </w:rPr>
        </w:r>
        <w:r w:rsidR="00291795">
          <w:rPr>
            <w:noProof/>
            <w:webHidden/>
          </w:rPr>
          <w:fldChar w:fldCharType="separate"/>
        </w:r>
        <w:r w:rsidR="008B0C22">
          <w:rPr>
            <w:noProof/>
            <w:webHidden/>
          </w:rPr>
          <w:t>7</w:t>
        </w:r>
        <w:r w:rsidR="00291795">
          <w:rPr>
            <w:noProof/>
            <w:webHidden/>
          </w:rPr>
          <w:fldChar w:fldCharType="end"/>
        </w:r>
      </w:hyperlink>
    </w:p>
    <w:p w14:paraId="033890BB" w14:textId="1129726E" w:rsidR="00291795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29194056" w:history="1">
        <w:r w:rsidR="00291795" w:rsidRPr="00AF5FCE">
          <w:rPr>
            <w:rStyle w:val="Hypertextovodkaz"/>
            <w:noProof/>
          </w:rPr>
          <w:t>Příloha č. 5: Výše garantované úspory</w:t>
        </w:r>
        <w:r w:rsidR="00291795">
          <w:rPr>
            <w:noProof/>
            <w:webHidden/>
          </w:rPr>
          <w:tab/>
        </w:r>
        <w:r w:rsidR="00291795">
          <w:rPr>
            <w:noProof/>
            <w:webHidden/>
          </w:rPr>
          <w:fldChar w:fldCharType="begin"/>
        </w:r>
        <w:r w:rsidR="00291795">
          <w:rPr>
            <w:noProof/>
            <w:webHidden/>
          </w:rPr>
          <w:instrText xml:space="preserve"> PAGEREF _Toc129194056 \h </w:instrText>
        </w:r>
        <w:r w:rsidR="00291795">
          <w:rPr>
            <w:noProof/>
            <w:webHidden/>
          </w:rPr>
        </w:r>
        <w:r w:rsidR="00291795">
          <w:rPr>
            <w:noProof/>
            <w:webHidden/>
          </w:rPr>
          <w:fldChar w:fldCharType="separate"/>
        </w:r>
        <w:r w:rsidR="00BA3816">
          <w:rPr>
            <w:noProof/>
            <w:webHidden/>
          </w:rPr>
          <w:t>1</w:t>
        </w:r>
        <w:r w:rsidR="008B0C22">
          <w:rPr>
            <w:noProof/>
            <w:webHidden/>
          </w:rPr>
          <w:t>0</w:t>
        </w:r>
        <w:r w:rsidR="00291795">
          <w:rPr>
            <w:noProof/>
            <w:webHidden/>
          </w:rPr>
          <w:fldChar w:fldCharType="end"/>
        </w:r>
      </w:hyperlink>
    </w:p>
    <w:p w14:paraId="2C151998" w14:textId="697A79F6" w:rsidR="00291795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29194057" w:history="1">
        <w:r w:rsidR="00291795" w:rsidRPr="00AF5FCE">
          <w:rPr>
            <w:rStyle w:val="Hypertextovodkaz"/>
            <w:noProof/>
          </w:rPr>
          <w:t>Příloha č. 6: Vyhodnocování dosažených úspor</w:t>
        </w:r>
        <w:r w:rsidR="00291795">
          <w:rPr>
            <w:noProof/>
            <w:webHidden/>
          </w:rPr>
          <w:tab/>
        </w:r>
        <w:r w:rsidR="00BA3816">
          <w:rPr>
            <w:noProof/>
            <w:webHidden/>
          </w:rPr>
          <w:t>1</w:t>
        </w:r>
        <w:r w:rsidR="00291795">
          <w:rPr>
            <w:noProof/>
            <w:webHidden/>
          </w:rPr>
          <w:fldChar w:fldCharType="begin"/>
        </w:r>
        <w:r w:rsidR="00291795">
          <w:rPr>
            <w:noProof/>
            <w:webHidden/>
          </w:rPr>
          <w:instrText xml:space="preserve"> PAGEREF _Toc129194057 \h </w:instrText>
        </w:r>
        <w:r w:rsidR="00291795">
          <w:rPr>
            <w:noProof/>
            <w:webHidden/>
          </w:rPr>
        </w:r>
        <w:r w:rsidR="00291795">
          <w:rPr>
            <w:noProof/>
            <w:webHidden/>
          </w:rPr>
          <w:fldChar w:fldCharType="separate"/>
        </w:r>
        <w:r w:rsidR="008B0C22">
          <w:rPr>
            <w:noProof/>
            <w:webHidden/>
          </w:rPr>
          <w:t>3</w:t>
        </w:r>
        <w:r w:rsidR="00291795">
          <w:rPr>
            <w:noProof/>
            <w:webHidden/>
          </w:rPr>
          <w:fldChar w:fldCharType="end"/>
        </w:r>
      </w:hyperlink>
    </w:p>
    <w:p w14:paraId="4083B6E2" w14:textId="65610A29" w:rsidR="00291795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29194058" w:history="1">
        <w:r w:rsidR="00291795" w:rsidRPr="00AF5FCE">
          <w:rPr>
            <w:rStyle w:val="Hypertextovodkaz"/>
            <w:noProof/>
          </w:rPr>
          <w:t>Příloha č. 7: Energetický management</w:t>
        </w:r>
        <w:r w:rsidR="00291795">
          <w:rPr>
            <w:noProof/>
            <w:webHidden/>
          </w:rPr>
          <w:tab/>
        </w:r>
        <w:r w:rsidR="00BA3816">
          <w:rPr>
            <w:noProof/>
            <w:webHidden/>
          </w:rPr>
          <w:t>1</w:t>
        </w:r>
        <w:r w:rsidR="00291795">
          <w:rPr>
            <w:noProof/>
            <w:webHidden/>
          </w:rPr>
          <w:fldChar w:fldCharType="begin"/>
        </w:r>
        <w:r w:rsidR="00291795">
          <w:rPr>
            <w:noProof/>
            <w:webHidden/>
          </w:rPr>
          <w:instrText xml:space="preserve"> PAGEREF _Toc129194058 \h </w:instrText>
        </w:r>
        <w:r w:rsidR="00291795">
          <w:rPr>
            <w:noProof/>
            <w:webHidden/>
          </w:rPr>
        </w:r>
        <w:r w:rsidR="00291795">
          <w:rPr>
            <w:noProof/>
            <w:webHidden/>
          </w:rPr>
          <w:fldChar w:fldCharType="separate"/>
        </w:r>
        <w:r w:rsidR="008B0C22">
          <w:rPr>
            <w:noProof/>
            <w:webHidden/>
          </w:rPr>
          <w:t>4</w:t>
        </w:r>
        <w:r w:rsidR="00291795">
          <w:rPr>
            <w:noProof/>
            <w:webHidden/>
          </w:rPr>
          <w:fldChar w:fldCharType="end"/>
        </w:r>
      </w:hyperlink>
    </w:p>
    <w:p w14:paraId="180BE4B4" w14:textId="7864BFED" w:rsidR="00291795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29194059" w:history="1">
        <w:r w:rsidR="00291795" w:rsidRPr="00AF5FCE">
          <w:rPr>
            <w:rStyle w:val="Hypertextovodkaz"/>
            <w:noProof/>
          </w:rPr>
          <w:t>Příloha č. 8: Oprávněné osoby</w:t>
        </w:r>
        <w:r w:rsidR="00291795">
          <w:rPr>
            <w:noProof/>
            <w:webHidden/>
          </w:rPr>
          <w:tab/>
        </w:r>
        <w:r w:rsidR="00291795">
          <w:rPr>
            <w:noProof/>
            <w:webHidden/>
          </w:rPr>
          <w:fldChar w:fldCharType="begin"/>
        </w:r>
        <w:r w:rsidR="00291795">
          <w:rPr>
            <w:noProof/>
            <w:webHidden/>
          </w:rPr>
          <w:instrText xml:space="preserve"> PAGEREF _Toc129194059 \h </w:instrText>
        </w:r>
        <w:r w:rsidR="00291795">
          <w:rPr>
            <w:noProof/>
            <w:webHidden/>
          </w:rPr>
        </w:r>
        <w:r w:rsidR="00291795">
          <w:rPr>
            <w:noProof/>
            <w:webHidden/>
          </w:rPr>
          <w:fldChar w:fldCharType="separate"/>
        </w:r>
        <w:r w:rsidR="00BA3816">
          <w:rPr>
            <w:noProof/>
            <w:webHidden/>
          </w:rPr>
          <w:t>2</w:t>
        </w:r>
        <w:r w:rsidR="008B0C22">
          <w:rPr>
            <w:noProof/>
            <w:webHidden/>
          </w:rPr>
          <w:t>2</w:t>
        </w:r>
        <w:r w:rsidR="00291795">
          <w:rPr>
            <w:noProof/>
            <w:webHidden/>
          </w:rPr>
          <w:fldChar w:fldCharType="end"/>
        </w:r>
      </w:hyperlink>
    </w:p>
    <w:p w14:paraId="1B5196BF" w14:textId="6FB44230" w:rsidR="00291795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29194060" w:history="1">
        <w:r w:rsidR="00291795" w:rsidRPr="00AF5FCE">
          <w:rPr>
            <w:rStyle w:val="Hypertextovodkaz"/>
            <w:noProof/>
          </w:rPr>
          <w:t>Příloha č. 9: Seznam poddodavatelů</w:t>
        </w:r>
        <w:r w:rsidR="00291795">
          <w:rPr>
            <w:noProof/>
            <w:webHidden/>
          </w:rPr>
          <w:tab/>
        </w:r>
        <w:r w:rsidR="00291795">
          <w:rPr>
            <w:noProof/>
            <w:webHidden/>
          </w:rPr>
          <w:fldChar w:fldCharType="begin"/>
        </w:r>
        <w:r w:rsidR="00291795">
          <w:rPr>
            <w:noProof/>
            <w:webHidden/>
          </w:rPr>
          <w:instrText xml:space="preserve"> PAGEREF _Toc129194060 \h </w:instrText>
        </w:r>
        <w:r w:rsidR="00291795">
          <w:rPr>
            <w:noProof/>
            <w:webHidden/>
          </w:rPr>
        </w:r>
        <w:r w:rsidR="00291795">
          <w:rPr>
            <w:noProof/>
            <w:webHidden/>
          </w:rPr>
          <w:fldChar w:fldCharType="separate"/>
        </w:r>
        <w:r w:rsidR="00BA3816">
          <w:rPr>
            <w:noProof/>
            <w:webHidden/>
          </w:rPr>
          <w:t>2</w:t>
        </w:r>
        <w:r w:rsidR="008B0C22">
          <w:rPr>
            <w:noProof/>
            <w:webHidden/>
          </w:rPr>
          <w:t>3</w:t>
        </w:r>
        <w:r w:rsidR="00291795">
          <w:rPr>
            <w:noProof/>
            <w:webHidden/>
          </w:rPr>
          <w:fldChar w:fldCharType="end"/>
        </w:r>
      </w:hyperlink>
    </w:p>
    <w:p w14:paraId="2410F08F" w14:textId="589CCF93" w:rsidR="00291795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29194061" w:history="1">
        <w:r w:rsidR="00291795" w:rsidRPr="00AF5FCE">
          <w:rPr>
            <w:rStyle w:val="Hypertextovodkaz"/>
            <w:noProof/>
          </w:rPr>
          <w:t>Příloha č. 10: Inflační doložka pro úpravu ceny základních opatření</w:t>
        </w:r>
        <w:r w:rsidR="00291795">
          <w:rPr>
            <w:noProof/>
            <w:webHidden/>
          </w:rPr>
          <w:tab/>
        </w:r>
        <w:r w:rsidR="00291795">
          <w:rPr>
            <w:noProof/>
            <w:webHidden/>
          </w:rPr>
          <w:fldChar w:fldCharType="begin"/>
        </w:r>
        <w:r w:rsidR="00291795">
          <w:rPr>
            <w:noProof/>
            <w:webHidden/>
          </w:rPr>
          <w:instrText xml:space="preserve"> PAGEREF _Toc129194061 \h </w:instrText>
        </w:r>
        <w:r w:rsidR="00291795">
          <w:rPr>
            <w:noProof/>
            <w:webHidden/>
          </w:rPr>
        </w:r>
        <w:r w:rsidR="00291795">
          <w:rPr>
            <w:noProof/>
            <w:webHidden/>
          </w:rPr>
          <w:fldChar w:fldCharType="separate"/>
        </w:r>
        <w:r w:rsidR="00BA3816">
          <w:rPr>
            <w:noProof/>
            <w:webHidden/>
          </w:rPr>
          <w:t>2</w:t>
        </w:r>
        <w:r w:rsidR="008B0C22">
          <w:rPr>
            <w:noProof/>
            <w:webHidden/>
          </w:rPr>
          <w:t>4</w:t>
        </w:r>
        <w:r w:rsidR="00291795">
          <w:rPr>
            <w:noProof/>
            <w:webHidden/>
          </w:rPr>
          <w:fldChar w:fldCharType="end"/>
        </w:r>
      </w:hyperlink>
    </w:p>
    <w:p w14:paraId="38E96941" w14:textId="37D16458" w:rsidR="00291795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29194062" w:history="1"/>
    </w:p>
    <w:p w14:paraId="48143158" w14:textId="6D77AB24" w:rsidR="00AC0307" w:rsidRDefault="001A1AC4" w:rsidP="00DE6B29">
      <w:pPr>
        <w:spacing w:line="288" w:lineRule="auto"/>
        <w:rPr>
          <w:lang w:eastAsia="cs-CZ"/>
        </w:rPr>
      </w:pPr>
      <w:r>
        <w:rPr>
          <w:rFonts w:ascii="Arial" w:hAnsi="Arial"/>
          <w:b/>
          <w:sz w:val="28"/>
          <w:szCs w:val="28"/>
          <w:lang w:eastAsia="cs-CZ"/>
        </w:rPr>
        <w:fldChar w:fldCharType="end"/>
      </w:r>
      <w:r>
        <w:rPr>
          <w:rFonts w:ascii="Arial" w:hAnsi="Arial"/>
          <w:b/>
          <w:sz w:val="28"/>
          <w:szCs w:val="28"/>
          <w:lang w:eastAsia="cs-CZ"/>
        </w:rPr>
        <w:br w:type="page"/>
      </w:r>
    </w:p>
    <w:p w14:paraId="454D98DC" w14:textId="697FF8BE" w:rsidR="007E2391" w:rsidRDefault="001A1AC4" w:rsidP="00317DF6">
      <w:pPr>
        <w:pStyle w:val="Nadpis1"/>
      </w:pPr>
      <w:bookmarkStart w:id="0" w:name="_Toc129194052"/>
      <w:r>
        <w:lastRenderedPageBreak/>
        <w:t>Příloha č. 1: Popis výchozího stavu včetně referenční spotřeby a referenčních nákladů</w:t>
      </w:r>
      <w:bookmarkStart w:id="1" w:name="page10"/>
      <w:bookmarkEnd w:id="0"/>
      <w:bookmarkEnd w:id="1"/>
    </w:p>
    <w:p w14:paraId="0FABC42B" w14:textId="77777777" w:rsidR="00D16488" w:rsidRDefault="00D16488" w:rsidP="00D16488"/>
    <w:p w14:paraId="250DA37C" w14:textId="734C0AAF" w:rsidR="00D16488" w:rsidRPr="00D16488" w:rsidRDefault="00D16488" w:rsidP="00D16488">
      <w:r>
        <w:t>Samostatná příloha</w:t>
      </w:r>
    </w:p>
    <w:p w14:paraId="09A40E61" w14:textId="77777777" w:rsidR="00F86BA1" w:rsidRDefault="00F86BA1" w:rsidP="00F86BA1">
      <w:pPr>
        <w:pStyle w:val="Nadpis1"/>
      </w:pPr>
      <w:bookmarkStart w:id="2" w:name="_Toc129194053"/>
      <w:r>
        <w:lastRenderedPageBreak/>
        <w:t>Příloha č. 2: Popis základních opatření</w:t>
      </w:r>
      <w:bookmarkEnd w:id="2"/>
    </w:p>
    <w:p w14:paraId="2E78A00A" w14:textId="77777777" w:rsidR="00BA3816" w:rsidRDefault="00BA3816" w:rsidP="00BA3816"/>
    <w:p w14:paraId="7B3E6A2D" w14:textId="063083E2" w:rsidR="00BA3816" w:rsidRPr="00BA3816" w:rsidRDefault="00BA3816" w:rsidP="00BA3816">
      <w:r>
        <w:t xml:space="preserve">Dle článku 28 bodu č. 3 byla příloha dodavatelem označena jako obchodní tajemství. </w:t>
      </w:r>
    </w:p>
    <w:p w14:paraId="6CF55251" w14:textId="4DB15AB3" w:rsidR="00F86BA1" w:rsidRDefault="00F86BA1" w:rsidP="00F86BA1">
      <w:pPr>
        <w:pStyle w:val="Nadpis1"/>
        <w:spacing w:before="120"/>
      </w:pPr>
      <w:bookmarkStart w:id="3" w:name="_Toc129194054"/>
      <w:r>
        <w:lastRenderedPageBreak/>
        <w:t>Příloha č. 3: Cena a její úhrada</w:t>
      </w:r>
      <w:bookmarkEnd w:id="3"/>
    </w:p>
    <w:p w14:paraId="27F16995" w14:textId="77777777" w:rsidR="00002DF5" w:rsidRPr="00002DF5" w:rsidRDefault="00002DF5" w:rsidP="00002DF5"/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2"/>
        <w:gridCol w:w="1554"/>
        <w:gridCol w:w="760"/>
      </w:tblGrid>
      <w:tr w:rsidR="00002DF5" w:rsidRPr="00002DF5" w14:paraId="25CDC11E" w14:textId="77777777" w:rsidTr="00002DF5">
        <w:trPr>
          <w:trHeight w:val="405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FD01" w14:textId="77777777" w:rsidR="00002DF5" w:rsidRPr="00002DF5" w:rsidRDefault="00002DF5" w:rsidP="00002DF5">
            <w:pPr>
              <w:spacing w:before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>CENOVÁ PŘÍLOHA</w:t>
            </w:r>
          </w:p>
        </w:tc>
      </w:tr>
      <w:tr w:rsidR="00002DF5" w:rsidRPr="00002DF5" w14:paraId="1CA187BE" w14:textId="77777777" w:rsidTr="00002DF5">
        <w:trPr>
          <w:trHeight w:val="28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66C0" w14:textId="77777777" w:rsidR="00002DF5" w:rsidRPr="00002DF5" w:rsidRDefault="00002DF5" w:rsidP="00002DF5">
            <w:pPr>
              <w:spacing w:before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BF33" w14:textId="77777777" w:rsidR="00002DF5" w:rsidRPr="00002DF5" w:rsidRDefault="00002DF5" w:rsidP="00002DF5">
            <w:pPr>
              <w:spacing w:before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CD23" w14:textId="77777777" w:rsidR="00002DF5" w:rsidRPr="00002DF5" w:rsidRDefault="00002DF5" w:rsidP="00002DF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2DF5" w:rsidRPr="00002DF5" w14:paraId="6643D007" w14:textId="77777777" w:rsidTr="00002DF5">
        <w:trPr>
          <w:trHeight w:val="60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3732" w14:textId="77777777" w:rsidR="00002DF5" w:rsidRPr="00002DF5" w:rsidRDefault="00002DF5" w:rsidP="00002DF5">
            <w:pPr>
              <w:spacing w:before="0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1.</w:t>
            </w:r>
            <w:r w:rsidRPr="00002DF5">
              <w:rPr>
                <w:rFonts w:ascii="Times New Roman" w:hAnsi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Pr="00002DF5">
              <w:rPr>
                <w:rFonts w:ascii="Arial" w:hAnsi="Arial" w:cs="Arial"/>
                <w:b/>
                <w:bCs/>
                <w:lang w:eastAsia="cs-CZ"/>
              </w:rPr>
              <w:t xml:space="preserve">CENA ZA PROVEDENÍ ZÁKLADNÍCH OPATŘENÍ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7BB1" w14:textId="77777777" w:rsidR="00002DF5" w:rsidRPr="00002DF5" w:rsidRDefault="00002DF5" w:rsidP="00002DF5">
            <w:pPr>
              <w:spacing w:before="0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8F7" w14:textId="77777777" w:rsidR="00002DF5" w:rsidRPr="00002DF5" w:rsidRDefault="00002DF5" w:rsidP="00002DF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C71351" w:rsidRPr="00002DF5" w14:paraId="28180D07" w14:textId="77777777" w:rsidTr="00002DF5">
        <w:trPr>
          <w:trHeight w:val="40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909481" w14:textId="77777777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Cena za provedení základních opatření celkem bez DPH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DEB4A" w14:textId="696D7019" w:rsidR="00C71351" w:rsidRPr="00002DF5" w:rsidRDefault="00C71351" w:rsidP="00C71351">
            <w:pPr>
              <w:spacing w:before="0"/>
              <w:ind w:right="-17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151 399 600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821DE" w14:textId="4C49C2C3" w:rsidR="00C71351" w:rsidRPr="00002DF5" w:rsidRDefault="00C71351" w:rsidP="00C71351">
            <w:pPr>
              <w:spacing w:before="0"/>
              <w:ind w:left="-15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Kč</w:t>
            </w:r>
          </w:p>
        </w:tc>
      </w:tr>
      <w:tr w:rsidR="00C71351" w:rsidRPr="00002DF5" w14:paraId="75EFAC9B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B8950B" w14:textId="1CDE07CE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DPH 21</w:t>
            </w:r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Pr="00002DF5">
              <w:rPr>
                <w:rFonts w:ascii="Arial" w:hAnsi="Arial" w:cs="Arial"/>
                <w:b/>
                <w:bCs/>
                <w:lang w:eastAsia="cs-CZ"/>
              </w:rPr>
              <w:t>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3A961E" w14:textId="0BCB7BBC" w:rsidR="00C71351" w:rsidRPr="00002DF5" w:rsidRDefault="00C71351" w:rsidP="00C71351">
            <w:pPr>
              <w:spacing w:before="0"/>
              <w:ind w:right="-17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31 793 916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DF5E8" w14:textId="49CC5819" w:rsidR="00C71351" w:rsidRPr="00002DF5" w:rsidRDefault="00C71351" w:rsidP="00C71351">
            <w:pPr>
              <w:spacing w:before="0"/>
              <w:ind w:left="-15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Kč</w:t>
            </w:r>
          </w:p>
        </w:tc>
      </w:tr>
      <w:tr w:rsidR="00C71351" w:rsidRPr="00002DF5" w14:paraId="4804D885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BDA2BC" w14:textId="77777777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Cena za provedení základních opatření celkem včetně DPH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18B37B" w14:textId="4BB0139A" w:rsidR="00C71351" w:rsidRPr="00002DF5" w:rsidRDefault="00C71351" w:rsidP="00C71351">
            <w:pPr>
              <w:spacing w:before="0"/>
              <w:ind w:right="-17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183 193 516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AA3D77" w14:textId="055FA02B" w:rsidR="00C71351" w:rsidRPr="00002DF5" w:rsidRDefault="00C71351" w:rsidP="00C71351">
            <w:pPr>
              <w:spacing w:before="0"/>
              <w:ind w:left="-15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Kč</w:t>
            </w:r>
          </w:p>
        </w:tc>
      </w:tr>
      <w:tr w:rsidR="00002DF5" w:rsidRPr="00002DF5" w14:paraId="423FDF7A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3B6E" w14:textId="77777777" w:rsidR="00002DF5" w:rsidRPr="00002DF5" w:rsidRDefault="00002DF5" w:rsidP="00002DF5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85A" w14:textId="77777777" w:rsidR="00002DF5" w:rsidRPr="00002DF5" w:rsidRDefault="00002DF5" w:rsidP="002107C4">
            <w:pPr>
              <w:spacing w:before="0"/>
              <w:ind w:right="-1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653F" w14:textId="77777777" w:rsidR="00002DF5" w:rsidRPr="00002DF5" w:rsidRDefault="00002DF5" w:rsidP="00002DF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2DF5" w:rsidRPr="00002DF5" w14:paraId="763B7D6F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3100" w14:textId="77777777" w:rsidR="00002DF5" w:rsidRPr="00002DF5" w:rsidRDefault="00002DF5" w:rsidP="00002DF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323" w14:textId="77777777" w:rsidR="00002DF5" w:rsidRPr="00002DF5" w:rsidRDefault="00002DF5" w:rsidP="00002DF5">
            <w:pPr>
              <w:spacing w:before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59C9" w14:textId="77777777" w:rsidR="00002DF5" w:rsidRPr="00002DF5" w:rsidRDefault="00002DF5" w:rsidP="00002DF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2DF5" w:rsidRPr="00002DF5" w14:paraId="5EB282FE" w14:textId="77777777" w:rsidTr="00002DF5">
        <w:trPr>
          <w:trHeight w:val="600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109F" w14:textId="77777777" w:rsidR="00002DF5" w:rsidRPr="00002DF5" w:rsidRDefault="00002DF5" w:rsidP="00002DF5">
            <w:pPr>
              <w:spacing w:before="0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2.</w:t>
            </w:r>
            <w:r w:rsidRPr="00002DF5">
              <w:rPr>
                <w:rFonts w:ascii="Times New Roman" w:hAnsi="Times New Roman"/>
                <w:b/>
                <w:bCs/>
                <w:sz w:val="14"/>
                <w:szCs w:val="14"/>
                <w:lang w:eastAsia="cs-CZ"/>
              </w:rPr>
              <w:t xml:space="preserve">    </w:t>
            </w:r>
            <w:r w:rsidRPr="00002DF5">
              <w:rPr>
                <w:rFonts w:ascii="Arial" w:hAnsi="Arial" w:cs="Arial"/>
                <w:b/>
                <w:bCs/>
                <w:lang w:eastAsia="cs-CZ"/>
              </w:rPr>
              <w:t xml:space="preserve"> FINANČNÍ NÁKLADY CELKEM</w:t>
            </w:r>
          </w:p>
        </w:tc>
      </w:tr>
      <w:tr w:rsidR="00002DF5" w:rsidRPr="00002DF5" w14:paraId="0E126D7F" w14:textId="77777777" w:rsidTr="00002DF5">
        <w:trPr>
          <w:trHeight w:val="40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58454F" w14:textId="77777777" w:rsidR="00002DF5" w:rsidRPr="00002DF5" w:rsidRDefault="00002DF5" w:rsidP="00002DF5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 xml:space="preserve">Cena za poskytnutí dodavatelského úvěru </w:t>
            </w:r>
            <w:r w:rsidRPr="00002DF5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(nepodléhá DPH)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67A4EB" w14:textId="3155C7F8" w:rsidR="00002DF5" w:rsidRPr="00002DF5" w:rsidRDefault="00C71351" w:rsidP="002107C4">
            <w:pPr>
              <w:spacing w:before="0"/>
              <w:ind w:right="-17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C71351">
              <w:rPr>
                <w:rFonts w:ascii="Arial" w:hAnsi="Arial" w:cs="Arial"/>
                <w:b/>
                <w:bCs/>
                <w:lang w:eastAsia="cs-CZ"/>
              </w:rPr>
              <w:t>32 951 473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E8E35" w14:textId="39C1FB77" w:rsidR="00002DF5" w:rsidRPr="00002DF5" w:rsidRDefault="00002DF5" w:rsidP="00002DF5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Kč</w:t>
            </w:r>
          </w:p>
        </w:tc>
      </w:tr>
      <w:tr w:rsidR="00002DF5" w:rsidRPr="00002DF5" w14:paraId="7C0A7ED4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6206" w14:textId="77777777" w:rsidR="00002DF5" w:rsidRPr="00002DF5" w:rsidRDefault="00002DF5" w:rsidP="00002DF5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58F" w14:textId="77777777" w:rsidR="00002DF5" w:rsidRPr="00002DF5" w:rsidRDefault="00002DF5" w:rsidP="00002DF5">
            <w:pPr>
              <w:spacing w:before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EFA6" w14:textId="77777777" w:rsidR="00002DF5" w:rsidRPr="00002DF5" w:rsidRDefault="00002DF5" w:rsidP="00002DF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2DF5" w:rsidRPr="00002DF5" w14:paraId="4F212751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8ED1" w14:textId="77777777" w:rsidR="00002DF5" w:rsidRPr="00002DF5" w:rsidRDefault="00002DF5" w:rsidP="00002DF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AEE2" w14:textId="77777777" w:rsidR="00002DF5" w:rsidRPr="00002DF5" w:rsidRDefault="00002DF5" w:rsidP="00002DF5">
            <w:pPr>
              <w:spacing w:before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E78" w14:textId="77777777" w:rsidR="00002DF5" w:rsidRPr="00002DF5" w:rsidRDefault="00002DF5" w:rsidP="00002DF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2DF5" w:rsidRPr="00002DF5" w14:paraId="5DE75ABA" w14:textId="77777777" w:rsidTr="00002DF5">
        <w:trPr>
          <w:trHeight w:val="600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3155" w14:textId="77777777" w:rsidR="00002DF5" w:rsidRPr="00002DF5" w:rsidRDefault="00002DF5" w:rsidP="00002DF5">
            <w:pPr>
              <w:spacing w:before="0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3.  CENA ENERGETICKÉHO MANAGEMENTU</w:t>
            </w:r>
          </w:p>
        </w:tc>
      </w:tr>
      <w:tr w:rsidR="00C71351" w:rsidRPr="00002DF5" w14:paraId="5AF6CBA3" w14:textId="77777777" w:rsidTr="00002DF5">
        <w:trPr>
          <w:trHeight w:val="40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06B0A" w14:textId="77777777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Cena za energetický management celkem bez DPH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670D77" w14:textId="0FFF62EA" w:rsidR="00C71351" w:rsidRPr="00002DF5" w:rsidRDefault="00C71351" w:rsidP="00C71351">
            <w:pPr>
              <w:spacing w:before="0"/>
              <w:ind w:right="-17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739 200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C55DD" w14:textId="05AEF682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Kč</w:t>
            </w:r>
          </w:p>
        </w:tc>
      </w:tr>
      <w:tr w:rsidR="00C71351" w:rsidRPr="00002DF5" w14:paraId="40200367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EF0993" w14:textId="0AF96681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DPH 21</w:t>
            </w:r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Pr="00002DF5">
              <w:rPr>
                <w:rFonts w:ascii="Arial" w:hAnsi="Arial" w:cs="Arial"/>
                <w:b/>
                <w:bCs/>
                <w:lang w:eastAsia="cs-CZ"/>
              </w:rPr>
              <w:t>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4F32AF" w14:textId="4EC5464F" w:rsidR="00C71351" w:rsidRPr="00002DF5" w:rsidRDefault="00C71351" w:rsidP="00C71351">
            <w:pPr>
              <w:spacing w:before="0"/>
              <w:ind w:right="-17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155 232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814BB" w14:textId="2BAA66AA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Kč</w:t>
            </w:r>
          </w:p>
        </w:tc>
      </w:tr>
      <w:tr w:rsidR="00C71351" w:rsidRPr="00002DF5" w14:paraId="254ABDF1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2F6C79" w14:textId="77777777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Cena za energetický management celkem včetně DPH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612091" w14:textId="5547003E" w:rsidR="00C71351" w:rsidRPr="00002DF5" w:rsidRDefault="00C71351" w:rsidP="00C71351">
            <w:pPr>
              <w:spacing w:before="0"/>
              <w:ind w:right="-17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894 432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B46DF" w14:textId="25FFB7FF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Kč</w:t>
            </w:r>
          </w:p>
        </w:tc>
      </w:tr>
      <w:tr w:rsidR="00002DF5" w:rsidRPr="00002DF5" w14:paraId="2D828B4A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93BA" w14:textId="77777777" w:rsidR="00002DF5" w:rsidRPr="00002DF5" w:rsidRDefault="00002DF5" w:rsidP="00002DF5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23DB" w14:textId="77777777" w:rsidR="00002DF5" w:rsidRPr="00002DF5" w:rsidRDefault="00002DF5" w:rsidP="00002DF5">
            <w:pPr>
              <w:spacing w:before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67DD" w14:textId="77777777" w:rsidR="00002DF5" w:rsidRPr="00002DF5" w:rsidRDefault="00002DF5" w:rsidP="00002DF5">
            <w:pPr>
              <w:spacing w:before="0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2DF5" w:rsidRPr="00002DF5" w14:paraId="15B859CF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4F0F" w14:textId="77777777" w:rsidR="00002DF5" w:rsidRPr="00002DF5" w:rsidRDefault="00002DF5" w:rsidP="00002DF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644" w14:textId="77777777" w:rsidR="00002DF5" w:rsidRPr="00002DF5" w:rsidRDefault="00002DF5" w:rsidP="00002DF5">
            <w:pPr>
              <w:spacing w:before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81CD" w14:textId="77777777" w:rsidR="00002DF5" w:rsidRPr="00002DF5" w:rsidRDefault="00002DF5" w:rsidP="00002DF5">
            <w:pPr>
              <w:spacing w:before="0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C71351" w:rsidRPr="00002DF5" w14:paraId="345EEC1C" w14:textId="77777777" w:rsidTr="00002DF5">
        <w:trPr>
          <w:trHeight w:val="405"/>
        </w:trPr>
        <w:tc>
          <w:tcPr>
            <w:tcW w:w="6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5A26D9" w14:textId="77777777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CENA CELKEM (bez DPH)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914C12" w14:textId="3899099F" w:rsidR="00C71351" w:rsidRPr="00002DF5" w:rsidRDefault="00C71351" w:rsidP="00C71351">
            <w:pPr>
              <w:spacing w:before="0"/>
              <w:ind w:right="-17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185 090 273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FFDF8" w14:textId="380B7D9D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Kč</w:t>
            </w:r>
          </w:p>
        </w:tc>
      </w:tr>
      <w:tr w:rsidR="00C71351" w:rsidRPr="00002DF5" w14:paraId="479EA5C3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94BFEB" w14:textId="77777777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DPH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937ABB" w14:textId="0A59A1FC" w:rsidR="00C71351" w:rsidRPr="00002DF5" w:rsidRDefault="00C71351" w:rsidP="00C71351">
            <w:pPr>
              <w:spacing w:before="0"/>
              <w:ind w:right="-17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31 949 148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D82209" w14:textId="09F6E478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Kč</w:t>
            </w:r>
          </w:p>
        </w:tc>
      </w:tr>
      <w:tr w:rsidR="00C71351" w:rsidRPr="00002DF5" w14:paraId="39C08EF5" w14:textId="77777777" w:rsidTr="00002DF5">
        <w:trPr>
          <w:trHeight w:val="405"/>
        </w:trPr>
        <w:tc>
          <w:tcPr>
            <w:tcW w:w="6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C49F24C" w14:textId="77777777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CENA CELKEM (včetně DPH)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BE119E3" w14:textId="66ADCBD0" w:rsidR="00C71351" w:rsidRPr="00002DF5" w:rsidRDefault="00C71351" w:rsidP="00C71351">
            <w:pPr>
              <w:spacing w:before="0"/>
              <w:ind w:right="-17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217 039 421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AAEFDB" w14:textId="75F7BC8C" w:rsidR="00C71351" w:rsidRPr="00002DF5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 w:rsidRPr="00002DF5">
              <w:rPr>
                <w:rFonts w:ascii="Arial" w:hAnsi="Arial" w:cs="Arial"/>
                <w:b/>
                <w:bCs/>
                <w:lang w:eastAsia="cs-CZ"/>
              </w:rPr>
              <w:t>Kč</w:t>
            </w:r>
          </w:p>
        </w:tc>
      </w:tr>
    </w:tbl>
    <w:p w14:paraId="3F894316" w14:textId="763F8254" w:rsidR="00002DF5" w:rsidRDefault="00002DF5" w:rsidP="00002DF5"/>
    <w:p w14:paraId="7D77CBFE" w14:textId="77D9DCA9" w:rsidR="00266E53" w:rsidRDefault="00266E53" w:rsidP="00002DF5"/>
    <w:p w14:paraId="7BF3364D" w14:textId="380A7235" w:rsidR="00266E53" w:rsidRDefault="00266E53" w:rsidP="00002DF5"/>
    <w:p w14:paraId="03CC31F3" w14:textId="4AE7DC8D" w:rsidR="00266E53" w:rsidRDefault="00266E53" w:rsidP="00002DF5"/>
    <w:p w14:paraId="3C04F9CB" w14:textId="4180919B" w:rsidR="00266E53" w:rsidRDefault="00266E53" w:rsidP="00002DF5"/>
    <w:p w14:paraId="7C5EB528" w14:textId="359250A4" w:rsidR="00266E53" w:rsidRDefault="00266E53" w:rsidP="00002DF5"/>
    <w:p w14:paraId="492C8177" w14:textId="1B5131A4" w:rsidR="00266E53" w:rsidRDefault="00266E53" w:rsidP="00002DF5"/>
    <w:p w14:paraId="14EA2DFB" w14:textId="4318F61B" w:rsidR="00266E53" w:rsidRDefault="00266E53" w:rsidP="00002DF5"/>
    <w:p w14:paraId="2FA645AC" w14:textId="0C24B352" w:rsidR="00266E53" w:rsidRDefault="00266E53" w:rsidP="00002DF5"/>
    <w:p w14:paraId="77000A2E" w14:textId="651E10D1" w:rsidR="00266E53" w:rsidRDefault="00266E53" w:rsidP="00002DF5"/>
    <w:p w14:paraId="1DA2E647" w14:textId="77777777" w:rsidR="006C2985" w:rsidRDefault="006C2985" w:rsidP="006C2985">
      <w:pPr>
        <w:pStyle w:val="Odstavecseseznamem"/>
        <w:numPr>
          <w:ilvl w:val="0"/>
          <w:numId w:val="104"/>
        </w:numPr>
        <w:tabs>
          <w:tab w:val="left" w:pos="1134"/>
        </w:tabs>
        <w:spacing w:before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FINANČNÍ NÁKLADY</w:t>
      </w:r>
    </w:p>
    <w:p w14:paraId="0D68EC04" w14:textId="51184C8A" w:rsidR="006C2985" w:rsidRPr="009E757B" w:rsidRDefault="006C2985" w:rsidP="006C2985">
      <w:pPr>
        <w:tabs>
          <w:tab w:val="left" w:pos="1134"/>
        </w:tabs>
        <w:spacing w:before="360" w:line="276" w:lineRule="auto"/>
        <w:rPr>
          <w:b/>
          <w:sz w:val="26"/>
          <w:szCs w:val="26"/>
          <w:u w:val="single"/>
        </w:rPr>
      </w:pPr>
      <w:r w:rsidRPr="0096604E">
        <w:t>V souladu s čl. 18 a čl. 24 smlouvy je výše úroků uvedena ve splátkovém kalendáři v</w:t>
      </w:r>
      <w:r>
        <w:t> následující tabulce</w:t>
      </w:r>
      <w:r w:rsidRPr="0096604E">
        <w:t>. Úroky bude Klient hradit k jednotlivým splátkám ceny za provedení opatření.</w:t>
      </w:r>
    </w:p>
    <w:p w14:paraId="0E0BEF5C" w14:textId="7CB9DD29" w:rsidR="00266E53" w:rsidRDefault="00266E53" w:rsidP="00266E53">
      <w:pPr>
        <w:tabs>
          <w:tab w:val="left" w:pos="1134"/>
        </w:tabs>
        <w:spacing w:before="240"/>
        <w:jc w:val="left"/>
      </w:pPr>
      <w:r w:rsidRPr="00287960">
        <w:t>Splátkový kalendář</w:t>
      </w: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00"/>
        <w:gridCol w:w="1360"/>
        <w:gridCol w:w="1360"/>
        <w:gridCol w:w="1360"/>
        <w:gridCol w:w="1360"/>
      </w:tblGrid>
      <w:tr w:rsidR="00242F3C" w:rsidRPr="0057262A" w14:paraId="51EFC19F" w14:textId="77777777" w:rsidTr="00242F3C">
        <w:trPr>
          <w:trHeight w:val="480"/>
        </w:trPr>
        <w:tc>
          <w:tcPr>
            <w:tcW w:w="1200" w:type="dxa"/>
            <w:tcBorders>
              <w:top w:val="single" w:sz="4" w:space="0" w:color="44546A"/>
              <w:left w:val="single" w:sz="4" w:space="0" w:color="44546A"/>
              <w:bottom w:val="nil"/>
              <w:right w:val="single" w:sz="4" w:space="0" w:color="FFFFFF"/>
            </w:tcBorders>
            <w:shd w:val="clear" w:color="000000" w:fill="ED7D31"/>
            <w:vAlign w:val="center"/>
            <w:hideMark/>
          </w:tcPr>
          <w:p w14:paraId="5D8E9DCA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Pořadí splátky</w:t>
            </w:r>
          </w:p>
        </w:tc>
        <w:tc>
          <w:tcPr>
            <w:tcW w:w="1300" w:type="dxa"/>
            <w:tcBorders>
              <w:top w:val="single" w:sz="4" w:space="0" w:color="44546A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D7D31"/>
            <w:vAlign w:val="center"/>
            <w:hideMark/>
          </w:tcPr>
          <w:p w14:paraId="434836C2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1360" w:type="dxa"/>
            <w:tcBorders>
              <w:top w:val="single" w:sz="4" w:space="0" w:color="44546A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D7D31"/>
            <w:vAlign w:val="center"/>
            <w:hideMark/>
          </w:tcPr>
          <w:p w14:paraId="44698B4A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Úmor</w:t>
            </w:r>
          </w:p>
        </w:tc>
        <w:tc>
          <w:tcPr>
            <w:tcW w:w="1360" w:type="dxa"/>
            <w:tcBorders>
              <w:top w:val="single" w:sz="4" w:space="0" w:color="44546A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D7D31"/>
            <w:vAlign w:val="center"/>
            <w:hideMark/>
          </w:tcPr>
          <w:p w14:paraId="2011756B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Úrok</w:t>
            </w:r>
          </w:p>
        </w:tc>
        <w:tc>
          <w:tcPr>
            <w:tcW w:w="1360" w:type="dxa"/>
            <w:tcBorders>
              <w:top w:val="single" w:sz="4" w:space="0" w:color="44546A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D7D31"/>
            <w:vAlign w:val="center"/>
            <w:hideMark/>
          </w:tcPr>
          <w:p w14:paraId="58D2540D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Splátka celkem</w:t>
            </w:r>
          </w:p>
        </w:tc>
        <w:tc>
          <w:tcPr>
            <w:tcW w:w="1360" w:type="dxa"/>
            <w:tcBorders>
              <w:top w:val="single" w:sz="4" w:space="0" w:color="44546A"/>
              <w:left w:val="single" w:sz="4" w:space="0" w:color="FFFFFF"/>
              <w:bottom w:val="nil"/>
              <w:right w:val="single" w:sz="4" w:space="0" w:color="44546A"/>
            </w:tcBorders>
            <w:shd w:val="clear" w:color="000000" w:fill="ED7D31"/>
            <w:vAlign w:val="center"/>
            <w:hideMark/>
          </w:tcPr>
          <w:p w14:paraId="17EF49D2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Splatnost</w:t>
            </w:r>
          </w:p>
        </w:tc>
      </w:tr>
      <w:tr w:rsidR="00C71351" w:rsidRPr="0057262A" w14:paraId="0FD0EB6C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1D6E6B" w14:textId="70A91E82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821EA64" w14:textId="75B69D32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829F145" w14:textId="5D7C939E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3 098 566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C19AFF7" w14:textId="6F1A731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1 510 211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0809702" w14:textId="53F9FF83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02E005E" w14:textId="0976169C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31. 3. 2026</w:t>
            </w:r>
          </w:p>
        </w:tc>
      </w:tr>
      <w:tr w:rsidR="00C71351" w:rsidRPr="0057262A" w14:paraId="40E6BBDA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CE43678" w14:textId="5ABE8F15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A0A8830" w14:textId="7440E5FD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117772C" w14:textId="16AA155A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3 129 474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C43B5BE" w14:textId="5EE4D51A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1 479 303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C9FFCF0" w14:textId="4E7873E4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0B73E87" w14:textId="4F5A0D9E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30. 6. 2026</w:t>
            </w:r>
          </w:p>
        </w:tc>
      </w:tr>
      <w:tr w:rsidR="00C71351" w:rsidRPr="0057262A" w14:paraId="04EE4502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EC168F1" w14:textId="5E64C4D5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E3E216" w14:textId="5FFDCD45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D651546" w14:textId="16F8E855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3 160 691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9EDE982" w14:textId="21AAEA55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1 448 086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23FA37" w14:textId="704D4350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42EF97" w14:textId="5855FA70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30. 9. 2026</w:t>
            </w:r>
          </w:p>
        </w:tc>
      </w:tr>
      <w:tr w:rsidR="00C71351" w:rsidRPr="0057262A" w14:paraId="11A289D2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3DA0656" w14:textId="380C794F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E31FC51" w14:textId="18BE8ED0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EA9788D" w14:textId="0B07984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3 192 218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682C437" w14:textId="7883EB77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1 416 558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21AE49B9" w14:textId="612CA1A4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64F0C95" w14:textId="647D1486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31. 12. 2026</w:t>
            </w:r>
          </w:p>
        </w:tc>
      </w:tr>
      <w:tr w:rsidR="00C71351" w:rsidRPr="0057262A" w14:paraId="010016CC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38E0107" w14:textId="0546D444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9CA24D0" w14:textId="7306C242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F30D09" w14:textId="64FB4E7D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3 224 061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480B6D" w14:textId="2CD8424A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1 384 716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EB49DC" w14:textId="1B70FEDC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7D6107" w14:textId="3ADFACE6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31. 3. 2027</w:t>
            </w:r>
          </w:p>
        </w:tc>
      </w:tr>
      <w:tr w:rsidR="00C71351" w:rsidRPr="0057262A" w14:paraId="1DFA1D6E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B774DFF" w14:textId="32901A7C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2AF83131" w14:textId="1844E42E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E83E611" w14:textId="61806FD9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3 256 221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51DD5AA" w14:textId="692BD076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1 352 556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49AE381" w14:textId="1E003468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5169260" w14:textId="276F9245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30. 6. 2027</w:t>
            </w:r>
          </w:p>
        </w:tc>
      </w:tr>
      <w:tr w:rsidR="00C71351" w:rsidRPr="0057262A" w14:paraId="270D42CA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F47D36A" w14:textId="2719E83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18643CE" w14:textId="7A4A01B9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6E3F573" w14:textId="6927580C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3 288 702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4C1EC8" w14:textId="6170AA7B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1 320 075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D45CEFA" w14:textId="20B51661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A220B03" w14:textId="48B4AC67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30. 9. 2027</w:t>
            </w:r>
          </w:p>
        </w:tc>
      </w:tr>
      <w:tr w:rsidR="00C71351" w:rsidRPr="0057262A" w14:paraId="77FD714F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2C80AE9" w14:textId="734F6F0D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F576A15" w14:textId="26B048B6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278D6E83" w14:textId="28A20E30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3 321 506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7D56AFB" w14:textId="68A2D1D1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1 287 270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17625C1" w14:textId="5655CADF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C933FA5" w14:textId="2EF38679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31. 12. 2027</w:t>
            </w:r>
          </w:p>
        </w:tc>
      </w:tr>
      <w:tr w:rsidR="00C71351" w:rsidRPr="0057262A" w14:paraId="36509768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0F0D1C5" w14:textId="2BFF74C1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1AC45F6" w14:textId="5A0367A5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904CE94" w14:textId="137431AE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3 354 638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875BFF0" w14:textId="590561B8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1 254 138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8510831" w14:textId="3591F1CD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7B42DDF" w14:textId="0AF48197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31. 3. 2028</w:t>
            </w:r>
          </w:p>
        </w:tc>
      </w:tr>
      <w:tr w:rsidR="00C71351" w:rsidRPr="0057262A" w14:paraId="5597EF4E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CCD50FD" w14:textId="10166D24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BA8DC70" w14:textId="26C8FEB0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81DAF6C" w14:textId="1F22816C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3 388 101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5DF8A17" w14:textId="6BA596D6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1 220 676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2BC1759D" w14:textId="54CF4299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7C9D909" w14:textId="20CD2A61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30. 6. 2028</w:t>
            </w:r>
          </w:p>
        </w:tc>
      </w:tr>
      <w:tr w:rsidR="00C71351" w:rsidRPr="0057262A" w14:paraId="0157A02C" w14:textId="77777777" w:rsidTr="00820CC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393BC43" w14:textId="1276B155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AA0970" w14:textId="6788ACBB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39093F" w14:textId="12036E9A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3 421 897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2247D99" w14:textId="05EF7104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1 186 880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F3038A" w14:textId="251A73D3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1DB9E60" w14:textId="04113804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30. 9. 2028</w:t>
            </w:r>
          </w:p>
        </w:tc>
      </w:tr>
      <w:tr w:rsidR="00C71351" w:rsidRPr="0057262A" w14:paraId="6ED95346" w14:textId="77777777" w:rsidTr="00820CC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9A85C8D" w14:textId="1AC22941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AF35946" w14:textId="3BCF4E45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4B4C5C9" w14:textId="16DB8214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3 456 031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61468BD" w14:textId="47679AFC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1 152 746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80307C2" w14:textId="70FF2FD8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74D62EF" w14:textId="6365BF18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31. 12. 2028</w:t>
            </w:r>
          </w:p>
        </w:tc>
      </w:tr>
      <w:tr w:rsidR="00C71351" w:rsidRPr="0057262A" w14:paraId="7873C092" w14:textId="77777777" w:rsidTr="00820CC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5C865D" w14:textId="0EB0954D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9B60D8" w14:textId="1DA31353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2029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DDF2E1D" w14:textId="04DA3C0E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3 490 505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5F8DABC" w14:textId="50CC1C60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1 118 272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6EC5416" w14:textId="053916C4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3629827" w14:textId="6259874D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31. 3. 2029</w:t>
            </w:r>
          </w:p>
        </w:tc>
      </w:tr>
      <w:tr w:rsidR="00C71351" w:rsidRPr="0057262A" w14:paraId="7732B5FF" w14:textId="77777777" w:rsidTr="00820CC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BAF87EB" w14:textId="1FC64429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7FE04FB" w14:textId="50FBEF78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2029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711FD62" w14:textId="70726D8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3 525 322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2832572B" w14:textId="5F43144B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1 083 454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2E46D9CC" w14:textId="45809774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F1E4464" w14:textId="1E839449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30. 6. 2029</w:t>
            </w:r>
          </w:p>
        </w:tc>
      </w:tr>
      <w:tr w:rsidR="00C71351" w:rsidRPr="0057262A" w14:paraId="08120A3A" w14:textId="77777777" w:rsidTr="00820CC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F7CF9A2" w14:textId="7DE14D06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881C1C0" w14:textId="1F2437AD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2029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4F2AD02" w14:textId="709D4646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3 560 487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CE3D96D" w14:textId="2F5D2F15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1 048 289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19112E" w14:textId="5B7784D8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8B4B860" w14:textId="3BAA72A7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30. 9. 2029</w:t>
            </w:r>
          </w:p>
        </w:tc>
      </w:tr>
      <w:tr w:rsidR="00C71351" w:rsidRPr="0057262A" w14:paraId="240711F2" w14:textId="77777777" w:rsidTr="00820CC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71F1442" w14:textId="55AFBCEC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E5902DD" w14:textId="6CEACC52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2029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7CFBEC9" w14:textId="4473BB80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3 596 003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7D71170" w14:textId="6DC52029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1 012 774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0C4EF99" w14:textId="5EB89AF9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E288870" w14:textId="7CD1858C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31. 12. 2029</w:t>
            </w:r>
          </w:p>
        </w:tc>
      </w:tr>
      <w:tr w:rsidR="00C71351" w:rsidRPr="0057262A" w14:paraId="5DC96361" w14:textId="77777777" w:rsidTr="00820CC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E484210" w14:textId="69AFB256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1B2EC9" w14:textId="4910118B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2030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DEC018" w14:textId="6225C374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3 631 873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27C21ED" w14:textId="5FB2572C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976 903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2E4654" w14:textId="0DAAC524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D4CFE6D" w14:textId="6C514128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31. 3. 2030</w:t>
            </w:r>
          </w:p>
        </w:tc>
      </w:tr>
      <w:tr w:rsidR="00C71351" w:rsidRPr="0057262A" w14:paraId="117F68E9" w14:textId="77777777" w:rsidTr="00820CC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1F65A88" w14:textId="4983D8F1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2FBC22A" w14:textId="77D9BD81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2030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F5485EB" w14:textId="206BFE08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3 668 101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8A27F35" w14:textId="318272EE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940 675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CF6F164" w14:textId="676AB9BC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8975AB3" w14:textId="15E6EC40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30. 6. 2030</w:t>
            </w:r>
          </w:p>
        </w:tc>
      </w:tr>
      <w:tr w:rsidR="00C71351" w:rsidRPr="0057262A" w14:paraId="68E91403" w14:textId="77777777" w:rsidTr="00820CC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E86AFD" w14:textId="044D194C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19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25D5C86" w14:textId="797D168F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2030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2B3811C" w14:textId="35F8CCF9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3 704 691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6CCF89" w14:textId="2F459D05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904 086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86295BC" w14:textId="15B7A2BD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172B68" w14:textId="0D12D6FC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30. 9. 2030</w:t>
            </w:r>
          </w:p>
        </w:tc>
      </w:tr>
      <w:tr w:rsidR="00C71351" w:rsidRPr="0057262A" w14:paraId="437FD3A7" w14:textId="77777777" w:rsidTr="00820CC5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0B1B21F" w14:textId="5283F9F1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C0B32D7" w14:textId="41D1D52E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2030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4AA4B4E" w14:textId="60BFEA3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3 741 647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417CA12" w14:textId="37D9D185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867 132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FB01378" w14:textId="6C3FAE3A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4 608 779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0E7B10B" w14:textId="7AEE3A0B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31. 12. 2030</w:t>
            </w:r>
          </w:p>
        </w:tc>
      </w:tr>
      <w:tr w:rsidR="00C71351" w:rsidRPr="0057262A" w14:paraId="62F11E94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E49E74" w14:textId="45280E09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9F9C37" w14:textId="59AEBEB3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03895D1" w14:textId="0B6A96E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3 778 968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5D8305D" w14:textId="76D908BC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829 809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1C45DE4" w14:textId="1887A8B3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52C234" w14:textId="1C3A8AE0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31. 3. 2031</w:t>
            </w:r>
          </w:p>
        </w:tc>
      </w:tr>
      <w:tr w:rsidR="00C71351" w:rsidRPr="0057262A" w14:paraId="1A940DE7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72EFDDD" w14:textId="352B19FC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0CDE8EB" w14:textId="338BFA81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66D4CD9" w14:textId="12C40F76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3 816 663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A29F3A1" w14:textId="27613839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792 114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6743650" w14:textId="1701E8D4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3547833" w14:textId="27E0D0CA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30. 6. 2031</w:t>
            </w:r>
          </w:p>
        </w:tc>
      </w:tr>
      <w:tr w:rsidR="00C71351" w:rsidRPr="0057262A" w14:paraId="329E8497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CE6146F" w14:textId="54D2646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1AAC508" w14:textId="3065BC95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F55B485" w14:textId="0B20E123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3 854 734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5FB52BE" w14:textId="7D64319B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754 043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A229C0" w14:textId="528940AA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92885B6" w14:textId="0AFD7F67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30. 9. 2031</w:t>
            </w:r>
          </w:p>
        </w:tc>
      </w:tr>
      <w:tr w:rsidR="00C71351" w:rsidRPr="0057262A" w14:paraId="75EEA6C2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65156CC" w14:textId="2BF42035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24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97B7D96" w14:textId="24191FE5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18DED83" w14:textId="7E578FC9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3 893 185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CDD848C" w14:textId="666D0051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715 592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2932AD0D" w14:textId="1110EE71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8259C6C" w14:textId="523F8CBB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31. 12. 2031</w:t>
            </w:r>
          </w:p>
        </w:tc>
      </w:tr>
      <w:tr w:rsidR="00C71351" w:rsidRPr="0057262A" w14:paraId="0C9A2390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806446" w14:textId="0018C1AB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93BEC0" w14:textId="03315988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E09A61D" w14:textId="3853C11E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3 932 020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336829F" w14:textId="1343F42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676 757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D3DF0AB" w14:textId="704BE9A0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46A0F9" w14:textId="7F690C1C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31. 3. 2032</w:t>
            </w:r>
          </w:p>
        </w:tc>
      </w:tr>
      <w:tr w:rsidR="00C71351" w:rsidRPr="0057262A" w14:paraId="3ADD8065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052FA25" w14:textId="05FACEA2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26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A532512" w14:textId="026C7AC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2C21641" w14:textId="4D61C02F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3 971 242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2ADC98FA" w14:textId="11F30C6F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637 535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BE56EBB" w14:textId="4BA6113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BD5F9D0" w14:textId="25B645EF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30. 6. 2032</w:t>
            </w:r>
          </w:p>
        </w:tc>
      </w:tr>
      <w:tr w:rsidR="00C71351" w:rsidRPr="0057262A" w14:paraId="2E470AC8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E9388BE" w14:textId="59B9217C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CF1C9FF" w14:textId="611E18AF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2DF27D5" w14:textId="27849BA5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4 010 855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607FB50" w14:textId="1AF40994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597 922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40D2DF" w14:textId="2EFAAF1C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0E6B8AA" w14:textId="7F74831A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30. 9. 2032</w:t>
            </w:r>
          </w:p>
        </w:tc>
      </w:tr>
      <w:tr w:rsidR="00C71351" w:rsidRPr="0057262A" w14:paraId="702B7CD4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67556E6" w14:textId="472AF608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E939C66" w14:textId="2A53314E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2032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FE3A109" w14:textId="4CB04E41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4 050 863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AA5C802" w14:textId="5CE04269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557 914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4F6EA96" w14:textId="6D162D00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F9271FB" w14:textId="75395404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31. 12. 2032</w:t>
            </w:r>
          </w:p>
        </w:tc>
      </w:tr>
      <w:tr w:rsidR="00C71351" w:rsidRPr="0057262A" w14:paraId="5F2B8917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F60B844" w14:textId="7CFEA5E9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29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89EE3B" w14:textId="559396DA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852BFE" w14:textId="50A037A7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4 091 271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9F591F5" w14:textId="35BCC515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517 506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ED1FF2" w14:textId="5739D6BE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FEF6CBE" w14:textId="75A115FF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31. 3. 2033</w:t>
            </w:r>
          </w:p>
        </w:tc>
      </w:tr>
      <w:tr w:rsidR="00C71351" w:rsidRPr="0057262A" w14:paraId="5CAE65A8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24372FEB" w14:textId="082557AF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43607CF" w14:textId="1E82D12F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7D68E4D" w14:textId="574E745A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4 132 081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D1E14C9" w14:textId="60DEC980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476 696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61043AD" w14:textId="396B3B30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90129D4" w14:textId="309C3DA3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30. 6. 2033</w:t>
            </w:r>
          </w:p>
        </w:tc>
      </w:tr>
      <w:tr w:rsidR="00C71351" w:rsidRPr="0057262A" w14:paraId="0DD9A4A3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97ECE5A" w14:textId="05D5E66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0BF10E4" w14:textId="393929A0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CF7A52A" w14:textId="26753421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4 173 298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38807CA" w14:textId="17BC85E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435 478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49F92EC" w14:textId="731EFE89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8D42699" w14:textId="353A72BE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30. 9. 2033</w:t>
            </w:r>
          </w:p>
        </w:tc>
      </w:tr>
      <w:tr w:rsidR="00C71351" w:rsidRPr="0057262A" w14:paraId="05E0B671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18DA7A6" w14:textId="18CF2E74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32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2659279" w14:textId="2FD3C6EC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DB11FDE" w14:textId="42E3B9FB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4 214 927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F2087C7" w14:textId="26964688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393 850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E05A825" w14:textId="5C258C9A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A107EE4" w14:textId="534569CB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31. 12. 2033</w:t>
            </w:r>
          </w:p>
        </w:tc>
      </w:tr>
      <w:tr w:rsidR="00C71351" w:rsidRPr="0057262A" w14:paraId="41E33132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8C3B6B7" w14:textId="5DB9072E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7453DA9" w14:textId="4A076B7B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5B3232" w14:textId="0722E6D3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4 256 971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3A16BAD" w14:textId="0583AF90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351 806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2AC9893" w14:textId="2A029198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66193E" w14:textId="4BAAA42A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31. 3. 2034</w:t>
            </w:r>
          </w:p>
        </w:tc>
      </w:tr>
      <w:tr w:rsidR="00C71351" w:rsidRPr="0057262A" w14:paraId="016744A0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43E3248E" w14:textId="06CB9A31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34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BFE29CF" w14:textId="7755E10C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096DC50" w14:textId="1B1E620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4 299 434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68EDB7B" w14:textId="37BFC37F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309 343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186BF2D" w14:textId="07F61203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2960CB62" w14:textId="3BCC3F32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30. 6. 2034</w:t>
            </w:r>
          </w:p>
        </w:tc>
      </w:tr>
      <w:tr w:rsidR="00C71351" w:rsidRPr="0057262A" w14:paraId="04740D06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1C05AD1" w14:textId="31A711F9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35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68FE52" w14:textId="6F47274C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5F17D43" w14:textId="12038C1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4 342 321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5F355B" w14:textId="70D17AE8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266 456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B8E9883" w14:textId="513F65B2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87D92C2" w14:textId="4BE7A851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30. 9. 2034</w:t>
            </w:r>
          </w:p>
        </w:tc>
      </w:tr>
      <w:tr w:rsidR="00C71351" w:rsidRPr="0057262A" w14:paraId="7CEF3BCB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3244C0F" w14:textId="20E030A9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36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286D415" w14:textId="448E0A30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983148E" w14:textId="103741FF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4 385 636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4B846C7" w14:textId="11DEC75F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223 141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C802D2A" w14:textId="70220CDC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C517B2D" w14:textId="6E154DFD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31. 12. 2034</w:t>
            </w:r>
          </w:p>
        </w:tc>
      </w:tr>
      <w:tr w:rsidR="00C71351" w:rsidRPr="0057262A" w14:paraId="72475508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0D5E1C5" w14:textId="258E507D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8430255" w14:textId="63047F39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2035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DBD4076" w14:textId="724B9D89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4 429 383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05EBC15" w14:textId="20393A3E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179 394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623F37" w14:textId="0BA09D98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D201160" w14:textId="1344F42D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31. 3. 2035</w:t>
            </w:r>
          </w:p>
        </w:tc>
      </w:tr>
      <w:tr w:rsidR="00C71351" w:rsidRPr="0057262A" w14:paraId="11D16975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59606D9" w14:textId="6969AFE6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38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7917EE2" w14:textId="6122F2F3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2035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3BD8BF5" w14:textId="6EBDFD50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4 473 566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19AEE00B" w14:textId="211282DF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135 211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4D5B5A6" w14:textId="74D90DEE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5A68F39" w14:textId="63B2B256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30. 6. 2035</w:t>
            </w:r>
          </w:p>
        </w:tc>
      </w:tr>
      <w:tr w:rsidR="00C71351" w:rsidRPr="0057262A" w14:paraId="25EF60B2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9C768C6" w14:textId="495774FB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0B4167" w14:textId="2BEAEBE6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2035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D90593" w14:textId="3C89BACF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4 518 189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4B7CD96" w14:textId="7AC99013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90 587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56F6FE" w14:textId="7297B72C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4 608 776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54E3FB9" w14:textId="5C5B1D03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30. 9. 2035</w:t>
            </w:r>
          </w:p>
        </w:tc>
      </w:tr>
      <w:tr w:rsidR="00C71351" w:rsidRPr="0057262A" w14:paraId="40E11D40" w14:textId="77777777" w:rsidTr="00D01AD2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6B5D40E3" w14:textId="52D581EB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</w:t>
            </w:r>
          </w:p>
        </w:tc>
        <w:tc>
          <w:tcPr>
            <w:tcW w:w="130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38F3574" w14:textId="06B9C1C0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2035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5802A00C" w14:textId="0B9D1ECE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4 563 258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77C2BE67" w14:textId="73462DC6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45 519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050F71A7" w14:textId="2F258C73" w:rsidR="00C71351" w:rsidRPr="0057262A" w:rsidRDefault="00C71351" w:rsidP="00C71351">
            <w:pPr>
              <w:spacing w:before="0"/>
              <w:ind w:right="109"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4 608 777</w:t>
            </w:r>
          </w:p>
        </w:tc>
        <w:tc>
          <w:tcPr>
            <w:tcW w:w="1360" w:type="dxa"/>
            <w:tcBorders>
              <w:top w:val="nil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E7E6E6"/>
            <w:noWrap/>
            <w:vAlign w:val="bottom"/>
            <w:hideMark/>
          </w:tcPr>
          <w:p w14:paraId="3C87CD70" w14:textId="18E25BCB" w:rsidR="00C71351" w:rsidRPr="0057262A" w:rsidRDefault="00C71351" w:rsidP="00C71351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31. 12. 2035</w:t>
            </w:r>
          </w:p>
        </w:tc>
      </w:tr>
      <w:tr w:rsidR="00C71351" w:rsidRPr="0057262A" w14:paraId="46A4E628" w14:textId="77777777" w:rsidTr="00242F3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FFFFFF"/>
            </w:tcBorders>
            <w:shd w:val="clear" w:color="000000" w:fill="ED7D31"/>
            <w:noWrap/>
            <w:vAlign w:val="bottom"/>
            <w:hideMark/>
          </w:tcPr>
          <w:p w14:paraId="40C476A7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44546A"/>
              <w:right w:val="single" w:sz="4" w:space="0" w:color="FFFFFF"/>
            </w:tcBorders>
            <w:shd w:val="clear" w:color="000000" w:fill="ED7D31"/>
            <w:noWrap/>
            <w:vAlign w:val="bottom"/>
            <w:hideMark/>
          </w:tcPr>
          <w:p w14:paraId="4C08AD0C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FFFFFF"/>
              <w:bottom w:val="single" w:sz="4" w:space="0" w:color="44546A"/>
              <w:right w:val="single" w:sz="4" w:space="0" w:color="FFFFFF"/>
            </w:tcBorders>
            <w:shd w:val="clear" w:color="000000" w:fill="ED7D31"/>
            <w:noWrap/>
            <w:vAlign w:val="bottom"/>
            <w:hideMark/>
          </w:tcPr>
          <w:p w14:paraId="03E39109" w14:textId="256AD2E7" w:rsidR="00C71351" w:rsidRPr="0057262A" w:rsidRDefault="00C71351" w:rsidP="00C71351">
            <w:pPr>
              <w:spacing w:before="0"/>
              <w:ind w:right="109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151 399 600</w:t>
            </w:r>
          </w:p>
        </w:tc>
        <w:tc>
          <w:tcPr>
            <w:tcW w:w="1360" w:type="dxa"/>
            <w:tcBorders>
              <w:top w:val="nil"/>
              <w:left w:val="single" w:sz="4" w:space="0" w:color="FFFFFF"/>
              <w:bottom w:val="single" w:sz="4" w:space="0" w:color="44546A"/>
              <w:right w:val="single" w:sz="4" w:space="0" w:color="FFFFFF"/>
            </w:tcBorders>
            <w:shd w:val="clear" w:color="000000" w:fill="ED7D31"/>
            <w:noWrap/>
            <w:vAlign w:val="bottom"/>
            <w:hideMark/>
          </w:tcPr>
          <w:p w14:paraId="4C3FBA6B" w14:textId="701B2241" w:rsidR="00C71351" w:rsidRPr="0057262A" w:rsidRDefault="00C71351" w:rsidP="00C71351">
            <w:pPr>
              <w:spacing w:before="0"/>
              <w:ind w:right="109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32 951 473</w:t>
            </w:r>
          </w:p>
        </w:tc>
        <w:tc>
          <w:tcPr>
            <w:tcW w:w="1360" w:type="dxa"/>
            <w:tcBorders>
              <w:top w:val="nil"/>
              <w:left w:val="single" w:sz="4" w:space="0" w:color="FFFFFF"/>
              <w:bottom w:val="single" w:sz="4" w:space="0" w:color="44546A"/>
              <w:right w:val="single" w:sz="4" w:space="0" w:color="FFFFFF"/>
            </w:tcBorders>
            <w:shd w:val="clear" w:color="000000" w:fill="ED7D31"/>
            <w:noWrap/>
            <w:vAlign w:val="bottom"/>
            <w:hideMark/>
          </w:tcPr>
          <w:p w14:paraId="43DF84E5" w14:textId="3AF3608E" w:rsidR="00C71351" w:rsidRPr="0057262A" w:rsidRDefault="00C71351" w:rsidP="00C71351">
            <w:pPr>
              <w:spacing w:before="0"/>
              <w:ind w:right="109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184 351 073</w:t>
            </w:r>
          </w:p>
        </w:tc>
        <w:tc>
          <w:tcPr>
            <w:tcW w:w="1360" w:type="dxa"/>
            <w:tcBorders>
              <w:top w:val="nil"/>
              <w:left w:val="single" w:sz="4" w:space="0" w:color="FFFFFF"/>
              <w:bottom w:val="single" w:sz="4" w:space="0" w:color="44546A"/>
              <w:right w:val="single" w:sz="4" w:space="0" w:color="44546A"/>
            </w:tcBorders>
            <w:shd w:val="clear" w:color="000000" w:fill="ED7D31"/>
            <w:noWrap/>
            <w:vAlign w:val="bottom"/>
            <w:hideMark/>
          </w:tcPr>
          <w:p w14:paraId="70FA1FDA" w14:textId="77777777" w:rsidR="00C71351" w:rsidRPr="0057262A" w:rsidRDefault="00C71351" w:rsidP="00C71351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</w:tbl>
    <w:p w14:paraId="36F36DAC" w14:textId="77777777" w:rsidR="006C2985" w:rsidRDefault="006C2985" w:rsidP="006C2985">
      <w:pPr>
        <w:tabs>
          <w:tab w:val="left" w:pos="1134"/>
        </w:tabs>
        <w:spacing w:before="360"/>
      </w:pPr>
    </w:p>
    <w:p w14:paraId="77F32AE9" w14:textId="77777777" w:rsidR="006C2985" w:rsidRDefault="006C2985" w:rsidP="006C2985">
      <w:pPr>
        <w:tabs>
          <w:tab w:val="left" w:pos="1134"/>
        </w:tabs>
        <w:spacing w:before="360"/>
      </w:pPr>
    </w:p>
    <w:p w14:paraId="230078D4" w14:textId="06744E7B" w:rsidR="00242F3C" w:rsidRDefault="00242F3C">
      <w:pPr>
        <w:pStyle w:val="Odstavecseseznamem"/>
        <w:numPr>
          <w:ilvl w:val="0"/>
          <w:numId w:val="104"/>
        </w:numPr>
        <w:tabs>
          <w:tab w:val="left" w:pos="1134"/>
        </w:tabs>
        <w:spacing w:before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CENA ENERGETICKÉHO MANAGEMENTU</w:t>
      </w:r>
    </w:p>
    <w:p w14:paraId="642819A1" w14:textId="5ABD7E21" w:rsidR="00242F3C" w:rsidRPr="002B2B87" w:rsidRDefault="00242F3C" w:rsidP="00242F3C">
      <w:pPr>
        <w:tabs>
          <w:tab w:val="left" w:pos="1134"/>
        </w:tabs>
        <w:spacing w:before="360"/>
      </w:pPr>
      <w:r w:rsidRPr="002B2B87">
        <w:t>V souladu s čl. 19 a čl. 23 smlouvy je cena energetického managementu uvedena v</w:t>
      </w:r>
      <w:r w:rsidR="00C71351">
        <w:t> následující tabulce</w:t>
      </w:r>
      <w:r w:rsidRPr="002B2B87">
        <w:t>.</w:t>
      </w:r>
    </w:p>
    <w:p w14:paraId="716C33AA" w14:textId="195C450F" w:rsidR="00242F3C" w:rsidRPr="003309BD" w:rsidRDefault="00242F3C" w:rsidP="00242F3C">
      <w:pPr>
        <w:keepNext/>
        <w:tabs>
          <w:tab w:val="left" w:pos="1134"/>
        </w:tabs>
        <w:spacing w:before="240" w:line="360" w:lineRule="auto"/>
        <w:jc w:val="left"/>
      </w:pPr>
      <w:r w:rsidRPr="003309BD">
        <w:t>Cena energetického managementu v Kč bez DPH</w:t>
      </w: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120"/>
        <w:gridCol w:w="1960"/>
      </w:tblGrid>
      <w:tr w:rsidR="00242F3C" w:rsidRPr="0057262A" w14:paraId="24CB0BE5" w14:textId="77777777" w:rsidTr="0057262A">
        <w:trPr>
          <w:trHeight w:val="227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E3F4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378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Období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589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cena energetického managementu</w:t>
            </w:r>
          </w:p>
        </w:tc>
      </w:tr>
      <w:tr w:rsidR="00242F3C" w:rsidRPr="0057262A" w14:paraId="576C40DA" w14:textId="77777777" w:rsidTr="0057262A">
        <w:trPr>
          <w:trHeight w:val="227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94253D" w14:textId="77777777" w:rsidR="00242F3C" w:rsidRPr="0057262A" w:rsidRDefault="00242F3C" w:rsidP="00242F3C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654EDA" w14:textId="77777777" w:rsidR="00242F3C" w:rsidRPr="0057262A" w:rsidRDefault="00242F3C" w:rsidP="00242F3C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FC28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 bez DPH</w:t>
            </w:r>
          </w:p>
        </w:tc>
      </w:tr>
      <w:tr w:rsidR="00C71351" w:rsidRPr="0057262A" w14:paraId="79C89438" w14:textId="77777777" w:rsidTr="00D70CF9">
        <w:trPr>
          <w:trHeight w:val="22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DF7B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6E4B" w14:textId="7A9E5CE6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1.1.2026 - 31.12.2026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E96B" w14:textId="6FD5EED9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73 920</w:t>
            </w:r>
          </w:p>
        </w:tc>
      </w:tr>
      <w:tr w:rsidR="00C71351" w:rsidRPr="0057262A" w14:paraId="5E983CCC" w14:textId="77777777" w:rsidTr="00D70CF9">
        <w:trPr>
          <w:trHeight w:val="2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2D32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8C97" w14:textId="596311AC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1.1.2027 - 31.12.2027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43E3" w14:textId="0EE38FEF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73 920</w:t>
            </w:r>
          </w:p>
        </w:tc>
      </w:tr>
      <w:tr w:rsidR="00C71351" w:rsidRPr="0057262A" w14:paraId="52EAA67B" w14:textId="77777777" w:rsidTr="00D70CF9">
        <w:trPr>
          <w:trHeight w:val="2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3627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A0D" w14:textId="34D7DF18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1.1.2028 - 31.12.2028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F44A" w14:textId="105DE45B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73 920</w:t>
            </w:r>
          </w:p>
        </w:tc>
      </w:tr>
      <w:tr w:rsidR="00C71351" w:rsidRPr="0057262A" w14:paraId="22358B30" w14:textId="77777777" w:rsidTr="00D70CF9">
        <w:trPr>
          <w:trHeight w:val="2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903B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EF37" w14:textId="1C79BF88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1.1.2029 - 31.12.2029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EB46" w14:textId="25AA829D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73 920</w:t>
            </w:r>
          </w:p>
        </w:tc>
      </w:tr>
      <w:tr w:rsidR="00C71351" w:rsidRPr="0057262A" w14:paraId="2A65E2AD" w14:textId="77777777" w:rsidTr="00D70CF9">
        <w:trPr>
          <w:trHeight w:val="2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7119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C2EA" w14:textId="21935EEF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1.1.2030 - 31.12.2030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8E83" w14:textId="4CDBFEF3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73 920</w:t>
            </w:r>
          </w:p>
        </w:tc>
      </w:tr>
      <w:tr w:rsidR="00C71351" w:rsidRPr="0057262A" w14:paraId="5B5ED53F" w14:textId="77777777" w:rsidTr="00D70CF9">
        <w:trPr>
          <w:trHeight w:val="2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CB56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5677" w14:textId="7DB557C0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1.1.2031 - 31.12.2031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0438" w14:textId="101EC048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73 920</w:t>
            </w:r>
          </w:p>
        </w:tc>
      </w:tr>
      <w:tr w:rsidR="00C71351" w:rsidRPr="0057262A" w14:paraId="35BE68C3" w14:textId="77777777" w:rsidTr="00D70CF9">
        <w:trPr>
          <w:trHeight w:val="2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A38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BB9B" w14:textId="276C82AB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1.1.2032 - 31.12.2032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0D6A" w14:textId="0D4828B2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73 920</w:t>
            </w:r>
          </w:p>
        </w:tc>
      </w:tr>
      <w:tr w:rsidR="00C71351" w:rsidRPr="0057262A" w14:paraId="781B955D" w14:textId="77777777" w:rsidTr="00D70CF9">
        <w:trPr>
          <w:trHeight w:val="2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BEBB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E720" w14:textId="372091A9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1.1.2033 - 31.12.2033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C46" w14:textId="5DE626B2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73 920</w:t>
            </w:r>
          </w:p>
        </w:tc>
      </w:tr>
      <w:tr w:rsidR="00C71351" w:rsidRPr="0057262A" w14:paraId="605CAF24" w14:textId="77777777" w:rsidTr="00D70CF9">
        <w:trPr>
          <w:trHeight w:val="2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0C1E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423" w14:textId="226F81EF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1.1.2034 - 31.12.2034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895E" w14:textId="542D2A04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73 920</w:t>
            </w:r>
          </w:p>
        </w:tc>
      </w:tr>
      <w:tr w:rsidR="00C71351" w:rsidRPr="0057262A" w14:paraId="69F43D77" w14:textId="77777777" w:rsidTr="00D70CF9">
        <w:trPr>
          <w:trHeight w:val="227"/>
        </w:trPr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E9AB" w14:textId="77777777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2D0C" w14:textId="37BAC53D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- 31.12.203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FCBA" w14:textId="36BAEAEE" w:rsidR="00C71351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73 920</w:t>
            </w:r>
          </w:p>
        </w:tc>
      </w:tr>
      <w:tr w:rsidR="00242F3C" w:rsidRPr="0057262A" w14:paraId="63B50B4E" w14:textId="77777777" w:rsidTr="0057262A">
        <w:trPr>
          <w:trHeight w:val="22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EC86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B8E9" w14:textId="77777777" w:rsidR="00242F3C" w:rsidRPr="0057262A" w:rsidRDefault="00242F3C" w:rsidP="00242F3C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929" w14:textId="6C07A7B6" w:rsidR="00242F3C" w:rsidRPr="0057262A" w:rsidRDefault="00C71351" w:rsidP="00C71351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713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739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C713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</w:t>
            </w:r>
          </w:p>
        </w:tc>
      </w:tr>
    </w:tbl>
    <w:p w14:paraId="6BD64855" w14:textId="77777777" w:rsidR="00F86BA1" w:rsidRDefault="00F86BA1" w:rsidP="00F86BA1">
      <w:pPr>
        <w:pStyle w:val="Nadpis1"/>
      </w:pPr>
      <w:bookmarkStart w:id="4" w:name="_Toc129194055"/>
      <w:r>
        <w:lastRenderedPageBreak/>
        <w:t xml:space="preserve">Příloha č. 4: </w:t>
      </w:r>
      <w:bookmarkStart w:id="5" w:name="_Hlk111069659"/>
      <w:r>
        <w:t>Harmonogram realizace projektu</w:t>
      </w:r>
      <w:bookmarkEnd w:id="4"/>
      <w:bookmarkEnd w:id="5"/>
    </w:p>
    <w:p w14:paraId="2A93BC7B" w14:textId="3CF22A50" w:rsidR="00AA7310" w:rsidRDefault="00E85395" w:rsidP="00F86BA1">
      <w:pPr>
        <w:rPr>
          <w:lang w:eastAsia="cs-CZ"/>
        </w:rPr>
      </w:pPr>
      <w:r w:rsidRPr="00E85395">
        <w:rPr>
          <w:noProof/>
        </w:rPr>
        <w:drawing>
          <wp:inline distT="0" distB="0" distL="0" distR="0" wp14:anchorId="0E485736" wp14:editId="56956936">
            <wp:extent cx="5153025" cy="5686425"/>
            <wp:effectExtent l="0" t="0" r="9525" b="9525"/>
            <wp:docPr id="75092367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16412" w14:textId="57C893D7" w:rsidR="00F86BA1" w:rsidRDefault="00E85395" w:rsidP="00F86BA1">
      <w:pPr>
        <w:rPr>
          <w:lang w:eastAsia="cs-CZ"/>
        </w:rPr>
      </w:pPr>
      <w:r w:rsidRPr="00E85395">
        <w:rPr>
          <w:noProof/>
        </w:rPr>
        <w:lastRenderedPageBreak/>
        <w:drawing>
          <wp:inline distT="0" distB="0" distL="0" distR="0" wp14:anchorId="72DAF2DB" wp14:editId="7271B0C1">
            <wp:extent cx="8892000" cy="3220800"/>
            <wp:effectExtent l="0" t="2857" r="1587" b="1588"/>
            <wp:docPr id="73220960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92000" cy="32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8BB70" w14:textId="77777777" w:rsidR="00F86BA1" w:rsidRDefault="00F86BA1" w:rsidP="00F86BA1">
      <w:pPr>
        <w:rPr>
          <w:i/>
          <w:lang w:eastAsia="cs-CZ"/>
        </w:rPr>
      </w:pPr>
      <w:r>
        <w:rPr>
          <w:i/>
          <w:lang w:eastAsia="cs-CZ"/>
        </w:rPr>
        <w:lastRenderedPageBreak/>
        <w:t>Poznámka:</w:t>
      </w:r>
    </w:p>
    <w:p w14:paraId="4D5B05B4" w14:textId="77777777" w:rsidR="00E85395" w:rsidRDefault="00F86BA1" w:rsidP="00F86BA1">
      <w:pPr>
        <w:rPr>
          <w:i/>
          <w:lang w:eastAsia="cs-CZ"/>
        </w:rPr>
      </w:pPr>
      <w:r>
        <w:rPr>
          <w:i/>
          <w:lang w:eastAsia="cs-CZ"/>
        </w:rPr>
        <w:t>Podrobný harmonogram bude vypracován a upřesňován v průběhu realizace projektu, výše uvedený základní harmonogram musí být dodržen.</w:t>
      </w:r>
    </w:p>
    <w:p w14:paraId="65FB9AAA" w14:textId="73E3C2AA" w:rsidR="00F86BA1" w:rsidRDefault="00E85395" w:rsidP="00F86BA1">
      <w:pPr>
        <w:rPr>
          <w:i/>
          <w:lang w:eastAsia="cs-CZ"/>
        </w:rPr>
      </w:pPr>
      <w:r>
        <w:rPr>
          <w:i/>
          <w:lang w:eastAsia="cs-CZ"/>
        </w:rPr>
        <w:t>V případě pozdějšího termínu podpisu smlouvy budou odpovídajícím způsobem posunuty návazné termíny harmonogramu.</w:t>
      </w:r>
    </w:p>
    <w:p w14:paraId="680DC61B" w14:textId="77777777" w:rsidR="00E85395" w:rsidRDefault="00E85395" w:rsidP="00E85395">
      <w:pPr>
        <w:rPr>
          <w:b/>
          <w:bCs/>
        </w:rPr>
      </w:pPr>
    </w:p>
    <w:p w14:paraId="77F0576A" w14:textId="640D29E9" w:rsidR="00E85395" w:rsidRPr="00E85395" w:rsidRDefault="00E85395" w:rsidP="00E85395">
      <w:pPr>
        <w:rPr>
          <w:rFonts w:asciiTheme="minorHAnsi" w:hAnsiTheme="minorHAnsi" w:cstheme="minorHAnsi"/>
          <w:b/>
          <w:bCs/>
          <w:i/>
        </w:rPr>
      </w:pPr>
      <w:r w:rsidRPr="00E85395">
        <w:rPr>
          <w:b/>
          <w:bCs/>
        </w:rPr>
        <w:t>Vyhrazená změna závazku</w:t>
      </w:r>
    </w:p>
    <w:p w14:paraId="5A56685B" w14:textId="77777777" w:rsidR="00E85395" w:rsidRPr="00C45BE3" w:rsidRDefault="00E85395" w:rsidP="00E85395">
      <w:pPr>
        <w:pStyle w:val="MainText"/>
        <w:numPr>
          <w:ilvl w:val="0"/>
          <w:numId w:val="117"/>
        </w:numPr>
        <w:spacing w:after="240"/>
        <w:rPr>
          <w:rFonts w:asciiTheme="minorHAnsi" w:eastAsia="Times New Roman" w:hAnsiTheme="minorHAnsi" w:cstheme="minorHAnsi"/>
          <w:sz w:val="22"/>
          <w:lang w:eastAsia="cs-CZ"/>
        </w:rPr>
      </w:pPr>
      <w:r w:rsidRPr="00C45BE3">
        <w:rPr>
          <w:rFonts w:asciiTheme="minorHAnsi" w:eastAsia="Times New Roman" w:hAnsiTheme="minorHAnsi" w:cstheme="minorHAnsi"/>
          <w:sz w:val="22"/>
          <w:lang w:eastAsia="cs-CZ"/>
        </w:rPr>
        <w:t xml:space="preserve">V souladu s § 100, odst. 1 ZZVZ si zadavatel vyhrazuje právo změny závazku ze smlouvy na veřejnou zakázku, a to na změnu doby plnění, spočívající v prodloužení doby plnění takto: „V případě vzniku překážek ze strany orgánů státní správy (zejména příslušného stavebního úřadu), které brání dodavateli v plnění jeho závazku, spočívajícím v zajištění vydání stavebního povolení resp. kolaudačního souhlasu (rozhodnutí), a kterým dodavatel jednající s náležitou péčí nemohl zabránit, se o dobu trvání těchto překážek prodlužuje doba plnění.“ </w:t>
      </w:r>
    </w:p>
    <w:p w14:paraId="3FEE45CC" w14:textId="77777777" w:rsidR="00E85395" w:rsidRPr="00C45BE3" w:rsidRDefault="00E85395" w:rsidP="00E85395">
      <w:pPr>
        <w:pStyle w:val="MainText"/>
        <w:numPr>
          <w:ilvl w:val="0"/>
          <w:numId w:val="117"/>
        </w:numPr>
        <w:spacing w:after="240"/>
        <w:rPr>
          <w:rFonts w:asciiTheme="minorHAnsi" w:eastAsia="Times New Roman" w:hAnsiTheme="minorHAnsi" w:cstheme="minorHAnsi"/>
          <w:sz w:val="22"/>
          <w:lang w:eastAsia="cs-CZ"/>
        </w:rPr>
      </w:pPr>
      <w:r w:rsidRPr="00C45BE3">
        <w:rPr>
          <w:rFonts w:asciiTheme="minorHAnsi" w:eastAsia="Times New Roman" w:hAnsiTheme="minorHAnsi" w:cstheme="minorHAnsi"/>
          <w:sz w:val="22"/>
          <w:lang w:eastAsia="cs-CZ"/>
        </w:rPr>
        <w:t xml:space="preserve">V souladu s § 100, odst. 1 ZZVZ si zadavatel vyhrazuje právo změny závazku ze smlouvy na veřejnou zakázku, a to na změnu doby plnění, spočívající v prodloužení doby plnění takto: „V případě vzniku překážek ze strany provozovatele distribuční sítě, které brání dodavateli v plnění jeho závazku, spočívajícím v zapojení FVE do distribuční sítě, a kterým dodavatel jednající s náležitou péčí nemohl zabránit, se o dobu trvání těchto překážek prodlužuje doba plnění.“ </w:t>
      </w:r>
    </w:p>
    <w:p w14:paraId="32F87BAD" w14:textId="77777777" w:rsidR="00E85395" w:rsidRPr="00C45BE3" w:rsidRDefault="00E85395" w:rsidP="00E85395">
      <w:pPr>
        <w:pStyle w:val="MainText"/>
        <w:numPr>
          <w:ilvl w:val="0"/>
          <w:numId w:val="117"/>
        </w:numPr>
        <w:spacing w:after="240"/>
        <w:rPr>
          <w:rFonts w:asciiTheme="minorHAnsi" w:eastAsia="Times New Roman" w:hAnsiTheme="minorHAnsi" w:cstheme="minorHAnsi"/>
          <w:sz w:val="22"/>
          <w:lang w:eastAsia="cs-CZ"/>
        </w:rPr>
      </w:pPr>
      <w:r w:rsidRPr="00C45BE3">
        <w:rPr>
          <w:rFonts w:asciiTheme="minorHAnsi" w:eastAsia="Times New Roman" w:hAnsiTheme="minorHAnsi" w:cstheme="minorHAnsi"/>
          <w:sz w:val="22"/>
          <w:lang w:eastAsia="cs-CZ"/>
        </w:rPr>
        <w:t xml:space="preserve">Vyhrazené změny budou poskytovány v místě plnění této veřejné zakázky. </w:t>
      </w:r>
    </w:p>
    <w:p w14:paraId="307BE2B9" w14:textId="77777777" w:rsidR="00E85395" w:rsidRDefault="00E85395" w:rsidP="00F86BA1">
      <w:pPr>
        <w:rPr>
          <w:i/>
          <w:lang w:eastAsia="cs-CZ"/>
        </w:rPr>
      </w:pPr>
    </w:p>
    <w:p w14:paraId="006969F1" w14:textId="5F273B00" w:rsidR="00F86BA1" w:rsidRDefault="00F86BA1" w:rsidP="00F86BA1">
      <w:pPr>
        <w:pStyle w:val="Nadpis1"/>
      </w:pPr>
      <w:bookmarkStart w:id="6" w:name="_Toc129194056"/>
      <w:r>
        <w:lastRenderedPageBreak/>
        <w:t>Příloha č. 5: Výše garantované úspory</w:t>
      </w:r>
      <w:bookmarkEnd w:id="6"/>
    </w:p>
    <w:p w14:paraId="080B560C" w14:textId="49AE2BF4" w:rsidR="00033418" w:rsidRDefault="00033418" w:rsidP="00033418">
      <w:pPr>
        <w:shd w:val="clear" w:color="auto" w:fill="FFFFFF" w:themeFill="background1"/>
        <w:spacing w:before="240"/>
      </w:pPr>
      <w:r w:rsidRPr="007E44E7">
        <w:t xml:space="preserve">ESCO garantuje, že energeticky úspornými opatřeními bude v jednotlivých letech trvání smlouvy dosaženo úspor nákladů ve výši uvedené </w:t>
      </w:r>
      <w:r w:rsidR="00E85395">
        <w:t>v tabulce níže</w:t>
      </w:r>
      <w:r w:rsidRPr="007E44E7">
        <w:t xml:space="preserve">. Za příslušné zúčtovací období je garantována celková úspora nákladů ve </w:t>
      </w:r>
      <w:r w:rsidRPr="000E6C90">
        <w:t xml:space="preserve">výši </w:t>
      </w:r>
      <w:r w:rsidR="00C32744" w:rsidRPr="00C32744">
        <w:rPr>
          <w:b/>
        </w:rPr>
        <w:t>14 628 853</w:t>
      </w:r>
      <w:r w:rsidRPr="000E6C90">
        <w:rPr>
          <w:b/>
        </w:rPr>
        <w:t>,-</w:t>
      </w:r>
      <w:r w:rsidRPr="000E6C90">
        <w:t xml:space="preserve"> </w:t>
      </w:r>
      <w:r w:rsidRPr="000E6C90">
        <w:rPr>
          <w:b/>
          <w:bCs/>
        </w:rPr>
        <w:t xml:space="preserve">Kč </w:t>
      </w:r>
      <w:r>
        <w:rPr>
          <w:b/>
          <w:bCs/>
        </w:rPr>
        <w:t>bez</w:t>
      </w:r>
      <w:r w:rsidRPr="000E6C90">
        <w:rPr>
          <w:b/>
          <w:bCs/>
        </w:rPr>
        <w:t xml:space="preserve"> DPH.</w:t>
      </w:r>
      <w:r w:rsidRPr="00D53D63">
        <w:t xml:space="preserve"> </w:t>
      </w:r>
      <w:r w:rsidRPr="00C10C4A">
        <w:t xml:space="preserve">Úspora zahrnuje úspory nákladů na </w:t>
      </w:r>
      <w:r>
        <w:t>teplo, elektřinu,</w:t>
      </w:r>
      <w:r w:rsidRPr="00C10C4A">
        <w:t xml:space="preserve"> vodu</w:t>
      </w:r>
      <w:r>
        <w:t xml:space="preserve"> a ostatní provozní náklady</w:t>
      </w:r>
      <w:r w:rsidRPr="00C10C4A">
        <w:t>.</w:t>
      </w:r>
    </w:p>
    <w:p w14:paraId="265035DC" w14:textId="6FA02018" w:rsidR="00B86052" w:rsidRPr="00B86052" w:rsidRDefault="00B86052" w:rsidP="00B86052">
      <w:pPr>
        <w:rPr>
          <w:rFonts w:ascii="Arial" w:hAnsi="Arial" w:cs="Arial"/>
          <w:b/>
          <w:bCs/>
          <w:sz w:val="20"/>
        </w:rPr>
      </w:pPr>
      <w:r w:rsidRPr="00B86052">
        <w:rPr>
          <w:rFonts w:ascii="Arial" w:hAnsi="Arial" w:cs="Arial"/>
          <w:b/>
          <w:bCs/>
          <w:sz w:val="20"/>
        </w:rPr>
        <w:t>Garantovaná úspora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800"/>
        <w:gridCol w:w="2500"/>
        <w:gridCol w:w="2500"/>
      </w:tblGrid>
      <w:tr w:rsidR="00B86052" w:rsidRPr="00B86052" w14:paraId="13A49A43" w14:textId="77777777" w:rsidTr="00345E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4753" w14:textId="77777777" w:rsidR="00B86052" w:rsidRPr="00345E04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D02" w14:textId="77777777" w:rsidR="00B86052" w:rsidRPr="00345E04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(zúčtovací období)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81C" w14:textId="77777777" w:rsidR="00B86052" w:rsidRPr="00345E04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Garantovaná úspora                        GÚZO v Kč bez DPH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D09A" w14:textId="77777777" w:rsidR="00B86052" w:rsidRPr="00345E04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výše úspory v %</w:t>
            </w:r>
          </w:p>
        </w:tc>
      </w:tr>
      <w:tr w:rsidR="0057262A" w:rsidRPr="00B86052" w14:paraId="586D5488" w14:textId="77777777" w:rsidTr="00345E04">
        <w:trPr>
          <w:trHeight w:val="227"/>
        </w:trPr>
        <w:tc>
          <w:tcPr>
            <w:tcW w:w="6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A88D" w14:textId="77777777" w:rsidR="0057262A" w:rsidRPr="00345E04" w:rsidRDefault="0057262A" w:rsidP="0057262A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E325" w14:textId="25A4FD9E" w:rsidR="0057262A" w:rsidRPr="00345E04" w:rsidRDefault="0057262A" w:rsidP="0057262A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1.1.2026 - 31.12.2026</w:t>
            </w:r>
          </w:p>
        </w:tc>
        <w:tc>
          <w:tcPr>
            <w:tcW w:w="2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C594" w14:textId="59991C5B" w:rsidR="0057262A" w:rsidRPr="00345E04" w:rsidRDefault="00C32744" w:rsidP="0057262A">
            <w:pPr>
              <w:spacing w:before="0"/>
              <w:ind w:right="61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14 628 853</w:t>
            </w:r>
          </w:p>
        </w:tc>
        <w:tc>
          <w:tcPr>
            <w:tcW w:w="2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F04" w14:textId="02DCE1C5" w:rsidR="0057262A" w:rsidRPr="00345E04" w:rsidRDefault="00C32744" w:rsidP="0057262A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821F17"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57262A"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C32744" w:rsidRPr="00B86052" w14:paraId="1D10CB9D" w14:textId="77777777" w:rsidTr="00345E04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DB91" w14:textId="77777777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4AD" w14:textId="034E4A9F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1.1.2027 - 31.12.2027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9302" w14:textId="6039A8E9" w:rsidR="00C32744" w:rsidRPr="00345E04" w:rsidRDefault="00C32744" w:rsidP="00C32744">
            <w:pPr>
              <w:spacing w:before="0"/>
              <w:ind w:right="61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14 628 853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C7A" w14:textId="41BFB26F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44,2</w:t>
            </w:r>
          </w:p>
        </w:tc>
      </w:tr>
      <w:tr w:rsidR="00C32744" w:rsidRPr="00B86052" w14:paraId="089A0A39" w14:textId="77777777" w:rsidTr="00345E04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0F7" w14:textId="77777777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9FC9" w14:textId="7E487D4A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1.1.2028 - 31.12.2028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381" w14:textId="0B4886EB" w:rsidR="00C32744" w:rsidRPr="00345E04" w:rsidRDefault="00C32744" w:rsidP="00C32744">
            <w:pPr>
              <w:spacing w:before="0"/>
              <w:ind w:right="61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14 628 853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29F" w14:textId="4A898A88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44,2</w:t>
            </w:r>
          </w:p>
        </w:tc>
      </w:tr>
      <w:tr w:rsidR="00C32744" w:rsidRPr="00B86052" w14:paraId="0DC60CB9" w14:textId="77777777" w:rsidTr="00345E04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D4F2" w14:textId="77777777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1026" w14:textId="724B764F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1.1.2029 - 31.12.2029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92D" w14:textId="7892759D" w:rsidR="00C32744" w:rsidRPr="00345E04" w:rsidRDefault="00C32744" w:rsidP="00C32744">
            <w:pPr>
              <w:spacing w:before="0"/>
              <w:ind w:right="61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14 628 853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61B" w14:textId="6D95F6DD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44,2</w:t>
            </w:r>
          </w:p>
        </w:tc>
      </w:tr>
      <w:tr w:rsidR="00C32744" w:rsidRPr="00B86052" w14:paraId="7A063C7A" w14:textId="77777777" w:rsidTr="00345E04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D08E" w14:textId="77777777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5AA" w14:textId="1DECCF66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1.1.2030 - 31.12.2030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BFCD" w14:textId="792E64A1" w:rsidR="00C32744" w:rsidRPr="00345E04" w:rsidRDefault="00C32744" w:rsidP="00C32744">
            <w:pPr>
              <w:spacing w:before="0"/>
              <w:ind w:right="61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14 628 853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DB64" w14:textId="1D8B665A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44,2</w:t>
            </w:r>
          </w:p>
        </w:tc>
      </w:tr>
      <w:tr w:rsidR="00C32744" w:rsidRPr="00B86052" w14:paraId="196975DE" w14:textId="77777777" w:rsidTr="00345E04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A85" w14:textId="77777777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702" w14:textId="60F0E084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1.1.2031 - 31.12.2031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27A3" w14:textId="7A3D2C49" w:rsidR="00C32744" w:rsidRPr="00345E04" w:rsidRDefault="00C32744" w:rsidP="00C32744">
            <w:pPr>
              <w:spacing w:before="0"/>
              <w:ind w:right="61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14 628 853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EDF" w14:textId="0E32C741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44,2</w:t>
            </w:r>
          </w:p>
        </w:tc>
      </w:tr>
      <w:tr w:rsidR="00C32744" w:rsidRPr="00B86052" w14:paraId="5B506412" w14:textId="77777777" w:rsidTr="00345E04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BDA" w14:textId="77777777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31F7" w14:textId="628AE1F9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1.1.2032 - 31.12.2032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AFAA" w14:textId="76B975A4" w:rsidR="00C32744" w:rsidRPr="00345E04" w:rsidRDefault="00C32744" w:rsidP="00C32744">
            <w:pPr>
              <w:spacing w:before="0"/>
              <w:ind w:right="61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14 628 853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BEB" w14:textId="62CF2FA3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44,2</w:t>
            </w:r>
          </w:p>
        </w:tc>
      </w:tr>
      <w:tr w:rsidR="00C32744" w:rsidRPr="00B86052" w14:paraId="23392828" w14:textId="77777777" w:rsidTr="00345E04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EE3E" w14:textId="77777777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82FC" w14:textId="38A612E3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1.1.2033 - 31.12.2033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DBCE" w14:textId="76B2D03B" w:rsidR="00C32744" w:rsidRPr="00345E04" w:rsidRDefault="00C32744" w:rsidP="00C32744">
            <w:pPr>
              <w:spacing w:before="0"/>
              <w:ind w:right="61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14 628 853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5B03" w14:textId="1F56D0A9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44,2</w:t>
            </w:r>
          </w:p>
        </w:tc>
      </w:tr>
      <w:tr w:rsidR="00C32744" w:rsidRPr="00B86052" w14:paraId="16B91FDD" w14:textId="77777777" w:rsidTr="00345E04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47F" w14:textId="77777777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9E4A" w14:textId="75621741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1.1.2034 - 31.12.2034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7B23" w14:textId="126FF285" w:rsidR="00C32744" w:rsidRPr="00345E04" w:rsidRDefault="00C32744" w:rsidP="00C32744">
            <w:pPr>
              <w:spacing w:before="0"/>
              <w:ind w:right="61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14 628 853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A1A" w14:textId="01A9C305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44,2</w:t>
            </w:r>
          </w:p>
        </w:tc>
      </w:tr>
      <w:tr w:rsidR="00C32744" w:rsidRPr="00B86052" w14:paraId="243B4A3D" w14:textId="77777777" w:rsidTr="00345E04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21A6" w14:textId="77777777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B844" w14:textId="0955866F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1.1.2035 - 31.12.2035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62D" w14:textId="7B555E19" w:rsidR="00C32744" w:rsidRPr="00345E04" w:rsidRDefault="00C32744" w:rsidP="00C32744">
            <w:pPr>
              <w:spacing w:before="0"/>
              <w:ind w:right="61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14 628 853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E5C" w14:textId="1033BB11" w:rsidR="00C32744" w:rsidRPr="00345E04" w:rsidRDefault="00C32744" w:rsidP="00C3274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44,2</w:t>
            </w:r>
          </w:p>
        </w:tc>
      </w:tr>
      <w:tr w:rsidR="002107C4" w:rsidRPr="00B86052" w14:paraId="77400331" w14:textId="77777777" w:rsidTr="00345E04">
        <w:trPr>
          <w:trHeight w:val="227"/>
        </w:trPr>
        <w:tc>
          <w:tcPr>
            <w:tcW w:w="34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BF55" w14:textId="77777777" w:rsidR="002107C4" w:rsidRPr="00345E04" w:rsidRDefault="002107C4" w:rsidP="002107C4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EA0F" w14:textId="54AA7962" w:rsidR="002107C4" w:rsidRPr="00345E04" w:rsidRDefault="00345E04" w:rsidP="002107C4">
            <w:pPr>
              <w:spacing w:before="0"/>
              <w:ind w:right="619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5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146 288 525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148C" w14:textId="4B355303" w:rsidR="002107C4" w:rsidRPr="00345E04" w:rsidRDefault="002107C4" w:rsidP="002107C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100E302B" w14:textId="7145DB9D" w:rsidR="00B86052" w:rsidRDefault="00B86052" w:rsidP="00345E04">
      <w:pPr>
        <w:shd w:val="clear" w:color="auto" w:fill="FFFFFF" w:themeFill="background1"/>
        <w:spacing w:before="240"/>
      </w:pPr>
      <w:r w:rsidRPr="00C10C4A">
        <w:t>Za příslušné zúčtovací období je garantována celkov</w:t>
      </w:r>
      <w:r>
        <w:t>á úspora nákladů ve výši uvedené v</w:t>
      </w:r>
      <w:r w:rsidR="00C54691">
        <w:t> tabulce výše</w:t>
      </w:r>
      <w:r>
        <w:t xml:space="preserve">, </w:t>
      </w:r>
      <w:r w:rsidRPr="00C10C4A">
        <w:t>nikoli úspory nákladů na jednotlivých</w:t>
      </w:r>
      <w:r>
        <w:t xml:space="preserve"> </w:t>
      </w:r>
      <w:r w:rsidRPr="00C10C4A">
        <w:t>energiích</w:t>
      </w:r>
      <w:r>
        <w:t xml:space="preserve"> či opatřeních</w:t>
      </w:r>
      <w:r w:rsidRPr="00C10C4A">
        <w:t xml:space="preserve">. </w:t>
      </w:r>
      <w:r>
        <w:t>V</w:t>
      </w:r>
      <w:r w:rsidR="00C54691">
        <w:t> tabulce níže</w:t>
      </w:r>
      <w:r>
        <w:t xml:space="preserve"> je uvedena očekávaná struktura garantované úspory po jednotlivých energiích. </w:t>
      </w:r>
      <w:r w:rsidRPr="00D53D63">
        <w:t>Úspora je garantována ve stálých</w:t>
      </w:r>
      <w:r>
        <w:t xml:space="preserve"> ref</w:t>
      </w:r>
      <w:r w:rsidR="00345E04">
        <w:t xml:space="preserve">erenčních </w:t>
      </w:r>
      <w:r>
        <w:t>cenách.</w:t>
      </w:r>
    </w:p>
    <w:p w14:paraId="2945E9BF" w14:textId="1A6FC2BD" w:rsidR="00B86052" w:rsidRPr="00B86052" w:rsidRDefault="00B86052" w:rsidP="00B86052">
      <w:pPr>
        <w:rPr>
          <w:rFonts w:ascii="Arial" w:hAnsi="Arial" w:cs="Arial"/>
          <w:b/>
          <w:bCs/>
          <w:sz w:val="20"/>
        </w:rPr>
      </w:pPr>
      <w:r w:rsidRPr="00B86052">
        <w:rPr>
          <w:rFonts w:ascii="Arial" w:hAnsi="Arial" w:cs="Arial"/>
          <w:b/>
          <w:bCs/>
          <w:sz w:val="20"/>
        </w:rPr>
        <w:t>Očekávaná struktura garantované úspory</w:t>
      </w: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60"/>
        <w:gridCol w:w="2550"/>
        <w:gridCol w:w="1380"/>
        <w:gridCol w:w="960"/>
        <w:gridCol w:w="1380"/>
        <w:gridCol w:w="963"/>
      </w:tblGrid>
      <w:tr w:rsidR="00B86052" w:rsidRPr="0057262A" w14:paraId="76248EB7" w14:textId="77777777" w:rsidTr="00345E04">
        <w:trPr>
          <w:cantSplit/>
          <w:trHeight w:val="22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C4111" w14:textId="77777777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90497" w14:textId="77777777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období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DF69" w14:textId="77777777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</w:t>
            </w:r>
          </w:p>
        </w:tc>
      </w:tr>
      <w:tr w:rsidR="00B86052" w:rsidRPr="0057262A" w14:paraId="68710B57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383FEEF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9D80BCA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90CB0" w14:textId="77777777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energie /média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A0A4" w14:textId="77777777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 tech. jednotkách</w:t>
            </w:r>
          </w:p>
        </w:tc>
        <w:tc>
          <w:tcPr>
            <w:tcW w:w="2343" w:type="dxa"/>
            <w:gridSpan w:val="2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9236" w14:textId="77777777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 Kč bez DPH</w:t>
            </w:r>
          </w:p>
        </w:tc>
      </w:tr>
      <w:tr w:rsidR="0057262A" w:rsidRPr="0057262A" w14:paraId="116BC215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CEDC2" w14:textId="77777777" w:rsidR="0057262A" w:rsidRPr="0057262A" w:rsidRDefault="0057262A" w:rsidP="0057262A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0D8E" w14:textId="77777777" w:rsidR="0057262A" w:rsidRPr="0057262A" w:rsidRDefault="0057262A" w:rsidP="0057262A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6F7E0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8100671" w14:textId="550F045D" w:rsidR="0057262A" w:rsidRPr="0057262A" w:rsidRDefault="00336C9F" w:rsidP="0057262A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4147D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822C790" w14:textId="1BFF70E2" w:rsidR="0057262A" w:rsidRPr="0057262A" w:rsidRDefault="00336C9F" w:rsidP="0057262A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3 532 101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DC71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57262A" w:rsidRPr="0057262A" w14:paraId="4AF02724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E0149BC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6B4A5" w14:textId="05700153" w:rsidR="0057262A" w:rsidRPr="0057262A" w:rsidRDefault="0057262A" w:rsidP="0057262A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D07D0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C21A9A7" w14:textId="2509A360" w:rsidR="0057262A" w:rsidRPr="0057262A" w:rsidRDefault="00336C9F" w:rsidP="0057262A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64582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E555DE6" w14:textId="3F7E6967" w:rsidR="0057262A" w:rsidRPr="0057262A" w:rsidRDefault="00336C9F" w:rsidP="0057262A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11 096 752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19F2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57262A" w:rsidRPr="0057262A" w14:paraId="0E93EAF5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A1A5BD4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1C65B" w14:textId="63D00A87" w:rsidR="0057262A" w:rsidRPr="0057262A" w:rsidRDefault="0057262A" w:rsidP="0057262A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37217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01CBED0" w14:textId="77777777" w:rsidR="0057262A" w:rsidRPr="0057262A" w:rsidRDefault="0057262A" w:rsidP="0057262A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D0FEF7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1D2158F" w14:textId="718BE485" w:rsidR="0057262A" w:rsidRPr="0057262A" w:rsidRDefault="0057262A" w:rsidP="0057262A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E1E6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57262A" w:rsidRPr="0057262A" w14:paraId="3DC573A5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BA96788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5C4E5" w14:textId="4EA202B5" w:rsidR="0057262A" w:rsidRPr="0057262A" w:rsidRDefault="0057262A" w:rsidP="0057262A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31.12.2026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8F3BAA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C49F" w14:textId="77777777" w:rsidR="0057262A" w:rsidRPr="0057262A" w:rsidRDefault="0057262A" w:rsidP="0057262A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B3D5C3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11C770C" w14:textId="6C230D37" w:rsidR="0057262A" w:rsidRPr="0057262A" w:rsidRDefault="0057262A" w:rsidP="0057262A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0610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57262A" w:rsidRPr="0057262A" w14:paraId="1BE01F34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AF26711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8E71F" w14:textId="3F8BB189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751F9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4390A2C3" w14:textId="77777777" w:rsidR="0057262A" w:rsidRPr="0057262A" w:rsidRDefault="0057262A" w:rsidP="0057262A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C0DC7F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67D7BCD1" w14:textId="7FAC6F9E" w:rsidR="0057262A" w:rsidRPr="0057262A" w:rsidRDefault="00336C9F" w:rsidP="0057262A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14 628 853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7F1B" w14:textId="77777777" w:rsidR="0057262A" w:rsidRPr="0057262A" w:rsidRDefault="0057262A" w:rsidP="0057262A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7B266A7E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19D30E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64C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B63E1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8937000" w14:textId="7C784EE5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C91DB" w14:textId="40C7CF25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DB460F1" w14:textId="7B5F4C02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3 532 101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3F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2D1B81AF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BD05CB6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816C30" w14:textId="00644415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203E83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B0AEF99" w14:textId="55ABDF3D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6896A" w14:textId="3F41C3F0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3227043" w14:textId="6FD3416D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11 096 752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A27E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48AE8E17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34ADC1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EAE73A" w14:textId="57C5BB36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B579B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40BD6B8" w14:textId="12609364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393E3D" w14:textId="7B0126CD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0158B7D" w14:textId="3E5BCBE0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8BE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6AF14D90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8DE39E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20761" w14:textId="771102B5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31.12.2027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C1EC20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8A4D" w14:textId="0BA075DE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27D6D" w14:textId="30534DE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4B25CB7" w14:textId="6781401E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D96E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4E9D969F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6399036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E4E0C" w14:textId="76A65893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E4E173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64A9D05E" w14:textId="77327A72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B8CF3" w14:textId="4BFDF47E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0D4B2836" w14:textId="5D9A0B5B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14 628 853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29B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2D697DCE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82217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750A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6F2A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6989BDC" w14:textId="4F33D922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00590" w14:textId="76F4058A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1023975" w14:textId="3F6A0CDE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3 532 101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6A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656ACA5D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30C1FF4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329E7E" w14:textId="48BFD789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01.01.2028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73339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74D751" w14:textId="5C0F439B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50E72" w14:textId="5FE550F1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7B82B52" w14:textId="0C880101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11 096 752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9E96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3396C49E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E244E0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91F37" w14:textId="15F0C83B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F52A8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502AA0E" w14:textId="58510838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2CFAC" w14:textId="3FFEB746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825EB9A" w14:textId="3FED6338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3EED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479165CF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A01B5EB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CCE03" w14:textId="5DC33452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31.12.2028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83A87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4D8C" w14:textId="6A08D747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DBB1E" w14:textId="2373A7A9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203DC5" w14:textId="6E408694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A088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5A83E08A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FB9F53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C06EC" w14:textId="3A258EDD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2686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1FACC529" w14:textId="59DA71E5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48C23" w14:textId="2006141A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2950F72E" w14:textId="766AA338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14 628 853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58B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3FF0712A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9E979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8A8A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5CA31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50A8F99" w14:textId="6F3D8220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3933D" w14:textId="4FFC8AF0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2A4368B" w14:textId="72362B7A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3 532 101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2DA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36CFC875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6323313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DE1912" w14:textId="1E355256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4B815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DC6D0B9" w14:textId="5738CB16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233E7" w14:textId="361818DE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9CE17F0" w14:textId="7D64B1AD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11 096 752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FEB2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4F87C09F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C4A0984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C0511" w14:textId="078BD191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172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DF4BD16" w14:textId="160C19DA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6E77C" w14:textId="1F6FD248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0EB4880" w14:textId="5E2A9451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4925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6176C41C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5F565B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4CAC32" w14:textId="260E4F16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31.12.2029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76DE44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CA52" w14:textId="77E60BC5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369AF" w14:textId="78D322D4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4CA1367" w14:textId="3B7F18C7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C10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58ABCF92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4E6195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24AD2" w14:textId="3503987D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D553F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59BC2E92" w14:textId="42C75C15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38B54" w14:textId="1366734F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5714EBC2" w14:textId="444C6BF3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14 628 853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DF0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44D427DE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46F6A5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F348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1D4BF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9BB50B7" w14:textId="2AF4543F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147890" w14:textId="064EA752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661FE5D" w14:textId="44A8A2B0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3 532 101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549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6D0A5A1D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A0A3D5A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06709" w14:textId="51650834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D86BB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9869232" w14:textId="11EFBED0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34EF8" w14:textId="52F9898C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61972E2" w14:textId="1300F972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11 096 752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C6D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051F4E4E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3008F0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3C982" w14:textId="77FF81D4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676C3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966FE76" w14:textId="49FBB480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CFD15" w14:textId="70063988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1C61785" w14:textId="7A806002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4421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6F8BB063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D0BAF2D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4C0499" w14:textId="37509D06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944B6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DFDF" w14:textId="7C40AC11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23B1E" w14:textId="5F12F128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0529DDA" w14:textId="2E28DB2D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97A1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775D0413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CFAA8F2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3023CF" w14:textId="0E3F3C50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DA7226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5359ED40" w14:textId="2491049D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F9B19" w14:textId="1D9DFC42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721DE8AB" w14:textId="384F02B9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14 628 853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91E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08A9807C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2453D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0F9A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E43A3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FF5A300" w14:textId="0554ABBA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B083A" w14:textId="4659FC64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3F748A7" w14:textId="477E4815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3 532 101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F42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5B6C7FF0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9B2CFCA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A61CF" w14:textId="3F25F793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01.01.2031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70B7A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1B039E2" w14:textId="67391FB1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A988E4" w14:textId="2CAF4779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2F55AFC" w14:textId="00124754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11 096 752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4C50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310B636E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C750316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44838" w14:textId="07F5F7D9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37578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CE505D" w14:textId="36E3C9A4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DDC7A" w14:textId="4115C50F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82FDBE2" w14:textId="5739CEE1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4358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6D8BB988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CF25259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4DDC94" w14:textId="513BD04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31.12.2031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3CEBE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129D" w14:textId="400C6A70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9BE5D" w14:textId="64E0E17D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7F8F1DE" w14:textId="42FE8905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3B2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2B86D74C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597664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FA808" w14:textId="0E4399BB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DFC3F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6042BF59" w14:textId="30D9588C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39797" w14:textId="73E6C7F0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33CB6907" w14:textId="1AB287D2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14 628 853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E0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73796CB7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E3647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406C" w14:textId="77777777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35482D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11EB121" w14:textId="052F91B9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7DFD1B" w14:textId="5A4988F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963BE8A" w14:textId="0BF1D885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3 532 101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83C9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1F3F9EC2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44C9940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9FEDF6" w14:textId="469F613B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8DBAB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2901F24" w14:textId="63E74B2C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770C3" w14:textId="0192DFED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E7DA3A8" w14:textId="2CD98CB4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11 096 752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546C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024C3D89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6BA450D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F7F5FE" w14:textId="26130FB5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A4C4D3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51FAB4B" w14:textId="248C6FD6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B3183" w14:textId="564D6EA5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1A7638E" w14:textId="0CA9F80E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6E4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1C6A4EEF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E1690A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78E48" w14:textId="0E7DE258" w:rsidR="00336C9F" w:rsidRPr="0057262A" w:rsidRDefault="00336C9F" w:rsidP="00336C9F">
            <w:pPr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31.12.2032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A5559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8EE1B" w14:textId="155C50C0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B3532F" w14:textId="3D11CE78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08AEF98" w14:textId="508CEF30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291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1918DF7F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562DA87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62D42" w14:textId="3AD3857B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30A00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2F0397B7" w14:textId="09720092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008AB" w14:textId="2B1F352A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28B96303" w14:textId="367E3D47" w:rsidR="00336C9F" w:rsidRPr="0057262A" w:rsidRDefault="00336C9F" w:rsidP="00336C9F">
            <w:pPr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14 628 853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A3A" w14:textId="77777777" w:rsidR="00336C9F" w:rsidRPr="0057262A" w:rsidRDefault="00336C9F" w:rsidP="00336C9F">
            <w:pPr>
              <w:spacing w:befor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6ADDEFC8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42B851" w14:textId="77777777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993" w14:textId="77777777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E6054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0C24BA2" w14:textId="6A96D23C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DC6CE0" w14:textId="6928283A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B49C449" w14:textId="3659DA9B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3 532 101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87A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7F31F66B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F44C616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032B3" w14:textId="2F7AEF74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5EEC5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6B5CB38" w14:textId="78CC86AF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1DA0B" w14:textId="1A1EE92B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456A267" w14:textId="730C5B6A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11 096 752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0B0F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0AE83EA8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AC75B03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B4A8D" w14:textId="4D83BDDF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7A924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6D07A1B" w14:textId="1825B8A8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94834" w14:textId="2E6FBB33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E83F066" w14:textId="73A7C53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60C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1B89439D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AB873C6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E2402" w14:textId="7C208973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31.12.2033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F83998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4007" w14:textId="3D19279E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33524" w14:textId="0690C41B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26A95CB" w14:textId="2E36081A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647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156D575A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BF38E36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A3A5F4" w14:textId="21C3446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250B1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0D7E61FB" w14:textId="0EED0370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19F31" w14:textId="482BA526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3BC4FFCE" w14:textId="32067BAE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14 628 853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55FC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112C85E9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CD105" w14:textId="77777777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E91" w14:textId="77777777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7D1E4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51C0346" w14:textId="130A3EA0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68067" w14:textId="2CD5F98D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A68BF84" w14:textId="73F23954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3 532 101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B76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662A8D03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19FF87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CCD9D" w14:textId="08FAC0BD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01.01.2034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8C557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A579B7C" w14:textId="22E7B002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4A7B5" w14:textId="246CCC9F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DD2A56B" w14:textId="060AEEB4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11 096 752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CB78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3BB9E840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970A4CE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6F17DA" w14:textId="7BCEA646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2D5B1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7FCDCCA" w14:textId="3E30F2E8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F0407" w14:textId="12B8D5A0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73A67CC" w14:textId="7E006A8B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BC1F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01108E29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60FA3CF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0C1DC3" w14:textId="0C6655EB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31.12.2034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E61FC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D778" w14:textId="4D652F73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93CA25" w14:textId="739A5AFC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ABEC615" w14:textId="617D3789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E8E6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312ABB9F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32A5CC2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358294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DF2FC6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233887C3" w14:textId="704DC193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D0C98" w14:textId="3B911594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51990B5E" w14:textId="35EA98A3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14 628 853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16B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4D4BFF1E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CA06C" w14:textId="77777777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B06" w14:textId="77777777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A64C36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0C694F3" w14:textId="6EB85753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4D063E" w14:textId="299377F2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EF55BCE" w14:textId="10B0EFC8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3 532 101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BB29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509AD58D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786F8F6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09F81F" w14:textId="4DC1261D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06F63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F3E16A8" w14:textId="5ECEC69D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F8283D" w14:textId="30AB335C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A2C73B7" w14:textId="0BC98EE6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</w:rPr>
              <w:t>11 096 752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F3B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3F276B57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FF6820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4A6EAB" w14:textId="77777777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43DD5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544F88E" w14:textId="0012FA44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005A2C" w14:textId="719D7E65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29003C2" w14:textId="1E9FE540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DEAC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3E454009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64DC6F0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5D953" w14:textId="7EA906F7" w:rsidR="00336C9F" w:rsidRPr="0057262A" w:rsidRDefault="00336C9F" w:rsidP="00336C9F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F33D3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E3FD" w14:textId="3665E2E3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E65E9" w14:textId="79A6F421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1985F01" w14:textId="6AF2BC3D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E85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336C9F" w:rsidRPr="0057262A" w14:paraId="640BE6E0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1B66A32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4BA3C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3960E0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10462A06" w14:textId="292DBC28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6E7F1" w14:textId="17F7B65C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5FBCF87E" w14:textId="635C49D2" w:rsidR="00336C9F" w:rsidRPr="0057262A" w:rsidRDefault="00336C9F" w:rsidP="00336C9F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14 628 853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E1FF" w14:textId="77777777" w:rsidR="00336C9F" w:rsidRPr="0057262A" w:rsidRDefault="00336C9F" w:rsidP="00336C9F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Kč/rok</w:t>
            </w:r>
          </w:p>
        </w:tc>
      </w:tr>
      <w:tr w:rsidR="00B86052" w:rsidRPr="0057262A" w14:paraId="5D639576" w14:textId="77777777" w:rsidTr="00336C9F">
        <w:trPr>
          <w:cantSplit/>
          <w:trHeight w:val="2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7A5074D" w14:textId="77777777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5EC57" w14:textId="77777777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89780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778F7CC" w14:textId="49D3BFDD" w:rsidR="00B86052" w:rsidRPr="0057262A" w:rsidRDefault="00336C9F" w:rsidP="00B86052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10 902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C70EF9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MWh/rok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D963356" w14:textId="0679F426" w:rsidR="00B86052" w:rsidRPr="0057262A" w:rsidRDefault="00336C9F" w:rsidP="00B86052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35 321 008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2BA7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B86052" w:rsidRPr="0057262A" w14:paraId="0A5776D8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14:paraId="5069AA01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BD5EA" w14:textId="1D4522EB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01.01.202</w:t>
            </w:r>
            <w:r w:rsid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A148C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E3334F2" w14:textId="3752A77B" w:rsidR="00B86052" w:rsidRPr="0057262A" w:rsidRDefault="00336C9F" w:rsidP="00B86052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21 137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31768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MWh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925D569" w14:textId="39E36679" w:rsidR="00B86052" w:rsidRPr="0057262A" w:rsidRDefault="00336C9F" w:rsidP="00B86052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110 967 517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4E3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B86052" w:rsidRPr="0057262A" w14:paraId="7B36D0D0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14:paraId="5876EFCB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A28D8" w14:textId="77777777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DC819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1D25AED" w14:textId="77777777" w:rsidR="00B86052" w:rsidRPr="0057262A" w:rsidRDefault="00B86052" w:rsidP="00B86052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6E2AE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</w:t>
            </w:r>
            <w:r w:rsidRPr="00572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36309FA" w14:textId="77777777" w:rsidR="00B86052" w:rsidRPr="0057262A" w:rsidRDefault="00B86052" w:rsidP="00B86052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A59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B86052" w:rsidRPr="0057262A" w14:paraId="3B536463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14:paraId="00F5BEC4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41AC6" w14:textId="7DC112D5" w:rsidR="00B86052" w:rsidRPr="0057262A" w:rsidRDefault="00B86052" w:rsidP="00B86052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31.12.203</w:t>
            </w:r>
            <w:r w:rsid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41944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ostatní provozní náklady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03F8" w14:textId="77777777" w:rsidR="00B86052" w:rsidRPr="0057262A" w:rsidRDefault="00B86052" w:rsidP="00B86052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718C3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6EDB83F" w14:textId="79F60D01" w:rsidR="00B86052" w:rsidRPr="0057262A" w:rsidRDefault="0057262A" w:rsidP="00B86052">
            <w:pPr>
              <w:spacing w:befor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6B3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B86052" w:rsidRPr="0057262A" w14:paraId="1613E27A" w14:textId="77777777" w:rsidTr="00336C9F">
        <w:trPr>
          <w:cantSplit/>
          <w:trHeight w:val="2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14:paraId="093F0F1F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3D3FB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8151C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zaručené úspory celkem</w:t>
            </w: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E8D3D" w14:textId="77777777" w:rsidR="00B86052" w:rsidRPr="0057262A" w:rsidRDefault="00B86052" w:rsidP="00B86052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D5499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339BD" w14:textId="1CDBD0D2" w:rsidR="00B86052" w:rsidRPr="0057262A" w:rsidRDefault="00336C9F" w:rsidP="00B86052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6C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146 288 525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DE6E" w14:textId="77777777" w:rsidR="00B86052" w:rsidRPr="0057262A" w:rsidRDefault="00B86052" w:rsidP="00B86052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726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</w:tbl>
    <w:p w14:paraId="074C0196" w14:textId="495D3EAD" w:rsidR="00B86052" w:rsidRDefault="00B86052" w:rsidP="00033418"/>
    <w:p w14:paraId="5A02179F" w14:textId="77777777" w:rsidR="00C54691" w:rsidRPr="00AD2D8A" w:rsidRDefault="00C54691" w:rsidP="00C54691">
      <w:pPr>
        <w:keepNext/>
        <w:numPr>
          <w:ilvl w:val="1"/>
          <w:numId w:val="0"/>
        </w:numPr>
        <w:spacing w:before="240" w:line="240" w:lineRule="atLeast"/>
        <w:ind w:left="397" w:hanging="397"/>
        <w:jc w:val="left"/>
        <w:outlineLvl w:val="0"/>
        <w:rPr>
          <w:rFonts w:cs="Cambria"/>
          <w:b/>
          <w:bCs/>
          <w:caps/>
          <w:color w:val="2D3136"/>
          <w:kern w:val="32"/>
          <w:sz w:val="24"/>
          <w:szCs w:val="28"/>
          <w:lang w:eastAsia="cs-CZ"/>
        </w:rPr>
      </w:pPr>
      <w:bookmarkStart w:id="7" w:name="_Toc12375181"/>
      <w:bookmarkStart w:id="8" w:name="_Toc526262653"/>
      <w:bookmarkStart w:id="9" w:name="_Toc505068197"/>
      <w:bookmarkStart w:id="10" w:name="_Toc498429453"/>
      <w:bookmarkStart w:id="11" w:name="_Toc443039571"/>
      <w:bookmarkStart w:id="12" w:name="_Toc442954192"/>
      <w:bookmarkStart w:id="13" w:name="_Toc18425436"/>
      <w:bookmarkStart w:id="14" w:name="_Toc71626733"/>
      <w:bookmarkStart w:id="15" w:name="_Toc129194057"/>
      <w:r w:rsidRPr="00AD2D8A">
        <w:rPr>
          <w:rFonts w:ascii="Arial" w:hAnsi="Arial"/>
          <w:b/>
          <w:bCs/>
          <w:caps/>
          <w:color w:val="2D3136"/>
          <w:kern w:val="32"/>
          <w:sz w:val="24"/>
          <w:szCs w:val="28"/>
          <w:lang w:eastAsia="cs-CZ"/>
        </w:rPr>
        <w:t>Způsob garance navrhované úspory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D5120A8" w14:textId="77777777" w:rsidR="00C54691" w:rsidRPr="00AD2D8A" w:rsidRDefault="00C54691" w:rsidP="00C54691">
      <w:pPr>
        <w:spacing w:before="240" w:line="240" w:lineRule="atLeast"/>
        <w:rPr>
          <w:rFonts w:ascii="Arial" w:eastAsia="Arial" w:hAnsi="Arial"/>
          <w:szCs w:val="24"/>
          <w:lang w:eastAsia="cs-CZ"/>
        </w:rPr>
      </w:pPr>
      <w:r w:rsidRPr="00AD2D8A">
        <w:rPr>
          <w:rFonts w:ascii="Arial" w:eastAsia="Arial" w:hAnsi="Arial"/>
          <w:b/>
          <w:szCs w:val="24"/>
          <w:lang w:eastAsia="cs-CZ"/>
        </w:rPr>
        <w:t>Sankce ESCO</w:t>
      </w:r>
      <w:r w:rsidRPr="00AD2D8A">
        <w:rPr>
          <w:rFonts w:ascii="Arial" w:eastAsia="Arial" w:hAnsi="Arial"/>
          <w:szCs w:val="24"/>
          <w:lang w:eastAsia="cs-CZ"/>
        </w:rPr>
        <w:t xml:space="preserve"> za nedosažení </w:t>
      </w:r>
      <w:r w:rsidRPr="00AD2D8A">
        <w:rPr>
          <w:rFonts w:ascii="Arial" w:eastAsia="Arial" w:hAnsi="Arial"/>
          <w:bCs/>
          <w:szCs w:val="24"/>
          <w:lang w:eastAsia="cs-CZ"/>
        </w:rPr>
        <w:t>garantované</w:t>
      </w:r>
      <w:r w:rsidRPr="00AD2D8A">
        <w:rPr>
          <w:rFonts w:ascii="Arial" w:eastAsia="Arial" w:hAnsi="Arial"/>
          <w:szCs w:val="24"/>
          <w:lang w:eastAsia="cs-CZ"/>
        </w:rPr>
        <w:t xml:space="preserve"> </w:t>
      </w:r>
      <w:r w:rsidRPr="00AD2D8A">
        <w:rPr>
          <w:rFonts w:ascii="Arial" w:eastAsia="Arial" w:hAnsi="Arial"/>
          <w:bCs/>
          <w:szCs w:val="24"/>
          <w:lang w:eastAsia="cs-CZ"/>
        </w:rPr>
        <w:t>úspory</w:t>
      </w:r>
      <w:r w:rsidRPr="00AD2D8A">
        <w:rPr>
          <w:rFonts w:ascii="Arial" w:eastAsia="Arial" w:hAnsi="Arial"/>
          <w:szCs w:val="24"/>
          <w:lang w:eastAsia="cs-CZ"/>
        </w:rPr>
        <w:t xml:space="preserve"> bude stanovena následujícím postupem:</w:t>
      </w:r>
    </w:p>
    <w:p w14:paraId="4C5E841A" w14:textId="77777777" w:rsidR="00C54691" w:rsidRPr="00AD2D8A" w:rsidRDefault="00C54691" w:rsidP="00345E04">
      <w:pPr>
        <w:spacing w:before="80" w:line="240" w:lineRule="atLeast"/>
        <w:rPr>
          <w:rFonts w:ascii="Arial" w:eastAsia="Arial" w:hAnsi="Arial"/>
          <w:color w:val="000000"/>
          <w:szCs w:val="20"/>
          <w:lang w:eastAsia="cs-CZ"/>
        </w:rPr>
      </w:pPr>
      <w:r w:rsidRPr="00AD2D8A">
        <w:rPr>
          <w:rFonts w:ascii="Arial" w:eastAsia="Arial" w:hAnsi="Arial"/>
          <w:szCs w:val="20"/>
          <w:lang w:eastAsia="cs-CZ"/>
        </w:rPr>
        <w:t xml:space="preserve">Na konci každého </w:t>
      </w:r>
      <w:r w:rsidRPr="00AD2D8A">
        <w:rPr>
          <w:rFonts w:ascii="Arial" w:eastAsia="Arial" w:hAnsi="Arial"/>
          <w:b/>
          <w:bCs/>
          <w:szCs w:val="20"/>
          <w:lang w:eastAsia="cs-CZ"/>
        </w:rPr>
        <w:t xml:space="preserve">zúčtovacího období </w:t>
      </w:r>
      <w:r w:rsidRPr="00AD2D8A">
        <w:rPr>
          <w:rFonts w:ascii="Arial" w:eastAsia="Arial" w:hAnsi="Arial"/>
          <w:szCs w:val="20"/>
          <w:lang w:eastAsia="cs-CZ"/>
        </w:rPr>
        <w:t xml:space="preserve">provede ESCO výpočet </w:t>
      </w:r>
      <w:r w:rsidRPr="00AD2D8A">
        <w:rPr>
          <w:rFonts w:ascii="Arial" w:eastAsia="Arial" w:hAnsi="Arial"/>
          <w:b/>
          <w:bCs/>
          <w:szCs w:val="20"/>
          <w:lang w:eastAsia="cs-CZ"/>
        </w:rPr>
        <w:t>úspory</w:t>
      </w:r>
      <w:r w:rsidRPr="00AD2D8A">
        <w:rPr>
          <w:rFonts w:ascii="Arial" w:eastAsia="Arial" w:hAnsi="Arial"/>
          <w:b/>
          <w:szCs w:val="20"/>
          <w:lang w:eastAsia="cs-CZ"/>
        </w:rPr>
        <w:t xml:space="preserve"> </w:t>
      </w:r>
      <w:r w:rsidRPr="00AD2D8A">
        <w:rPr>
          <w:rFonts w:ascii="Arial" w:eastAsia="Arial" w:hAnsi="Arial"/>
          <w:b/>
          <w:bCs/>
          <w:szCs w:val="20"/>
          <w:lang w:eastAsia="cs-CZ"/>
        </w:rPr>
        <w:t>nákladů ÚS</w:t>
      </w:r>
      <w:r w:rsidRPr="00AD2D8A">
        <w:rPr>
          <w:rFonts w:ascii="Arial" w:eastAsia="Arial" w:hAnsi="Arial"/>
          <w:b/>
          <w:szCs w:val="20"/>
          <w:lang w:eastAsia="cs-CZ"/>
        </w:rPr>
        <w:t>P</w:t>
      </w:r>
      <w:r w:rsidRPr="00AD2D8A">
        <w:rPr>
          <w:rFonts w:ascii="Arial" w:eastAsia="Arial" w:hAnsi="Arial"/>
          <w:b/>
          <w:position w:val="-3"/>
          <w:szCs w:val="20"/>
          <w:vertAlign w:val="subscript"/>
          <w:lang w:eastAsia="cs-CZ"/>
        </w:rPr>
        <w:t>ZO,RC</w:t>
      </w:r>
      <w:r w:rsidRPr="00AD2D8A">
        <w:rPr>
          <w:rFonts w:ascii="Arial" w:eastAsia="Arial" w:hAnsi="Arial"/>
          <w:szCs w:val="20"/>
          <w:lang w:eastAsia="cs-CZ"/>
        </w:rPr>
        <w:t xml:space="preserve"> za uplynulé </w:t>
      </w:r>
      <w:r w:rsidRPr="00AD2D8A">
        <w:rPr>
          <w:rFonts w:ascii="Arial" w:eastAsia="Arial" w:hAnsi="Arial"/>
          <w:b/>
          <w:bCs/>
          <w:szCs w:val="20"/>
          <w:lang w:eastAsia="cs-CZ"/>
        </w:rPr>
        <w:t xml:space="preserve">zúčtovací období </w:t>
      </w:r>
      <w:r w:rsidRPr="00AD2D8A">
        <w:rPr>
          <w:rFonts w:ascii="Arial" w:eastAsia="Arial" w:hAnsi="Arial"/>
          <w:szCs w:val="20"/>
          <w:lang w:eastAsia="cs-CZ"/>
        </w:rPr>
        <w:t>v souladu s přílohou č. 5. Výpočet této úspory bude proveden s referenčními cenami energií definovanými v příloze č. 2</w:t>
      </w:r>
      <w:r w:rsidRPr="00AD2D8A">
        <w:rPr>
          <w:rFonts w:ascii="Arial" w:eastAsia="Arial" w:hAnsi="Arial"/>
          <w:color w:val="000000"/>
          <w:szCs w:val="20"/>
          <w:lang w:eastAsia="cs-CZ"/>
        </w:rPr>
        <w:t>.</w:t>
      </w:r>
    </w:p>
    <w:p w14:paraId="60FEC6B0" w14:textId="28F6680E" w:rsidR="00C54691" w:rsidRPr="00AD2D8A" w:rsidRDefault="00C54691" w:rsidP="00345E04">
      <w:pPr>
        <w:spacing w:before="80" w:line="240" w:lineRule="atLeast"/>
        <w:rPr>
          <w:rFonts w:ascii="Arial" w:eastAsia="Arial" w:hAnsi="Arial"/>
          <w:color w:val="000000"/>
          <w:szCs w:val="20"/>
          <w:lang w:eastAsia="cs-CZ"/>
        </w:rPr>
      </w:pPr>
      <w:r w:rsidRPr="00AD2D8A">
        <w:rPr>
          <w:rFonts w:ascii="Arial" w:eastAsia="Arial" w:hAnsi="Arial"/>
          <w:szCs w:val="20"/>
          <w:lang w:eastAsia="cs-CZ"/>
        </w:rPr>
        <w:t xml:space="preserve">Pokud bude za dané </w:t>
      </w:r>
      <w:r w:rsidRPr="00AD2D8A">
        <w:rPr>
          <w:rFonts w:ascii="Arial" w:eastAsia="Arial" w:hAnsi="Arial"/>
          <w:b/>
          <w:bCs/>
          <w:szCs w:val="20"/>
          <w:lang w:eastAsia="cs-CZ"/>
        </w:rPr>
        <w:t>zúčtovací</w:t>
      </w:r>
      <w:r w:rsidRPr="00AD2D8A">
        <w:rPr>
          <w:rFonts w:ascii="Arial" w:eastAsia="Arial" w:hAnsi="Arial"/>
          <w:b/>
          <w:szCs w:val="20"/>
          <w:lang w:eastAsia="cs-CZ"/>
        </w:rPr>
        <w:t xml:space="preserve"> </w:t>
      </w:r>
      <w:r w:rsidRPr="00AD2D8A">
        <w:rPr>
          <w:rFonts w:ascii="Arial" w:eastAsia="Arial" w:hAnsi="Arial"/>
          <w:b/>
          <w:bCs/>
          <w:szCs w:val="20"/>
          <w:lang w:eastAsia="cs-CZ"/>
        </w:rPr>
        <w:t>období ÚS</w:t>
      </w:r>
      <w:r w:rsidRPr="00AD2D8A">
        <w:rPr>
          <w:rFonts w:ascii="Arial" w:eastAsia="Arial" w:hAnsi="Arial"/>
          <w:b/>
          <w:szCs w:val="20"/>
          <w:lang w:eastAsia="cs-CZ"/>
        </w:rPr>
        <w:t>P</w:t>
      </w:r>
      <w:r w:rsidRPr="00AD2D8A">
        <w:rPr>
          <w:rFonts w:ascii="Arial" w:eastAsia="Arial" w:hAnsi="Arial"/>
          <w:b/>
          <w:position w:val="-3"/>
          <w:szCs w:val="20"/>
          <w:vertAlign w:val="subscript"/>
          <w:lang w:eastAsia="cs-CZ"/>
        </w:rPr>
        <w:t>ZO</w:t>
      </w:r>
      <w:r w:rsidRPr="00AD2D8A">
        <w:rPr>
          <w:rFonts w:ascii="Arial" w:eastAsia="Arial" w:hAnsi="Arial"/>
          <w:szCs w:val="20"/>
          <w:lang w:eastAsia="cs-CZ"/>
        </w:rPr>
        <w:t xml:space="preserve"> </w:t>
      </w:r>
      <w:r w:rsidRPr="00AD2D8A">
        <w:rPr>
          <w:rFonts w:ascii="Arial" w:eastAsia="Arial" w:hAnsi="Arial"/>
          <w:b/>
          <w:szCs w:val="20"/>
          <w:lang w:eastAsia="cs-CZ"/>
        </w:rPr>
        <w:t>nižš</w:t>
      </w:r>
      <w:r w:rsidRPr="00AD2D8A">
        <w:rPr>
          <w:rFonts w:ascii="Arial" w:eastAsia="Arial" w:hAnsi="Arial"/>
          <w:b/>
          <w:bCs/>
          <w:szCs w:val="20"/>
          <w:lang w:eastAsia="cs-CZ"/>
        </w:rPr>
        <w:t>í</w:t>
      </w:r>
      <w:r w:rsidRPr="00AD2D8A">
        <w:rPr>
          <w:rFonts w:ascii="Arial" w:eastAsia="Arial" w:hAnsi="Arial"/>
          <w:szCs w:val="20"/>
          <w:lang w:eastAsia="cs-CZ"/>
        </w:rPr>
        <w:t xml:space="preserve">, než </w:t>
      </w:r>
      <w:r w:rsidRPr="00AD2D8A">
        <w:rPr>
          <w:rFonts w:ascii="Arial" w:eastAsia="Arial" w:hAnsi="Arial"/>
          <w:b/>
          <w:bCs/>
          <w:szCs w:val="20"/>
          <w:lang w:eastAsia="cs-CZ"/>
        </w:rPr>
        <w:t>garantovaná úspora GÚ</w:t>
      </w:r>
      <w:r w:rsidRPr="00AD2D8A">
        <w:rPr>
          <w:rFonts w:ascii="Arial" w:eastAsia="Arial" w:hAnsi="Arial"/>
          <w:b/>
          <w:bCs/>
          <w:position w:val="-3"/>
          <w:szCs w:val="20"/>
          <w:vertAlign w:val="subscript"/>
          <w:lang w:eastAsia="cs-CZ"/>
        </w:rPr>
        <w:t>ZO</w:t>
      </w:r>
      <w:r w:rsidRPr="00AD2D8A">
        <w:rPr>
          <w:rFonts w:ascii="Arial" w:eastAsia="Arial" w:hAnsi="Arial"/>
          <w:szCs w:val="20"/>
          <w:lang w:eastAsia="cs-CZ"/>
        </w:rPr>
        <w:t xml:space="preserve"> uvedená pro toto </w:t>
      </w:r>
      <w:r w:rsidRPr="00AD2D8A">
        <w:rPr>
          <w:rFonts w:ascii="Arial" w:eastAsia="Arial" w:hAnsi="Arial"/>
          <w:b/>
          <w:bCs/>
          <w:szCs w:val="20"/>
          <w:lang w:eastAsia="cs-CZ"/>
        </w:rPr>
        <w:t>zúčtovací</w:t>
      </w:r>
      <w:r w:rsidRPr="00AD2D8A">
        <w:rPr>
          <w:rFonts w:ascii="Arial" w:eastAsia="Arial" w:hAnsi="Arial"/>
          <w:b/>
          <w:szCs w:val="20"/>
          <w:lang w:eastAsia="cs-CZ"/>
        </w:rPr>
        <w:t xml:space="preserve"> </w:t>
      </w:r>
      <w:r w:rsidRPr="00AD2D8A">
        <w:rPr>
          <w:rFonts w:ascii="Arial" w:eastAsia="Arial" w:hAnsi="Arial"/>
          <w:b/>
          <w:bCs/>
          <w:szCs w:val="20"/>
          <w:lang w:eastAsia="cs-CZ"/>
        </w:rPr>
        <w:t>období</w:t>
      </w:r>
      <w:r w:rsidRPr="00AD2D8A">
        <w:rPr>
          <w:rFonts w:ascii="Arial" w:eastAsia="Arial" w:hAnsi="Arial"/>
          <w:szCs w:val="20"/>
          <w:lang w:eastAsia="cs-CZ"/>
        </w:rPr>
        <w:t xml:space="preserve">, vzniká Klientovi právo na </w:t>
      </w:r>
      <w:r w:rsidRPr="00AD2D8A">
        <w:rPr>
          <w:rFonts w:ascii="Arial" w:eastAsia="Arial" w:hAnsi="Arial"/>
          <w:b/>
          <w:szCs w:val="20"/>
          <w:lang w:eastAsia="cs-CZ"/>
        </w:rPr>
        <w:t>sankci</w:t>
      </w:r>
      <w:r w:rsidRPr="00AD2D8A">
        <w:rPr>
          <w:rFonts w:ascii="Arial" w:eastAsia="Arial" w:hAnsi="Arial"/>
          <w:szCs w:val="20"/>
          <w:lang w:eastAsia="cs-CZ"/>
        </w:rPr>
        <w:t xml:space="preserve"> ESCO za nedosažení </w:t>
      </w:r>
      <w:r w:rsidRPr="00AD2D8A">
        <w:rPr>
          <w:rFonts w:ascii="Arial" w:eastAsia="Arial" w:hAnsi="Arial"/>
          <w:b/>
          <w:bCs/>
          <w:szCs w:val="20"/>
          <w:lang w:eastAsia="cs-CZ"/>
        </w:rPr>
        <w:t xml:space="preserve">garantované úspory </w:t>
      </w:r>
      <w:r w:rsidRPr="00AD2D8A">
        <w:rPr>
          <w:rFonts w:ascii="Arial" w:eastAsia="Arial" w:hAnsi="Arial"/>
          <w:szCs w:val="20"/>
          <w:lang w:eastAsia="cs-CZ"/>
        </w:rPr>
        <w:t xml:space="preserve">v daném </w:t>
      </w:r>
      <w:r w:rsidRPr="00AD2D8A">
        <w:rPr>
          <w:rFonts w:ascii="Arial" w:eastAsia="Arial" w:hAnsi="Arial"/>
          <w:b/>
          <w:bCs/>
          <w:szCs w:val="20"/>
          <w:lang w:eastAsia="cs-CZ"/>
        </w:rPr>
        <w:t>zúčtovacím</w:t>
      </w:r>
      <w:r w:rsidRPr="00AD2D8A">
        <w:rPr>
          <w:rFonts w:ascii="Arial" w:eastAsia="Arial" w:hAnsi="Arial"/>
          <w:b/>
          <w:szCs w:val="20"/>
          <w:lang w:eastAsia="cs-CZ"/>
        </w:rPr>
        <w:t xml:space="preserve"> </w:t>
      </w:r>
      <w:r w:rsidRPr="00AD2D8A">
        <w:rPr>
          <w:rFonts w:ascii="Arial" w:eastAsia="Arial" w:hAnsi="Arial"/>
          <w:b/>
          <w:bCs/>
          <w:szCs w:val="20"/>
          <w:lang w:eastAsia="cs-CZ"/>
        </w:rPr>
        <w:t>období</w:t>
      </w:r>
      <w:r w:rsidRPr="00AD2D8A">
        <w:rPr>
          <w:rFonts w:ascii="Arial" w:eastAsia="Arial" w:hAnsi="Arial"/>
          <w:szCs w:val="20"/>
          <w:lang w:eastAsia="cs-CZ"/>
        </w:rPr>
        <w:t>. Výše sankce bude stanovena následovně:</w:t>
      </w:r>
    </w:p>
    <w:p w14:paraId="291947B3" w14:textId="2861B36F" w:rsidR="00C54691" w:rsidRPr="00AD2D8A" w:rsidRDefault="00C54691" w:rsidP="00C54691">
      <w:pPr>
        <w:spacing w:before="240" w:line="240" w:lineRule="atLeast"/>
        <w:jc w:val="center"/>
        <w:rPr>
          <w:rFonts w:ascii="Arial" w:eastAsia="Arial" w:hAnsi="Arial"/>
          <w:b/>
          <w:color w:val="000000"/>
          <w:position w:val="-3"/>
          <w:szCs w:val="24"/>
          <w:vertAlign w:val="subscript"/>
          <w:lang w:eastAsia="cs-CZ"/>
        </w:rPr>
      </w:pPr>
      <w:r w:rsidRPr="00AD2D8A">
        <w:rPr>
          <w:rFonts w:ascii="Arial" w:eastAsia="Arial" w:hAnsi="Arial"/>
          <w:b/>
          <w:szCs w:val="24"/>
          <w:lang w:eastAsia="cs-CZ"/>
        </w:rPr>
        <w:t>Sankce</w:t>
      </w:r>
      <w:r w:rsidRPr="00AD2D8A">
        <w:rPr>
          <w:rFonts w:ascii="Arial" w:eastAsia="Arial" w:hAnsi="Arial"/>
          <w:b/>
          <w:position w:val="-3"/>
          <w:szCs w:val="24"/>
          <w:vertAlign w:val="subscript"/>
          <w:lang w:eastAsia="cs-CZ"/>
        </w:rPr>
        <w:t>ZO</w:t>
      </w:r>
      <w:r w:rsidRPr="00AD2D8A">
        <w:rPr>
          <w:rFonts w:ascii="Arial" w:eastAsia="Arial" w:hAnsi="Arial"/>
          <w:position w:val="-3"/>
          <w:szCs w:val="24"/>
          <w:vertAlign w:val="subscript"/>
          <w:lang w:eastAsia="cs-CZ"/>
        </w:rPr>
        <w:t xml:space="preserve"> </w:t>
      </w:r>
      <w:r w:rsidRPr="00AD2D8A">
        <w:rPr>
          <w:rFonts w:ascii="Arial" w:eastAsia="Arial" w:hAnsi="Arial"/>
          <w:b/>
          <w:szCs w:val="24"/>
          <w:lang w:eastAsia="cs-CZ"/>
        </w:rPr>
        <w:t>= GÚ</w:t>
      </w:r>
      <w:r w:rsidRPr="00AD2D8A">
        <w:rPr>
          <w:rFonts w:ascii="Arial" w:eastAsia="Arial" w:hAnsi="Arial"/>
          <w:b/>
          <w:position w:val="-3"/>
          <w:szCs w:val="24"/>
          <w:vertAlign w:val="subscript"/>
          <w:lang w:eastAsia="cs-CZ"/>
        </w:rPr>
        <w:t>ZO</w:t>
      </w:r>
      <w:r w:rsidRPr="00AD2D8A">
        <w:rPr>
          <w:rFonts w:ascii="Arial" w:eastAsia="Arial" w:hAnsi="Arial"/>
          <w:szCs w:val="24"/>
          <w:lang w:eastAsia="cs-CZ"/>
        </w:rPr>
        <w:t xml:space="preserve"> </w:t>
      </w:r>
      <w:r w:rsidRPr="00AD2D8A">
        <w:rPr>
          <w:rFonts w:ascii="Arial" w:eastAsia="Arial" w:hAnsi="Arial"/>
          <w:b/>
          <w:szCs w:val="24"/>
          <w:lang w:eastAsia="cs-CZ"/>
        </w:rPr>
        <w:t>– ÚSP</w:t>
      </w:r>
      <w:r w:rsidRPr="00AD2D8A">
        <w:rPr>
          <w:rFonts w:ascii="Arial" w:eastAsia="Arial" w:hAnsi="Arial"/>
          <w:b/>
          <w:position w:val="-3"/>
          <w:szCs w:val="24"/>
          <w:vertAlign w:val="subscript"/>
          <w:lang w:eastAsia="cs-CZ"/>
        </w:rPr>
        <w:t>ZO</w:t>
      </w:r>
    </w:p>
    <w:p w14:paraId="49E057DF" w14:textId="77777777" w:rsidR="00C54691" w:rsidRPr="00AD2D8A" w:rsidRDefault="00C54691" w:rsidP="00C54691">
      <w:pPr>
        <w:spacing w:before="240" w:line="240" w:lineRule="atLeast"/>
        <w:rPr>
          <w:rFonts w:ascii="Arial" w:eastAsia="Arial" w:hAnsi="Arial"/>
          <w:szCs w:val="24"/>
          <w:lang w:eastAsia="cs-CZ"/>
        </w:rPr>
      </w:pPr>
    </w:p>
    <w:p w14:paraId="3E97E88B" w14:textId="77777777" w:rsidR="00C54691" w:rsidRPr="00AD2D8A" w:rsidRDefault="00C54691" w:rsidP="00C54691">
      <w:pPr>
        <w:tabs>
          <w:tab w:val="right" w:pos="6237"/>
        </w:tabs>
        <w:spacing w:before="80" w:line="240" w:lineRule="atLeast"/>
        <w:ind w:left="397" w:hanging="397"/>
        <w:rPr>
          <w:rFonts w:ascii="Arial" w:eastAsia="Arial" w:hAnsi="Arial"/>
          <w:b/>
          <w:szCs w:val="20"/>
          <w:lang w:eastAsia="cs-CZ"/>
        </w:rPr>
      </w:pPr>
      <w:r w:rsidRPr="00AD2D8A">
        <w:rPr>
          <w:rFonts w:ascii="Arial" w:eastAsia="Arial" w:hAnsi="Arial"/>
          <w:szCs w:val="20"/>
          <w:lang w:eastAsia="cs-CZ"/>
        </w:rPr>
        <w:t xml:space="preserve">procentuální podíl </w:t>
      </w:r>
      <w:r w:rsidRPr="00AD2D8A">
        <w:rPr>
          <w:rFonts w:ascii="Arial" w:eastAsia="Arial" w:hAnsi="Arial"/>
          <w:b/>
          <w:szCs w:val="20"/>
          <w:lang w:eastAsia="cs-CZ"/>
        </w:rPr>
        <w:t>sankce</w:t>
      </w:r>
      <w:r w:rsidRPr="00AD2D8A">
        <w:rPr>
          <w:rFonts w:ascii="Arial" w:eastAsia="Arial" w:hAnsi="Arial"/>
          <w:szCs w:val="20"/>
          <w:lang w:eastAsia="cs-CZ"/>
        </w:rPr>
        <w:t xml:space="preserve"> pro </w:t>
      </w:r>
      <w:r w:rsidRPr="00AD2D8A">
        <w:rPr>
          <w:rFonts w:ascii="Arial" w:eastAsia="Arial" w:hAnsi="Arial"/>
          <w:b/>
          <w:szCs w:val="20"/>
          <w:lang w:eastAsia="cs-CZ"/>
        </w:rPr>
        <w:t>Klienta</w:t>
      </w:r>
      <w:r w:rsidRPr="00AD2D8A">
        <w:rPr>
          <w:rFonts w:ascii="Arial" w:eastAsia="Arial" w:hAnsi="Arial"/>
          <w:b/>
          <w:szCs w:val="20"/>
          <w:lang w:eastAsia="cs-CZ"/>
        </w:rPr>
        <w:tab/>
        <w:t>0 %</w:t>
      </w:r>
    </w:p>
    <w:p w14:paraId="64C0F0DD" w14:textId="77777777" w:rsidR="00C54691" w:rsidRPr="00AD2D8A" w:rsidRDefault="00C54691" w:rsidP="00C54691">
      <w:pPr>
        <w:tabs>
          <w:tab w:val="right" w:pos="6237"/>
        </w:tabs>
        <w:spacing w:before="80" w:line="240" w:lineRule="atLeast"/>
        <w:ind w:left="397" w:hanging="397"/>
        <w:rPr>
          <w:rFonts w:ascii="Arial" w:eastAsia="Arial" w:hAnsi="Arial"/>
          <w:szCs w:val="20"/>
          <w:lang w:eastAsia="cs-CZ"/>
        </w:rPr>
      </w:pPr>
      <w:r w:rsidRPr="00AD2D8A">
        <w:rPr>
          <w:rFonts w:ascii="Arial" w:eastAsia="Arial" w:hAnsi="Arial"/>
          <w:szCs w:val="20"/>
          <w:lang w:eastAsia="cs-CZ"/>
        </w:rPr>
        <w:t xml:space="preserve">procentuální podíl </w:t>
      </w:r>
      <w:r w:rsidRPr="00AD2D8A">
        <w:rPr>
          <w:rFonts w:ascii="Arial" w:eastAsia="Arial" w:hAnsi="Arial"/>
          <w:b/>
          <w:szCs w:val="20"/>
          <w:lang w:eastAsia="cs-CZ"/>
        </w:rPr>
        <w:t>sankce</w:t>
      </w:r>
      <w:r w:rsidRPr="00AD2D8A">
        <w:rPr>
          <w:rFonts w:ascii="Arial" w:eastAsia="Arial" w:hAnsi="Arial"/>
          <w:szCs w:val="20"/>
          <w:lang w:eastAsia="cs-CZ"/>
        </w:rPr>
        <w:t xml:space="preserve"> pro </w:t>
      </w:r>
      <w:r w:rsidRPr="00AD2D8A">
        <w:rPr>
          <w:rFonts w:ascii="Arial" w:eastAsia="Arial" w:hAnsi="Arial"/>
          <w:b/>
          <w:szCs w:val="20"/>
          <w:lang w:eastAsia="cs-CZ"/>
        </w:rPr>
        <w:t>ESCO</w:t>
      </w:r>
      <w:r w:rsidRPr="00AD2D8A">
        <w:rPr>
          <w:rFonts w:ascii="Arial" w:eastAsia="Arial" w:hAnsi="Arial"/>
          <w:b/>
          <w:szCs w:val="20"/>
          <w:lang w:eastAsia="cs-CZ"/>
        </w:rPr>
        <w:tab/>
        <w:t>100 %</w:t>
      </w:r>
    </w:p>
    <w:p w14:paraId="58E53C5B" w14:textId="77777777" w:rsidR="00C54691" w:rsidRPr="00AD2D8A" w:rsidRDefault="00C54691" w:rsidP="00C54691">
      <w:pPr>
        <w:keepNext/>
        <w:numPr>
          <w:ilvl w:val="1"/>
          <w:numId w:val="0"/>
        </w:numPr>
        <w:spacing w:before="240" w:line="240" w:lineRule="atLeast"/>
        <w:ind w:left="397" w:hanging="397"/>
        <w:jc w:val="left"/>
        <w:outlineLvl w:val="0"/>
        <w:rPr>
          <w:rFonts w:ascii="Arial" w:hAnsi="Arial"/>
          <w:b/>
          <w:bCs/>
          <w:caps/>
          <w:color w:val="2D3136"/>
          <w:kern w:val="32"/>
          <w:sz w:val="24"/>
          <w:szCs w:val="28"/>
          <w:lang w:eastAsia="cs-CZ"/>
        </w:rPr>
      </w:pPr>
      <w:bookmarkStart w:id="16" w:name="_Toc12375182"/>
      <w:bookmarkStart w:id="17" w:name="_Toc526262654"/>
      <w:bookmarkStart w:id="18" w:name="_Toc505068198"/>
      <w:bookmarkStart w:id="19" w:name="_Toc498429454"/>
      <w:bookmarkStart w:id="20" w:name="_Toc443039572"/>
      <w:bookmarkStart w:id="21" w:name="_Toc442954193"/>
      <w:bookmarkStart w:id="22" w:name="_Toc18425437"/>
      <w:bookmarkStart w:id="23" w:name="_Toc71626734"/>
      <w:r w:rsidRPr="00AD2D8A">
        <w:rPr>
          <w:rFonts w:ascii="Arial" w:hAnsi="Arial"/>
          <w:b/>
          <w:bCs/>
          <w:caps/>
          <w:color w:val="2D3136"/>
          <w:kern w:val="32"/>
          <w:sz w:val="24"/>
          <w:szCs w:val="28"/>
          <w:lang w:eastAsia="cs-CZ"/>
        </w:rPr>
        <w:lastRenderedPageBreak/>
        <w:t>Podíl Klienta na úspoře dosažené nad garantovanou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D494260" w14:textId="77777777" w:rsidR="00C54691" w:rsidRPr="00AD2D8A" w:rsidRDefault="00C54691" w:rsidP="00C54691">
      <w:pPr>
        <w:spacing w:before="240" w:line="240" w:lineRule="atLeast"/>
        <w:rPr>
          <w:rFonts w:ascii="Arial" w:hAnsi="Arial"/>
          <w:szCs w:val="24"/>
          <w:lang w:eastAsia="cs-CZ"/>
        </w:rPr>
      </w:pPr>
      <w:r w:rsidRPr="00AD2D8A">
        <w:rPr>
          <w:rFonts w:ascii="Arial" w:hAnsi="Arial"/>
          <w:szCs w:val="24"/>
          <w:lang w:eastAsia="cs-CZ"/>
        </w:rPr>
        <w:t>Výše podílu Klienta na úspoře dosažené nad garantovanou úsporu:</w:t>
      </w:r>
    </w:p>
    <w:p w14:paraId="2E845C7B" w14:textId="6A0E6FCF" w:rsidR="00C54691" w:rsidRPr="00AD2D8A" w:rsidRDefault="00C54691" w:rsidP="00C54691">
      <w:pPr>
        <w:tabs>
          <w:tab w:val="right" w:pos="9072"/>
        </w:tabs>
        <w:spacing w:before="80" w:line="240" w:lineRule="atLeast"/>
        <w:ind w:left="397" w:hanging="397"/>
        <w:rPr>
          <w:rFonts w:ascii="Arial" w:eastAsia="Arial" w:hAnsi="Arial"/>
          <w:szCs w:val="20"/>
          <w:lang w:eastAsia="cs-CZ"/>
        </w:rPr>
      </w:pPr>
      <w:r w:rsidRPr="00AD2D8A">
        <w:rPr>
          <w:rFonts w:ascii="Arial" w:eastAsia="Arial" w:hAnsi="Arial"/>
          <w:szCs w:val="20"/>
          <w:lang w:eastAsia="cs-CZ"/>
        </w:rPr>
        <w:t>procentuální podíl Klienta na úspoře dosažené nad garantovanou úsporu</w:t>
      </w:r>
      <w:r w:rsidRPr="00AD2D8A">
        <w:rPr>
          <w:rFonts w:ascii="Arial" w:eastAsia="Arial" w:hAnsi="Arial"/>
          <w:szCs w:val="20"/>
          <w:lang w:eastAsia="cs-CZ"/>
        </w:rPr>
        <w:tab/>
      </w:r>
      <w:r w:rsidR="00345E04">
        <w:rPr>
          <w:rFonts w:ascii="Arial" w:eastAsia="Arial" w:hAnsi="Arial"/>
          <w:szCs w:val="20"/>
          <w:lang w:eastAsia="cs-CZ"/>
        </w:rPr>
        <w:t>7</w:t>
      </w:r>
      <w:r w:rsidRPr="00AD2D8A">
        <w:rPr>
          <w:rFonts w:ascii="Arial" w:eastAsia="Arial" w:hAnsi="Arial"/>
          <w:szCs w:val="20"/>
          <w:lang w:eastAsia="cs-CZ"/>
        </w:rPr>
        <w:t>0 %</w:t>
      </w:r>
    </w:p>
    <w:p w14:paraId="26DC9B0D" w14:textId="40963F4C" w:rsidR="00C54691" w:rsidRPr="00AD2D8A" w:rsidRDefault="00C54691" w:rsidP="00C54691">
      <w:pPr>
        <w:tabs>
          <w:tab w:val="right" w:pos="9072"/>
        </w:tabs>
        <w:spacing w:before="80" w:line="240" w:lineRule="atLeast"/>
        <w:ind w:left="397" w:hanging="397"/>
        <w:rPr>
          <w:rFonts w:ascii="Arial" w:eastAsia="Arial" w:hAnsi="Arial"/>
          <w:szCs w:val="20"/>
          <w:lang w:eastAsia="cs-CZ"/>
        </w:rPr>
      </w:pPr>
      <w:r w:rsidRPr="00AD2D8A">
        <w:rPr>
          <w:rFonts w:ascii="Arial" w:eastAsia="Arial" w:hAnsi="Arial"/>
          <w:szCs w:val="20"/>
          <w:lang w:eastAsia="cs-CZ"/>
        </w:rPr>
        <w:t>procentuální podíl ESCO na úspoře dosažené nad garantovanou úsporu</w:t>
      </w:r>
      <w:r w:rsidRPr="00AD2D8A">
        <w:rPr>
          <w:rFonts w:ascii="Arial" w:eastAsia="Arial" w:hAnsi="Arial"/>
          <w:szCs w:val="20"/>
          <w:lang w:eastAsia="cs-CZ"/>
        </w:rPr>
        <w:tab/>
      </w:r>
      <w:r w:rsidR="00345E04">
        <w:rPr>
          <w:rFonts w:ascii="Arial" w:eastAsia="Arial" w:hAnsi="Arial"/>
          <w:szCs w:val="20"/>
          <w:lang w:eastAsia="cs-CZ"/>
        </w:rPr>
        <w:t>3</w:t>
      </w:r>
      <w:r w:rsidRPr="00AD2D8A">
        <w:rPr>
          <w:rFonts w:ascii="Arial" w:eastAsia="Arial" w:hAnsi="Arial"/>
          <w:szCs w:val="20"/>
          <w:lang w:eastAsia="cs-CZ"/>
        </w:rPr>
        <w:t>0 %</w:t>
      </w:r>
    </w:p>
    <w:p w14:paraId="7834F652" w14:textId="77777777" w:rsidR="00C54691" w:rsidRPr="00AD2D8A" w:rsidRDefault="00C54691" w:rsidP="00C54691">
      <w:pPr>
        <w:spacing w:before="240" w:line="240" w:lineRule="atLeast"/>
        <w:rPr>
          <w:rFonts w:ascii="Arial" w:hAnsi="Arial"/>
          <w:szCs w:val="24"/>
          <w:lang w:eastAsia="cs-CZ"/>
        </w:rPr>
      </w:pPr>
      <w:r w:rsidRPr="00AD2D8A">
        <w:rPr>
          <w:rFonts w:ascii="Arial" w:hAnsi="Arial"/>
          <w:szCs w:val="24"/>
          <w:lang w:eastAsia="cs-CZ"/>
        </w:rPr>
        <w:t>Způsob vypořádání podílu ESCO na úspoře dosažené nad garantovanou úsporu je uveden a rozpracován podle zadávací dokumentace a příloha je v souladu s článkem 10 smlouvy:</w:t>
      </w:r>
    </w:p>
    <w:p w14:paraId="22DA9543" w14:textId="77777777" w:rsidR="00C54691" w:rsidRPr="00AD2D8A" w:rsidRDefault="00C54691" w:rsidP="00C54691">
      <w:pPr>
        <w:spacing w:before="240" w:line="240" w:lineRule="atLeast"/>
        <w:rPr>
          <w:rFonts w:ascii="Arial" w:eastAsia="Arial" w:hAnsi="Arial"/>
          <w:szCs w:val="24"/>
          <w:lang w:eastAsia="cs-CZ"/>
        </w:rPr>
      </w:pPr>
      <w:r w:rsidRPr="00AD2D8A">
        <w:rPr>
          <w:rFonts w:ascii="Arial" w:eastAsia="Arial" w:hAnsi="Arial"/>
          <w:b/>
          <w:szCs w:val="24"/>
          <w:lang w:eastAsia="cs-CZ"/>
        </w:rPr>
        <w:t>Prémie ESCO</w:t>
      </w:r>
      <w:r w:rsidRPr="00AD2D8A">
        <w:rPr>
          <w:rFonts w:ascii="Arial" w:eastAsia="Arial" w:hAnsi="Arial"/>
          <w:szCs w:val="24"/>
          <w:lang w:eastAsia="cs-CZ"/>
        </w:rPr>
        <w:t xml:space="preserve"> bude stanovena následujícím postupem:</w:t>
      </w:r>
    </w:p>
    <w:p w14:paraId="369CED5A" w14:textId="77777777" w:rsidR="00C54691" w:rsidRPr="00AD2D8A" w:rsidRDefault="00C54691" w:rsidP="00345E04">
      <w:pPr>
        <w:spacing w:before="80" w:line="240" w:lineRule="atLeast"/>
        <w:rPr>
          <w:rFonts w:ascii="Arial" w:eastAsia="Arial" w:hAnsi="Arial"/>
          <w:color w:val="000000"/>
          <w:szCs w:val="20"/>
          <w:lang w:eastAsia="cs-CZ"/>
        </w:rPr>
      </w:pPr>
      <w:r w:rsidRPr="00AD2D8A">
        <w:rPr>
          <w:rFonts w:ascii="Arial" w:eastAsia="Arial" w:hAnsi="Arial"/>
          <w:szCs w:val="20"/>
          <w:lang w:eastAsia="cs-CZ"/>
        </w:rPr>
        <w:t xml:space="preserve">Pokud bude </w:t>
      </w:r>
      <w:r w:rsidRPr="00AD2D8A">
        <w:rPr>
          <w:rFonts w:ascii="Arial" w:eastAsia="Arial" w:hAnsi="Arial"/>
          <w:b/>
          <w:bCs/>
          <w:szCs w:val="20"/>
          <w:lang w:eastAsia="cs-CZ"/>
        </w:rPr>
        <w:t>úspora</w:t>
      </w:r>
      <w:r w:rsidRPr="00AD2D8A">
        <w:rPr>
          <w:rFonts w:ascii="Arial" w:eastAsia="Arial" w:hAnsi="Arial"/>
          <w:b/>
          <w:szCs w:val="20"/>
          <w:lang w:eastAsia="cs-CZ"/>
        </w:rPr>
        <w:t xml:space="preserve"> </w:t>
      </w:r>
      <w:r w:rsidRPr="00AD2D8A">
        <w:rPr>
          <w:rFonts w:ascii="Arial" w:eastAsia="Arial" w:hAnsi="Arial"/>
          <w:b/>
          <w:bCs/>
          <w:szCs w:val="20"/>
          <w:lang w:eastAsia="cs-CZ"/>
        </w:rPr>
        <w:t xml:space="preserve">nákladů </w:t>
      </w:r>
      <w:r w:rsidRPr="00AD2D8A">
        <w:rPr>
          <w:rFonts w:ascii="Arial" w:eastAsia="Arial" w:hAnsi="Arial"/>
          <w:bCs/>
          <w:szCs w:val="20"/>
          <w:lang w:eastAsia="cs-CZ"/>
        </w:rPr>
        <w:t>ÚS</w:t>
      </w:r>
      <w:r w:rsidRPr="00AD2D8A">
        <w:rPr>
          <w:rFonts w:ascii="Arial" w:eastAsia="Arial" w:hAnsi="Arial"/>
          <w:szCs w:val="20"/>
          <w:lang w:eastAsia="cs-CZ"/>
        </w:rPr>
        <w:t>P</w:t>
      </w:r>
      <w:r w:rsidRPr="00AD2D8A">
        <w:rPr>
          <w:rFonts w:ascii="Arial" w:eastAsia="Arial" w:hAnsi="Arial"/>
          <w:position w:val="-3"/>
          <w:szCs w:val="20"/>
          <w:vertAlign w:val="subscript"/>
          <w:lang w:eastAsia="cs-CZ"/>
        </w:rPr>
        <w:t>ZO,RC</w:t>
      </w:r>
      <w:r w:rsidRPr="00AD2D8A">
        <w:rPr>
          <w:rFonts w:ascii="Arial" w:eastAsia="Arial" w:hAnsi="Arial"/>
          <w:szCs w:val="20"/>
          <w:lang w:eastAsia="cs-CZ"/>
        </w:rPr>
        <w:t xml:space="preserve"> za dané </w:t>
      </w:r>
      <w:r w:rsidRPr="00AD2D8A">
        <w:rPr>
          <w:rFonts w:ascii="Arial" w:eastAsia="Arial" w:hAnsi="Arial"/>
          <w:bCs/>
          <w:szCs w:val="20"/>
          <w:lang w:eastAsia="cs-CZ"/>
        </w:rPr>
        <w:t>zúčtovací období</w:t>
      </w:r>
      <w:r w:rsidRPr="00AD2D8A">
        <w:rPr>
          <w:rFonts w:ascii="Arial" w:eastAsia="Arial" w:hAnsi="Arial"/>
          <w:b/>
          <w:bCs/>
          <w:szCs w:val="20"/>
          <w:lang w:eastAsia="cs-CZ"/>
        </w:rPr>
        <w:t xml:space="preserve"> </w:t>
      </w:r>
      <w:r w:rsidRPr="00AD2D8A">
        <w:rPr>
          <w:rFonts w:ascii="Arial" w:eastAsia="Arial" w:hAnsi="Arial"/>
          <w:b/>
          <w:szCs w:val="20"/>
          <w:lang w:eastAsia="cs-CZ"/>
        </w:rPr>
        <w:t>v</w:t>
      </w:r>
      <w:r w:rsidRPr="00AD2D8A">
        <w:rPr>
          <w:rFonts w:ascii="Arial" w:eastAsia="Arial" w:hAnsi="Arial"/>
          <w:b/>
          <w:bCs/>
          <w:szCs w:val="20"/>
          <w:lang w:eastAsia="cs-CZ"/>
        </w:rPr>
        <w:t>y</w:t>
      </w:r>
      <w:r w:rsidRPr="00AD2D8A">
        <w:rPr>
          <w:rFonts w:ascii="Arial" w:eastAsia="Arial" w:hAnsi="Arial"/>
          <w:b/>
          <w:szCs w:val="20"/>
          <w:lang w:eastAsia="cs-CZ"/>
        </w:rPr>
        <w:t>šší</w:t>
      </w:r>
      <w:r w:rsidRPr="00AD2D8A">
        <w:rPr>
          <w:rFonts w:ascii="Arial" w:eastAsia="Arial" w:hAnsi="Arial"/>
          <w:szCs w:val="20"/>
          <w:lang w:eastAsia="cs-CZ"/>
        </w:rPr>
        <w:t xml:space="preserve">, než </w:t>
      </w:r>
      <w:r w:rsidRPr="00AD2D8A">
        <w:rPr>
          <w:rFonts w:ascii="Arial" w:eastAsia="Arial" w:hAnsi="Arial"/>
          <w:b/>
          <w:bCs/>
          <w:szCs w:val="20"/>
          <w:lang w:eastAsia="cs-CZ"/>
        </w:rPr>
        <w:t xml:space="preserve">garantovaná úspora </w:t>
      </w:r>
      <w:r w:rsidRPr="00AD2D8A">
        <w:rPr>
          <w:rFonts w:ascii="Arial" w:eastAsia="Arial" w:hAnsi="Arial"/>
          <w:bCs/>
          <w:szCs w:val="20"/>
          <w:lang w:eastAsia="cs-CZ"/>
        </w:rPr>
        <w:t>GÚ</w:t>
      </w:r>
      <w:r w:rsidRPr="00AD2D8A">
        <w:rPr>
          <w:rFonts w:ascii="Arial" w:eastAsia="Arial" w:hAnsi="Arial"/>
          <w:bCs/>
          <w:position w:val="-3"/>
          <w:szCs w:val="20"/>
          <w:vertAlign w:val="subscript"/>
          <w:lang w:eastAsia="cs-CZ"/>
        </w:rPr>
        <w:t>ZO</w:t>
      </w:r>
      <w:r w:rsidRPr="00AD2D8A">
        <w:rPr>
          <w:rFonts w:ascii="Arial" w:eastAsia="Arial" w:hAnsi="Arial"/>
          <w:szCs w:val="20"/>
          <w:lang w:eastAsia="cs-CZ"/>
        </w:rPr>
        <w:t xml:space="preserve"> uvedená pro toto </w:t>
      </w:r>
      <w:r w:rsidRPr="00AD2D8A">
        <w:rPr>
          <w:rFonts w:ascii="Arial" w:eastAsia="Arial" w:hAnsi="Arial"/>
          <w:b/>
          <w:bCs/>
          <w:szCs w:val="20"/>
          <w:lang w:eastAsia="cs-CZ"/>
        </w:rPr>
        <w:t>zúčtovací</w:t>
      </w:r>
      <w:r w:rsidRPr="00AD2D8A">
        <w:rPr>
          <w:rFonts w:ascii="Arial" w:eastAsia="Arial" w:hAnsi="Arial"/>
          <w:b/>
          <w:szCs w:val="20"/>
          <w:lang w:eastAsia="cs-CZ"/>
        </w:rPr>
        <w:t xml:space="preserve"> </w:t>
      </w:r>
      <w:r w:rsidRPr="00AD2D8A">
        <w:rPr>
          <w:rFonts w:ascii="Arial" w:eastAsia="Arial" w:hAnsi="Arial"/>
          <w:b/>
          <w:bCs/>
          <w:szCs w:val="20"/>
          <w:lang w:eastAsia="cs-CZ"/>
        </w:rPr>
        <w:t>období</w:t>
      </w:r>
      <w:r w:rsidRPr="00AD2D8A">
        <w:rPr>
          <w:rFonts w:ascii="Arial" w:eastAsia="Arial" w:hAnsi="Arial"/>
          <w:szCs w:val="20"/>
          <w:lang w:eastAsia="cs-CZ"/>
        </w:rPr>
        <w:t>, vzniká ESCO právo na prémii ve výši:</w:t>
      </w:r>
    </w:p>
    <w:p w14:paraId="3D4A7082" w14:textId="304963E1" w:rsidR="00C54691" w:rsidRPr="00AD2D8A" w:rsidRDefault="00C54691" w:rsidP="00C54691">
      <w:pPr>
        <w:spacing w:before="240" w:line="240" w:lineRule="atLeast"/>
        <w:jc w:val="center"/>
        <w:rPr>
          <w:rFonts w:ascii="Arial" w:eastAsia="Arial" w:hAnsi="Arial"/>
          <w:b/>
          <w:color w:val="000000"/>
          <w:szCs w:val="24"/>
          <w:lang w:eastAsia="cs-CZ"/>
        </w:rPr>
      </w:pPr>
      <w:r w:rsidRPr="00AD2D8A">
        <w:rPr>
          <w:rFonts w:ascii="Arial" w:eastAsia="Arial" w:hAnsi="Arial"/>
          <w:b/>
          <w:szCs w:val="24"/>
          <w:lang w:eastAsia="cs-CZ"/>
        </w:rPr>
        <w:t>Prémie</w:t>
      </w:r>
      <w:r w:rsidRPr="00AD2D8A">
        <w:rPr>
          <w:rFonts w:ascii="Arial" w:eastAsia="Arial" w:hAnsi="Arial"/>
          <w:b/>
          <w:bCs/>
          <w:position w:val="-3"/>
          <w:szCs w:val="24"/>
          <w:vertAlign w:val="subscript"/>
          <w:lang w:eastAsia="cs-CZ"/>
        </w:rPr>
        <w:t>ZO</w:t>
      </w:r>
      <w:r w:rsidRPr="00AD2D8A">
        <w:rPr>
          <w:rFonts w:ascii="Arial" w:eastAsia="Arial" w:hAnsi="Arial"/>
          <w:position w:val="-3"/>
          <w:szCs w:val="24"/>
          <w:vertAlign w:val="subscript"/>
          <w:lang w:eastAsia="cs-CZ"/>
        </w:rPr>
        <w:t xml:space="preserve"> </w:t>
      </w:r>
      <w:r w:rsidRPr="00AD2D8A">
        <w:rPr>
          <w:rFonts w:ascii="Arial" w:eastAsia="Arial" w:hAnsi="Arial"/>
          <w:b/>
          <w:szCs w:val="24"/>
          <w:lang w:eastAsia="cs-CZ"/>
        </w:rPr>
        <w:t>= 0,</w:t>
      </w:r>
      <w:r w:rsidR="00345E04">
        <w:rPr>
          <w:rFonts w:ascii="Arial" w:eastAsia="Arial" w:hAnsi="Arial"/>
          <w:b/>
          <w:szCs w:val="24"/>
          <w:lang w:eastAsia="cs-CZ"/>
        </w:rPr>
        <w:t>3</w:t>
      </w:r>
      <w:r w:rsidRPr="00AD2D8A">
        <w:rPr>
          <w:rFonts w:ascii="Arial" w:eastAsia="Arial" w:hAnsi="Arial"/>
          <w:b/>
          <w:szCs w:val="24"/>
          <w:lang w:eastAsia="cs-CZ"/>
        </w:rPr>
        <w:t>0 x (ÚSP</w:t>
      </w:r>
      <w:r w:rsidRPr="00AD2D8A">
        <w:rPr>
          <w:rFonts w:ascii="Arial" w:eastAsia="Arial" w:hAnsi="Arial"/>
          <w:b/>
          <w:bCs/>
          <w:position w:val="-3"/>
          <w:szCs w:val="24"/>
          <w:vertAlign w:val="subscript"/>
          <w:lang w:eastAsia="cs-CZ"/>
        </w:rPr>
        <w:t>ZO</w:t>
      </w:r>
      <w:r w:rsidRPr="00AD2D8A">
        <w:rPr>
          <w:rFonts w:ascii="Arial" w:eastAsia="Arial" w:hAnsi="Arial"/>
          <w:position w:val="-3"/>
          <w:szCs w:val="24"/>
          <w:vertAlign w:val="subscript"/>
          <w:lang w:eastAsia="cs-CZ"/>
        </w:rPr>
        <w:t>,</w:t>
      </w:r>
      <w:r w:rsidRPr="00AD2D8A">
        <w:rPr>
          <w:rFonts w:ascii="Arial" w:eastAsia="Arial" w:hAnsi="Arial"/>
          <w:b/>
          <w:bCs/>
          <w:position w:val="-3"/>
          <w:szCs w:val="24"/>
          <w:vertAlign w:val="subscript"/>
          <w:lang w:eastAsia="cs-CZ"/>
        </w:rPr>
        <w:t xml:space="preserve">RC </w:t>
      </w:r>
      <w:r w:rsidRPr="00AD2D8A">
        <w:rPr>
          <w:rFonts w:ascii="Arial" w:eastAsia="Arial" w:hAnsi="Arial"/>
          <w:b/>
          <w:szCs w:val="24"/>
          <w:lang w:eastAsia="cs-CZ"/>
        </w:rPr>
        <w:t>– GÚ</w:t>
      </w:r>
      <w:r w:rsidRPr="00AD2D8A">
        <w:rPr>
          <w:rFonts w:ascii="Arial" w:eastAsia="Arial" w:hAnsi="Arial"/>
          <w:b/>
          <w:bCs/>
          <w:position w:val="-3"/>
          <w:szCs w:val="24"/>
          <w:vertAlign w:val="subscript"/>
          <w:lang w:eastAsia="cs-CZ"/>
        </w:rPr>
        <w:t>ZO</w:t>
      </w:r>
      <w:r w:rsidRPr="00AD2D8A">
        <w:rPr>
          <w:rFonts w:ascii="Arial" w:eastAsia="Arial" w:hAnsi="Arial"/>
          <w:b/>
          <w:szCs w:val="24"/>
          <w:lang w:eastAsia="cs-CZ"/>
        </w:rPr>
        <w:t>)</w:t>
      </w:r>
    </w:p>
    <w:p w14:paraId="6BCB0AC2" w14:textId="77777777" w:rsidR="00C54691" w:rsidRPr="00AD2D8A" w:rsidRDefault="00C54691" w:rsidP="00C54691">
      <w:pPr>
        <w:spacing w:before="240" w:line="240" w:lineRule="atLeast"/>
        <w:rPr>
          <w:rFonts w:ascii="Arial" w:eastAsia="Arial" w:hAnsi="Arial"/>
          <w:b/>
          <w:szCs w:val="24"/>
          <w:lang w:eastAsia="cs-CZ"/>
        </w:rPr>
      </w:pPr>
    </w:p>
    <w:p w14:paraId="6768A504" w14:textId="77777777" w:rsidR="00C54691" w:rsidRPr="00AD2D8A" w:rsidRDefault="00C54691" w:rsidP="00C54691">
      <w:pPr>
        <w:spacing w:before="240" w:line="240" w:lineRule="atLeast"/>
        <w:rPr>
          <w:rFonts w:ascii="Arial" w:eastAsia="Arial" w:hAnsi="Arial"/>
          <w:b/>
          <w:szCs w:val="24"/>
          <w:lang w:eastAsia="cs-CZ"/>
        </w:rPr>
      </w:pPr>
      <w:r w:rsidRPr="00AD2D8A">
        <w:rPr>
          <w:rFonts w:ascii="Arial" w:eastAsia="Arial" w:hAnsi="Arial"/>
          <w:b/>
          <w:szCs w:val="24"/>
          <w:lang w:eastAsia="cs-CZ"/>
        </w:rPr>
        <w:t>Význam označení:</w:t>
      </w:r>
    </w:p>
    <w:p w14:paraId="348F8410" w14:textId="77777777" w:rsidR="00C54691" w:rsidRPr="00AD2D8A" w:rsidRDefault="00C54691" w:rsidP="00C54691">
      <w:pPr>
        <w:tabs>
          <w:tab w:val="left" w:pos="1701"/>
        </w:tabs>
        <w:spacing w:before="240" w:line="240" w:lineRule="atLeast"/>
        <w:ind w:left="1701" w:hanging="1701"/>
        <w:rPr>
          <w:rFonts w:ascii="Arial" w:eastAsia="Arial" w:hAnsi="Arial"/>
          <w:szCs w:val="24"/>
          <w:lang w:eastAsia="cs-CZ"/>
        </w:rPr>
      </w:pPr>
      <w:r w:rsidRPr="00AD2D8A">
        <w:rPr>
          <w:rFonts w:ascii="Arial" w:eastAsia="Arial" w:hAnsi="Arial"/>
          <w:b/>
          <w:szCs w:val="24"/>
          <w:lang w:eastAsia="cs-CZ"/>
        </w:rPr>
        <w:t>Sankce</w:t>
      </w:r>
      <w:r w:rsidRPr="00AD2D8A">
        <w:rPr>
          <w:rFonts w:ascii="Arial" w:eastAsia="Arial" w:hAnsi="Arial"/>
          <w:b/>
          <w:bCs/>
          <w:position w:val="-3"/>
          <w:szCs w:val="24"/>
          <w:vertAlign w:val="subscript"/>
          <w:lang w:eastAsia="cs-CZ"/>
        </w:rPr>
        <w:t>ZO</w:t>
      </w:r>
      <w:r w:rsidRPr="00AD2D8A">
        <w:rPr>
          <w:rFonts w:ascii="Arial" w:eastAsia="Arial" w:hAnsi="Arial"/>
          <w:szCs w:val="24"/>
          <w:lang w:eastAsia="cs-CZ"/>
        </w:rPr>
        <w:t xml:space="preserve"> </w:t>
      </w:r>
      <w:r w:rsidRPr="00AD2D8A">
        <w:rPr>
          <w:rFonts w:ascii="Arial" w:eastAsia="Arial" w:hAnsi="Arial"/>
          <w:b/>
          <w:szCs w:val="24"/>
          <w:lang w:eastAsia="cs-CZ"/>
        </w:rPr>
        <w:t>[Kč]</w:t>
      </w:r>
      <w:r w:rsidRPr="00AD2D8A">
        <w:rPr>
          <w:rFonts w:ascii="Arial" w:eastAsia="Arial" w:hAnsi="Arial"/>
          <w:szCs w:val="24"/>
          <w:lang w:eastAsia="cs-CZ"/>
        </w:rPr>
        <w:tab/>
        <w:t xml:space="preserve">je sankce ESCO za dané </w:t>
      </w:r>
      <w:r w:rsidRPr="00AD2D8A">
        <w:rPr>
          <w:rFonts w:ascii="Arial" w:eastAsia="Arial" w:hAnsi="Arial"/>
          <w:b/>
          <w:szCs w:val="24"/>
          <w:lang w:eastAsia="cs-CZ"/>
        </w:rPr>
        <w:t>zúčtovací období</w:t>
      </w:r>
      <w:r w:rsidRPr="00AD2D8A">
        <w:rPr>
          <w:rFonts w:ascii="Arial" w:eastAsia="Arial" w:hAnsi="Arial"/>
          <w:szCs w:val="24"/>
          <w:lang w:eastAsia="cs-CZ"/>
        </w:rPr>
        <w:t>;</w:t>
      </w:r>
    </w:p>
    <w:p w14:paraId="00CA2C17" w14:textId="77777777" w:rsidR="00C54691" w:rsidRPr="00AD2D8A" w:rsidRDefault="00C54691" w:rsidP="00C54691">
      <w:pPr>
        <w:tabs>
          <w:tab w:val="left" w:pos="1701"/>
        </w:tabs>
        <w:spacing w:before="240" w:line="240" w:lineRule="atLeast"/>
        <w:ind w:left="1701" w:hanging="1701"/>
        <w:rPr>
          <w:rFonts w:ascii="Arial" w:eastAsia="Arial" w:hAnsi="Arial"/>
          <w:szCs w:val="24"/>
          <w:lang w:eastAsia="cs-CZ"/>
        </w:rPr>
      </w:pPr>
      <w:r w:rsidRPr="00AD2D8A">
        <w:rPr>
          <w:rFonts w:ascii="Arial" w:eastAsia="Arial" w:hAnsi="Arial"/>
          <w:b/>
          <w:szCs w:val="24"/>
          <w:lang w:eastAsia="cs-CZ"/>
        </w:rPr>
        <w:t>Prémie</w:t>
      </w:r>
      <w:r w:rsidRPr="00AD2D8A">
        <w:rPr>
          <w:rFonts w:ascii="Arial" w:eastAsia="Arial" w:hAnsi="Arial"/>
          <w:b/>
          <w:bCs/>
          <w:position w:val="-3"/>
          <w:szCs w:val="24"/>
          <w:vertAlign w:val="subscript"/>
          <w:lang w:eastAsia="cs-CZ"/>
        </w:rPr>
        <w:t>ZO</w:t>
      </w:r>
      <w:r w:rsidRPr="00AD2D8A">
        <w:rPr>
          <w:rFonts w:ascii="Arial" w:eastAsia="Arial" w:hAnsi="Arial"/>
          <w:szCs w:val="24"/>
          <w:lang w:eastAsia="cs-CZ"/>
        </w:rPr>
        <w:t xml:space="preserve"> </w:t>
      </w:r>
      <w:r w:rsidRPr="00AD2D8A">
        <w:rPr>
          <w:rFonts w:ascii="Arial" w:eastAsia="Arial" w:hAnsi="Arial"/>
          <w:b/>
          <w:szCs w:val="24"/>
          <w:lang w:eastAsia="cs-CZ"/>
        </w:rPr>
        <w:t>[Kč]</w:t>
      </w:r>
      <w:r w:rsidRPr="00AD2D8A">
        <w:rPr>
          <w:rFonts w:ascii="Arial" w:eastAsia="Arial" w:hAnsi="Arial"/>
          <w:szCs w:val="24"/>
          <w:lang w:eastAsia="cs-CZ"/>
        </w:rPr>
        <w:tab/>
        <w:t xml:space="preserve">je prémie ESCO za dané </w:t>
      </w:r>
      <w:r w:rsidRPr="00AD2D8A">
        <w:rPr>
          <w:rFonts w:ascii="Arial" w:eastAsia="Arial" w:hAnsi="Arial"/>
          <w:b/>
          <w:szCs w:val="24"/>
          <w:lang w:eastAsia="cs-CZ"/>
        </w:rPr>
        <w:t>zúčtovací období</w:t>
      </w:r>
      <w:r w:rsidRPr="00AD2D8A">
        <w:rPr>
          <w:rFonts w:ascii="Arial" w:eastAsia="Arial" w:hAnsi="Arial"/>
          <w:szCs w:val="24"/>
          <w:lang w:eastAsia="cs-CZ"/>
        </w:rPr>
        <w:t>;</w:t>
      </w:r>
    </w:p>
    <w:p w14:paraId="670A0C66" w14:textId="73F870EC" w:rsidR="00C54691" w:rsidRPr="00AD2D8A" w:rsidRDefault="00C54691" w:rsidP="00C54691">
      <w:pPr>
        <w:tabs>
          <w:tab w:val="left" w:pos="1701"/>
        </w:tabs>
        <w:spacing w:before="240" w:line="240" w:lineRule="atLeast"/>
        <w:ind w:left="1701" w:hanging="1701"/>
        <w:rPr>
          <w:rFonts w:ascii="Arial" w:eastAsia="Arial" w:hAnsi="Arial"/>
          <w:szCs w:val="24"/>
          <w:lang w:eastAsia="cs-CZ"/>
        </w:rPr>
      </w:pPr>
      <w:r w:rsidRPr="00AD2D8A">
        <w:rPr>
          <w:rFonts w:ascii="Arial" w:eastAsia="Arial" w:hAnsi="Arial"/>
          <w:b/>
          <w:szCs w:val="24"/>
          <w:lang w:eastAsia="cs-CZ"/>
        </w:rPr>
        <w:t>ÚSP</w:t>
      </w:r>
      <w:r w:rsidRPr="00AD2D8A">
        <w:rPr>
          <w:rFonts w:ascii="Arial" w:eastAsia="Arial" w:hAnsi="Arial"/>
          <w:b/>
          <w:bCs/>
          <w:position w:val="-3"/>
          <w:szCs w:val="24"/>
          <w:vertAlign w:val="subscript"/>
          <w:lang w:eastAsia="cs-CZ"/>
        </w:rPr>
        <w:t>ZO</w:t>
      </w:r>
      <w:r w:rsidRPr="00AD2D8A">
        <w:rPr>
          <w:rFonts w:ascii="Arial" w:eastAsia="Arial" w:hAnsi="Arial"/>
          <w:szCs w:val="24"/>
          <w:lang w:eastAsia="cs-CZ"/>
        </w:rPr>
        <w:t xml:space="preserve"> </w:t>
      </w:r>
      <w:r w:rsidRPr="00AD2D8A">
        <w:rPr>
          <w:rFonts w:ascii="Arial" w:eastAsia="Arial" w:hAnsi="Arial"/>
          <w:b/>
          <w:szCs w:val="24"/>
          <w:lang w:eastAsia="cs-CZ"/>
        </w:rPr>
        <w:t>[Kč]</w:t>
      </w:r>
      <w:r w:rsidRPr="00AD2D8A">
        <w:rPr>
          <w:rFonts w:ascii="Arial" w:eastAsia="Arial" w:hAnsi="Arial"/>
          <w:szCs w:val="24"/>
          <w:lang w:eastAsia="cs-CZ"/>
        </w:rPr>
        <w:tab/>
        <w:t xml:space="preserve">je celková </w:t>
      </w:r>
      <w:r w:rsidRPr="00AD2D8A">
        <w:rPr>
          <w:rFonts w:ascii="Arial" w:eastAsia="Arial" w:hAnsi="Arial"/>
          <w:b/>
          <w:szCs w:val="24"/>
          <w:lang w:eastAsia="cs-CZ"/>
        </w:rPr>
        <w:t>úspora nákladů</w:t>
      </w:r>
      <w:r w:rsidRPr="00AD2D8A">
        <w:rPr>
          <w:rFonts w:ascii="Arial" w:eastAsia="Arial" w:hAnsi="Arial"/>
          <w:szCs w:val="24"/>
          <w:lang w:eastAsia="cs-CZ"/>
        </w:rPr>
        <w:t xml:space="preserve"> za </w:t>
      </w:r>
      <w:r w:rsidRPr="00AD2D8A">
        <w:rPr>
          <w:rFonts w:ascii="Arial" w:eastAsia="Arial" w:hAnsi="Arial"/>
          <w:b/>
          <w:szCs w:val="24"/>
          <w:lang w:eastAsia="cs-CZ"/>
        </w:rPr>
        <w:t>zúčtovací období</w:t>
      </w:r>
      <w:r w:rsidRPr="00AD2D8A">
        <w:rPr>
          <w:rFonts w:ascii="Arial" w:eastAsia="Arial" w:hAnsi="Arial"/>
          <w:szCs w:val="24"/>
          <w:lang w:eastAsia="cs-CZ"/>
        </w:rPr>
        <w:t xml:space="preserve"> stanovená v souladu s přílohou č. </w:t>
      </w:r>
      <w:r w:rsidR="00345E04">
        <w:rPr>
          <w:rFonts w:ascii="Arial" w:eastAsia="Arial" w:hAnsi="Arial"/>
          <w:szCs w:val="24"/>
          <w:lang w:eastAsia="cs-CZ"/>
        </w:rPr>
        <w:t>6</w:t>
      </w:r>
      <w:r w:rsidRPr="00AD2D8A">
        <w:rPr>
          <w:rFonts w:ascii="Arial" w:eastAsia="Arial" w:hAnsi="Arial"/>
          <w:szCs w:val="24"/>
          <w:lang w:eastAsia="cs-CZ"/>
        </w:rPr>
        <w:t>, při daných referenčních cenách energií;</w:t>
      </w:r>
    </w:p>
    <w:p w14:paraId="6C041CD8" w14:textId="6B5B1EF6" w:rsidR="00C54691" w:rsidRPr="00336C9F" w:rsidRDefault="00C54691" w:rsidP="00336C9F">
      <w:pPr>
        <w:tabs>
          <w:tab w:val="left" w:pos="1701"/>
        </w:tabs>
        <w:spacing w:before="240" w:line="240" w:lineRule="atLeast"/>
        <w:ind w:left="1701" w:hanging="1701"/>
        <w:rPr>
          <w:rFonts w:ascii="Arial" w:eastAsia="Calibri" w:hAnsi="Arial"/>
          <w:szCs w:val="24"/>
          <w:lang w:eastAsia="cs-CZ"/>
        </w:rPr>
      </w:pPr>
      <w:r w:rsidRPr="00AD2D8A">
        <w:rPr>
          <w:rFonts w:ascii="Arial" w:eastAsia="Arial" w:hAnsi="Arial"/>
          <w:b/>
          <w:szCs w:val="24"/>
          <w:lang w:eastAsia="cs-CZ"/>
        </w:rPr>
        <w:t>GÚ</w:t>
      </w:r>
      <w:r w:rsidRPr="00AD2D8A">
        <w:rPr>
          <w:rFonts w:ascii="Arial" w:eastAsia="Arial" w:hAnsi="Arial"/>
          <w:b/>
          <w:bCs/>
          <w:position w:val="-3"/>
          <w:szCs w:val="24"/>
          <w:vertAlign w:val="subscript"/>
          <w:lang w:eastAsia="cs-CZ"/>
        </w:rPr>
        <w:t>ZO</w:t>
      </w:r>
      <w:r w:rsidRPr="00AD2D8A">
        <w:rPr>
          <w:rFonts w:ascii="Arial" w:eastAsia="Arial" w:hAnsi="Arial"/>
          <w:b/>
          <w:szCs w:val="24"/>
          <w:lang w:eastAsia="cs-CZ"/>
        </w:rPr>
        <w:t xml:space="preserve"> [Kč]</w:t>
      </w:r>
      <w:r w:rsidRPr="00AD2D8A">
        <w:rPr>
          <w:rFonts w:ascii="Arial" w:eastAsia="Arial" w:hAnsi="Arial"/>
          <w:szCs w:val="24"/>
          <w:lang w:eastAsia="cs-CZ"/>
        </w:rPr>
        <w:tab/>
        <w:t xml:space="preserve">je </w:t>
      </w:r>
      <w:r w:rsidRPr="00AD2D8A">
        <w:rPr>
          <w:rFonts w:ascii="Arial" w:eastAsia="Arial" w:hAnsi="Arial"/>
          <w:b/>
          <w:szCs w:val="24"/>
          <w:lang w:eastAsia="cs-CZ"/>
        </w:rPr>
        <w:t xml:space="preserve">garantovaná úspora nákladů </w:t>
      </w:r>
      <w:r w:rsidRPr="00AD2D8A">
        <w:rPr>
          <w:rFonts w:ascii="Arial" w:eastAsia="Arial" w:hAnsi="Arial"/>
          <w:szCs w:val="24"/>
          <w:lang w:eastAsia="cs-CZ"/>
        </w:rPr>
        <w:t>za</w:t>
      </w:r>
      <w:r w:rsidRPr="00AD2D8A">
        <w:rPr>
          <w:rFonts w:ascii="Arial" w:eastAsia="Arial" w:hAnsi="Arial"/>
          <w:b/>
          <w:szCs w:val="24"/>
          <w:lang w:eastAsia="cs-CZ"/>
        </w:rPr>
        <w:t xml:space="preserve"> zúčtovací období</w:t>
      </w:r>
      <w:r w:rsidRPr="00AD2D8A">
        <w:rPr>
          <w:rFonts w:ascii="Arial" w:eastAsia="Arial" w:hAnsi="Arial"/>
          <w:szCs w:val="24"/>
          <w:lang w:eastAsia="cs-CZ"/>
        </w:rPr>
        <w:t>.</w:t>
      </w:r>
    </w:p>
    <w:p w14:paraId="30DB2BB5" w14:textId="77777777" w:rsidR="00F86BA1" w:rsidRDefault="00F86BA1" w:rsidP="00F86BA1">
      <w:pPr>
        <w:pStyle w:val="Nadpis1"/>
      </w:pPr>
      <w:r>
        <w:lastRenderedPageBreak/>
        <w:t>Příloha č. 6: Vyhodnocování dosažených úspor</w:t>
      </w:r>
      <w:bookmarkEnd w:id="15"/>
      <w:r>
        <w:t xml:space="preserve"> </w:t>
      </w:r>
    </w:p>
    <w:p w14:paraId="3A397410" w14:textId="77777777" w:rsidR="00BA3816" w:rsidRDefault="00BA3816" w:rsidP="00BA3816"/>
    <w:p w14:paraId="2534C083" w14:textId="77777777" w:rsidR="00BA3816" w:rsidRPr="00BA3816" w:rsidRDefault="00BA3816" w:rsidP="00BA3816">
      <w:r>
        <w:t xml:space="preserve">Dle článku 28 bodu č. 3 byla příloha dodavatelem označena jako obchodní tajemství. </w:t>
      </w:r>
    </w:p>
    <w:p w14:paraId="6070B359" w14:textId="77777777" w:rsidR="00BA3816" w:rsidRPr="00BA3816" w:rsidRDefault="00BA3816" w:rsidP="00BA3816"/>
    <w:p w14:paraId="7F19F9D7" w14:textId="77777777" w:rsidR="00F86BA1" w:rsidRDefault="00F86BA1" w:rsidP="00F86BA1">
      <w:pPr>
        <w:pStyle w:val="Nadpis1"/>
      </w:pPr>
      <w:bookmarkStart w:id="24" w:name="_Toc129194058"/>
      <w:r>
        <w:lastRenderedPageBreak/>
        <w:t>Příloha č. 7: Energetický management</w:t>
      </w:r>
      <w:bookmarkEnd w:id="24"/>
    </w:p>
    <w:p w14:paraId="2292A8D0" w14:textId="270BED2B" w:rsidR="00F86BA1" w:rsidRDefault="00F86BA1" w:rsidP="00F86BA1">
      <w:r>
        <w:t>Energetický management je nedílnou součástí služeb poskytovaných ESCO v rámci této smlouvy, je nezbytný pro dosažení garantované úspory, pro její prokázání a pro její vyhodnocení. Zahrnuje i</w:t>
      </w:r>
      <w:r w:rsidR="0057262A">
        <w:t> </w:t>
      </w:r>
      <w:r>
        <w:t xml:space="preserve">doporučování dalších možností, jak zlepšit hospodaření s energií. </w:t>
      </w:r>
    </w:p>
    <w:p w14:paraId="6F630934" w14:textId="77777777" w:rsidR="00F86BA1" w:rsidRDefault="00F86BA1" w:rsidP="00F86BA1">
      <w:r>
        <w:t xml:space="preserve">Energetický management není možné vykonávat bez náležité smluvně sjednané součinnosti Klienta. Proto bude v této příloze definován: </w:t>
      </w:r>
    </w:p>
    <w:p w14:paraId="45650155" w14:textId="7E3FAAA9" w:rsidR="00F86BA1" w:rsidRDefault="00F86BA1">
      <w:pPr>
        <w:pStyle w:val="Odstavecseseznamem1"/>
        <w:numPr>
          <w:ilvl w:val="0"/>
          <w:numId w:val="12"/>
        </w:numPr>
        <w:ind w:left="714" w:hanging="357"/>
        <w:contextualSpacing w:val="0"/>
      </w:pPr>
      <w:r>
        <w:t xml:space="preserve">Energetický management – činnosti a povinnosti </w:t>
      </w:r>
      <w:r w:rsidR="002107C4">
        <w:t>ESCO – zahrnuje</w:t>
      </w:r>
      <w:r>
        <w:t xml:space="preserve"> zejména činnosti uvedené v Článku 11, které budou podrobně rozepsány v této příloze. Energetický management musí probíhat v souladu s podmínkami OPŽP (Metodický návod na energetický management dle podmínek OPŽP je přílohou zadávací dokumentace) </w:t>
      </w:r>
    </w:p>
    <w:p w14:paraId="4EF0F404" w14:textId="77777777" w:rsidR="00F86BA1" w:rsidRDefault="00F86BA1">
      <w:pPr>
        <w:pStyle w:val="Odstavecseseznamem1"/>
        <w:numPr>
          <w:ilvl w:val="0"/>
          <w:numId w:val="12"/>
        </w:numPr>
        <w:ind w:left="714" w:hanging="357"/>
        <w:contextualSpacing w:val="0"/>
      </w:pPr>
      <w:r>
        <w:t xml:space="preserve">Součástí energetického managementu bude poskytování záručního a pozáručního servisu včetně údržby a oprav veškerých instalovaných technologií v rámci základních opatření definovaných v příloze č. 2 smlouvy o energetických službách. </w:t>
      </w:r>
    </w:p>
    <w:p w14:paraId="0CCE2B00" w14:textId="77777777" w:rsidR="00F86BA1" w:rsidRDefault="00F86BA1">
      <w:pPr>
        <w:pStyle w:val="Odstavecseseznamem1"/>
        <w:numPr>
          <w:ilvl w:val="0"/>
          <w:numId w:val="12"/>
        </w:numPr>
        <w:ind w:left="714" w:hanging="357"/>
        <w:contextualSpacing w:val="0"/>
      </w:pPr>
      <w:r>
        <w:t>Předmětem výše uvedených činností bude mimo jiné</w:t>
      </w:r>
    </w:p>
    <w:p w14:paraId="5C5467E7" w14:textId="77777777" w:rsidR="00F86BA1" w:rsidRDefault="00F86BA1">
      <w:pPr>
        <w:pStyle w:val="Odstavecseseznamem1"/>
        <w:numPr>
          <w:ilvl w:val="1"/>
          <w:numId w:val="12"/>
        </w:numPr>
        <w:contextualSpacing w:val="0"/>
      </w:pPr>
      <w:r w:rsidRPr="00A807CA">
        <w:t>provádění oprav</w:t>
      </w:r>
    </w:p>
    <w:p w14:paraId="2D22FF02" w14:textId="77777777" w:rsidR="00F86BA1" w:rsidRDefault="00F86BA1">
      <w:pPr>
        <w:pStyle w:val="Odstavecseseznamem1"/>
        <w:numPr>
          <w:ilvl w:val="1"/>
          <w:numId w:val="12"/>
        </w:numPr>
        <w:contextualSpacing w:val="0"/>
      </w:pPr>
      <w:r>
        <w:t>odstranění jakýchkoliv nefunkčností či jiných vad která brání běžnému provozu instalovaných technologií</w:t>
      </w:r>
    </w:p>
    <w:p w14:paraId="329DAD65" w14:textId="77777777" w:rsidR="00F86BA1" w:rsidRDefault="00F86BA1">
      <w:pPr>
        <w:pStyle w:val="Odstavecseseznamem1"/>
        <w:numPr>
          <w:ilvl w:val="1"/>
          <w:numId w:val="12"/>
        </w:numPr>
        <w:contextualSpacing w:val="0"/>
      </w:pPr>
      <w:r w:rsidRPr="00D5282B">
        <w:t>dodávání náhradních dílů</w:t>
      </w:r>
    </w:p>
    <w:p w14:paraId="6611C1F9" w14:textId="77777777" w:rsidR="00F86BA1" w:rsidRDefault="00F86BA1">
      <w:pPr>
        <w:pStyle w:val="Odstavecseseznamem1"/>
        <w:numPr>
          <w:ilvl w:val="1"/>
          <w:numId w:val="12"/>
        </w:numPr>
        <w:contextualSpacing w:val="0"/>
      </w:pPr>
      <w:r w:rsidRPr="00D5282B">
        <w:t>provádění odborné údržby</w:t>
      </w:r>
      <w:r>
        <w:t>,</w:t>
      </w:r>
      <w:r w:rsidRPr="00D5282B">
        <w:t xml:space="preserve"> kontrol a servisu</w:t>
      </w:r>
      <w:r>
        <w:t xml:space="preserve"> v rozsahu a četnosti stanovené výrobcem nebo příslušnými právními předpisy,</w:t>
      </w:r>
    </w:p>
    <w:p w14:paraId="524B55D5" w14:textId="77777777" w:rsidR="00F86BA1" w:rsidRDefault="00F86BA1">
      <w:pPr>
        <w:pStyle w:val="Odstavecseseznamem1"/>
        <w:numPr>
          <w:ilvl w:val="1"/>
          <w:numId w:val="12"/>
        </w:numPr>
        <w:contextualSpacing w:val="0"/>
      </w:pPr>
      <w:r>
        <w:t>provádění revizí v rozsahu a četnosti stanovené příslušnými právními předpisy</w:t>
      </w:r>
    </w:p>
    <w:p w14:paraId="2F28A731" w14:textId="77777777" w:rsidR="00F86BA1" w:rsidRDefault="00F86BA1">
      <w:pPr>
        <w:pStyle w:val="Odstavecseseznamem1"/>
        <w:numPr>
          <w:ilvl w:val="1"/>
          <w:numId w:val="12"/>
        </w:numPr>
        <w:contextualSpacing w:val="0"/>
      </w:pPr>
      <w:r>
        <w:t>a další činnosti podrobně definované v rámci jednání s účastníky.</w:t>
      </w:r>
    </w:p>
    <w:p w14:paraId="45A2E256" w14:textId="77777777" w:rsidR="00F86BA1" w:rsidRDefault="00F86BA1">
      <w:pPr>
        <w:pStyle w:val="Odstavecseseznamem1"/>
        <w:numPr>
          <w:ilvl w:val="0"/>
          <w:numId w:val="12"/>
        </w:numPr>
        <w:contextualSpacing w:val="0"/>
      </w:pPr>
      <w:r>
        <w:t xml:space="preserve">Účastníci v rámci předběžných nabídek navrhnou vlastní smlouvy o poskytování záručního a pozáručního servisu, o kterých bude s účastníky podrobně jednáno. </w:t>
      </w:r>
    </w:p>
    <w:p w14:paraId="14D1C76D" w14:textId="3F7466BD" w:rsidR="00F86BA1" w:rsidRDefault="00F86BA1">
      <w:pPr>
        <w:pStyle w:val="Odstavecseseznamem1"/>
        <w:numPr>
          <w:ilvl w:val="0"/>
          <w:numId w:val="12"/>
        </w:numPr>
        <w:contextualSpacing w:val="0"/>
      </w:pPr>
      <w:r>
        <w:t>Smlouvy o poskytování záručního a pozáručního servisu budou tvořit samostatnou přílohu</w:t>
      </w:r>
    </w:p>
    <w:p w14:paraId="6F96352D" w14:textId="7082FB5A" w:rsidR="00C260BB" w:rsidRDefault="00C260BB" w:rsidP="00C260BB">
      <w:pPr>
        <w:pStyle w:val="Odstavecseseznamem1"/>
        <w:ind w:left="360"/>
        <w:contextualSpacing w:val="0"/>
      </w:pPr>
    </w:p>
    <w:p w14:paraId="786DFBE5" w14:textId="77777777" w:rsidR="00C260BB" w:rsidRPr="00021850" w:rsidRDefault="00C260BB">
      <w:pPr>
        <w:pStyle w:val="Odstavecseseznamem"/>
        <w:numPr>
          <w:ilvl w:val="0"/>
          <w:numId w:val="105"/>
        </w:numPr>
        <w:rPr>
          <w:rFonts w:ascii="Arial" w:hAnsi="Arial" w:cs="Arial"/>
          <w:b/>
          <w:bCs/>
        </w:rPr>
      </w:pPr>
      <w:r w:rsidRPr="00021850">
        <w:rPr>
          <w:rFonts w:ascii="Arial" w:hAnsi="Arial" w:cs="Arial"/>
          <w:b/>
          <w:bCs/>
        </w:rPr>
        <w:t>Energetický management – povinnosti Klienta</w:t>
      </w:r>
    </w:p>
    <w:p w14:paraId="2E657F59" w14:textId="77777777" w:rsidR="00C260BB" w:rsidRPr="00021850" w:rsidRDefault="00C260BB" w:rsidP="00C260BB">
      <w:pPr>
        <w:rPr>
          <w:rFonts w:cs="Arial"/>
        </w:rPr>
      </w:pPr>
      <w:r w:rsidRPr="00021850">
        <w:rPr>
          <w:rFonts w:cs="Arial"/>
        </w:rPr>
        <w:t>Klient bude pravidelně měsíčně zasílat na e-mailovou adresu oprávněné osoby ESCO uvedenou v příloze č. 8 následující údaje:</w:t>
      </w:r>
    </w:p>
    <w:p w14:paraId="06D33641" w14:textId="77777777" w:rsidR="00C260BB" w:rsidRPr="00021850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021850">
        <w:rPr>
          <w:rFonts w:ascii="Arial" w:hAnsi="Arial" w:cs="Arial"/>
        </w:rPr>
        <w:t>kopie veškerých faktur za dodávku tepelné energie / plynu pro jednotlivé objekty, ve kterých je vyhodnocována úspora tepelné energie / plynu, a to nejpozději do 7 dnů po vystavení této faktury dodavatelem tepla / plynu;</w:t>
      </w:r>
    </w:p>
    <w:p w14:paraId="6FD50293" w14:textId="77777777" w:rsidR="00C260BB" w:rsidRPr="00021850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021850">
        <w:rPr>
          <w:rFonts w:ascii="Arial" w:hAnsi="Arial" w:cs="Arial"/>
        </w:rPr>
        <w:t>odečet stavu fakturačních a vybraných podružných měřičů tepla a plynu, a to nejpozději do 7 dne v měsíci;</w:t>
      </w:r>
    </w:p>
    <w:p w14:paraId="59D0ACA0" w14:textId="41321FDD" w:rsidR="00C260BB" w:rsidRPr="00021850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021850">
        <w:rPr>
          <w:rFonts w:ascii="Arial" w:hAnsi="Arial" w:cs="Arial"/>
        </w:rPr>
        <w:t>klient bude na výše uvedenou e-mailovou adresu zasílat rovněž kopie faktur za dodávku elektrické energie pro všechny objekty, a to nejpozději do 7 dnů po vystavení této faktury.</w:t>
      </w:r>
    </w:p>
    <w:p w14:paraId="357B4D44" w14:textId="77777777" w:rsidR="00C260BB" w:rsidRPr="00021850" w:rsidRDefault="00C260BB" w:rsidP="00C260BB">
      <w:pPr>
        <w:rPr>
          <w:rFonts w:cs="Arial"/>
        </w:rPr>
      </w:pPr>
      <w:r w:rsidRPr="00021850">
        <w:rPr>
          <w:rFonts w:cs="Arial"/>
        </w:rPr>
        <w:t>Klient bude dále zasílat na e-mailovou adresu oprávněné osoby ESCO uvedenou v příloze č.8 následující údaje:</w:t>
      </w:r>
    </w:p>
    <w:p w14:paraId="56500D0F" w14:textId="77777777" w:rsidR="00C260BB" w:rsidRPr="00021850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021850">
        <w:rPr>
          <w:rFonts w:ascii="Arial" w:hAnsi="Arial" w:cs="Arial"/>
        </w:rPr>
        <w:t xml:space="preserve">informace o veškerých plánovaných změnách v objektech, které mohou mít za následek nárůst spotřeby elektrické energie a/ nebo energie na vytápění a ohřev TV, a to nejpozději 30 dnů před dlouhodobě plánovanými významnými změnami (např. přístavba nového objektu, instalace nové VZT jednotky nebo jiného významného spotřebiče </w:t>
      </w:r>
      <w:r w:rsidRPr="00021850">
        <w:rPr>
          <w:rFonts w:ascii="Arial" w:hAnsi="Arial" w:cs="Arial"/>
        </w:rPr>
        <w:lastRenderedPageBreak/>
        <w:t>energie, celkové změny ve využití areálu, významné rozšíření odběru teplé užitkové vody apod.) a nejpozději 7 dnů před plánovanými změnami malého rozsahu (např. posílení topných ploch, změna ve využití místností apod.);</w:t>
      </w:r>
    </w:p>
    <w:p w14:paraId="3DE87C20" w14:textId="2A946044" w:rsidR="00C260BB" w:rsidRPr="00C260B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021850">
        <w:rPr>
          <w:rFonts w:ascii="Arial" w:hAnsi="Arial" w:cs="Arial"/>
        </w:rPr>
        <w:t>informace o veškerých mimořádných stavech, které mohou mít za následek nárůst spotřeby elektrické energie a/ nebo energie na vytápění a ohřev TV, a to neprodleně po zjištění tohoto mimořádného stavu.</w:t>
      </w:r>
    </w:p>
    <w:p w14:paraId="1AEEAF12" w14:textId="77777777" w:rsidR="00C260BB" w:rsidRPr="000125B3" w:rsidRDefault="00C260BB" w:rsidP="00C260BB">
      <w:pPr>
        <w:spacing w:before="240"/>
        <w:rPr>
          <w:rFonts w:cs="Arial"/>
          <w:b/>
          <w:u w:val="single"/>
        </w:rPr>
      </w:pPr>
      <w:r w:rsidRPr="000125B3">
        <w:rPr>
          <w:rFonts w:cs="Arial"/>
          <w:b/>
          <w:u w:val="single"/>
        </w:rPr>
        <w:t>Další úkoly a povinnosti Klienta/ provozovatele:</w:t>
      </w:r>
    </w:p>
    <w:p w14:paraId="51BEF80A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Klient se zavazuje na základě proškolení využívat energetická zařízení k účelnému provozu, na základě výzvy ctít základní pravidla pro optimální využití instalovaných zařízení a dlouhodobě společně s ESCO usilovat o maximalizaci energetických úspor v rámci podmínek kladených na užívání daných prostor a zařízení v souladu s platnou legislativou. ESCO poskytne veškerou potřebnou součinnost k zaškolení osob;</w:t>
      </w:r>
    </w:p>
    <w:p w14:paraId="263E81CF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včas zaznamenávat změny, které by mohly vést k úniku či ztrátě energetických a jiných médií v provozovaném hospodářství, zajistit nápravná opatření;</w:t>
      </w:r>
    </w:p>
    <w:p w14:paraId="4706A470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nepřetápět prostory – udržovat teplotu v daných prostorech na přiměřené úrovni (zvýšení teploty v prostorech, znamená zvýšení nákladů na vytápění). U dlouhodobě nevyužívaných prostor nastavit tlumené vytápění, tzv. temperování prostor na minimální teplotu;</w:t>
      </w:r>
    </w:p>
    <w:p w14:paraId="64DF260A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uváženě hospodařit s teplou vodou;</w:t>
      </w:r>
    </w:p>
    <w:p w14:paraId="5FC3472A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dodržovat základní pravidla úsporného provozu při osvětlení vnitřních prostor, klást důraz na úsporu v této oblasti elektrické spotřeby;</w:t>
      </w:r>
    </w:p>
    <w:p w14:paraId="618E07EC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vyvarovat se nadměrného a nekontrolovatelného větrání okny (trvale otevřená nebo nedovřená okna, jsou považována za nadměrné a nekontrolované větrání z důvodu velkého úniku tepla); v zimním období se doporučuje větrat krátce a intenzivně několikrát denně; zavírat dveře oddělující vytápěné místnosti od nevytápěných;</w:t>
      </w:r>
    </w:p>
    <w:p w14:paraId="20D2D7A1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pravidelně působit na uživatele a snižovat energetickou náročnost organizačními opatřeními;</w:t>
      </w:r>
    </w:p>
    <w:p w14:paraId="53A70EBC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dbát na úsporné nakládání s prostředky svěřenými na provoz energetického hospodářství, provoz z hlediska těchto nákladů optimalizovat;</w:t>
      </w:r>
    </w:p>
    <w:p w14:paraId="4AED1491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Klient bude nadále zajišťovat řádný servis a údržbu související s provozem nově vzniklého energetického systému a finančně plnit ostatní náklady související s provozem, mimo náklady samostatně specifikované v povinnostech poskytovatele, jež jsou součástí finančních nákladů poskytovatele služby a na nichž je klient povinen provozně spolupracovat;</w:t>
      </w:r>
    </w:p>
    <w:p w14:paraId="043AE974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mezi ostatní budoucí provozní náklady související s provozem patří zejména mzdové náklady na osoby zajišťující výhradně provoz energetického systému, správní a výrobní režie související s investičními opatřeními k zajištění běžného servisu, oprav, revizí, měření a pravidelné kontroly technologických zařízení zdrojů, rozvodů energetických médií, akčních členů systému měření a regulace (MaR), předávacích stanic a rozvoden, míst spotřeby a užití energie;</w:t>
      </w:r>
    </w:p>
    <w:p w14:paraId="631AB465" w14:textId="77777777" w:rsidR="00C260BB" w:rsidRPr="00A54C67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</w:pPr>
      <w:r w:rsidRPr="00A54C67">
        <w:t>Klient je povinen dle možností minimalizovat náklady na údržbu zařízení včasným a pravidelným servisem a ctít metodických pokynů ESCO.</w:t>
      </w:r>
    </w:p>
    <w:p w14:paraId="12877BCF" w14:textId="77777777" w:rsidR="00C260BB" w:rsidRDefault="00C260BB" w:rsidP="00C260BB">
      <w:pPr>
        <w:widowControl w:val="0"/>
        <w:rPr>
          <w:rFonts w:cs="Arial"/>
        </w:rPr>
      </w:pPr>
      <w:r w:rsidRPr="000125B3">
        <w:rPr>
          <w:rFonts w:cs="Arial"/>
        </w:rPr>
        <w:t>Klient je povinen obsluhovat zařízení, prvky a systémy dodané a instalované v rámci opatření a řídit se provozními předpisy/postupy předanými ESCO při předání</w:t>
      </w:r>
      <w:r>
        <w:rPr>
          <w:rFonts w:cs="Arial"/>
        </w:rPr>
        <w:t>.</w:t>
      </w:r>
    </w:p>
    <w:p w14:paraId="25D80596" w14:textId="77777777" w:rsidR="00336C9F" w:rsidRDefault="00336C9F" w:rsidP="00C260BB">
      <w:pPr>
        <w:widowControl w:val="0"/>
        <w:rPr>
          <w:rFonts w:cs="Arial"/>
        </w:rPr>
      </w:pPr>
    </w:p>
    <w:p w14:paraId="16D66824" w14:textId="77777777" w:rsidR="00C260BB" w:rsidRPr="00E3693D" w:rsidRDefault="00C260BB">
      <w:pPr>
        <w:pStyle w:val="Odstavecseseznamem"/>
        <w:numPr>
          <w:ilvl w:val="0"/>
          <w:numId w:val="105"/>
        </w:numPr>
        <w:rPr>
          <w:rFonts w:ascii="Arial" w:hAnsi="Arial" w:cs="Arial"/>
          <w:b/>
          <w:bCs/>
        </w:rPr>
      </w:pPr>
      <w:r w:rsidRPr="00E3693D">
        <w:rPr>
          <w:rFonts w:ascii="Arial" w:hAnsi="Arial" w:cs="Arial"/>
          <w:b/>
          <w:bCs/>
        </w:rPr>
        <w:lastRenderedPageBreak/>
        <w:t>Energetický management – činnosti a povinnosti ESCO</w:t>
      </w:r>
    </w:p>
    <w:p w14:paraId="3A65EFEA" w14:textId="77777777" w:rsidR="00C260BB" w:rsidRPr="00567FD6" w:rsidRDefault="00C260BB" w:rsidP="00C260BB">
      <w:pPr>
        <w:rPr>
          <w:rFonts w:cs="Arial"/>
        </w:rPr>
      </w:pPr>
      <w:r w:rsidRPr="00C20D61">
        <w:rPr>
          <w:rFonts w:cs="Arial"/>
        </w:rPr>
        <w:t>ESCO bude uplatňovat principy energetického managementu ve všech objektech uvedených v příloze č. 1. Cílem</w:t>
      </w:r>
      <w:r w:rsidRPr="00567FD6">
        <w:rPr>
          <w:rFonts w:cs="Arial"/>
        </w:rPr>
        <w:t xml:space="preserve"> energetického managementu je minimalizovat provozní náklady při zachování požadovaných parametrů vnitřního prostředí, zejména tepelné pohody v objektech. Energetický management zahrnuje následující činnosti ESCO:</w:t>
      </w:r>
    </w:p>
    <w:p w14:paraId="73B1BEBE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měsíční evidence spotřeby tepla (plynu) na fakturačním měřícím zařízení (ve spolupráci s odpovědnými pracovníky Klienta) a archivace dat;</w:t>
      </w:r>
    </w:p>
    <w:p w14:paraId="04EF7DF5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měsíční kontrola a sledování spotřeby tepla (plynu);</w:t>
      </w:r>
    </w:p>
    <w:p w14:paraId="72BFC816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měsíční porovnávání naměřených údajů s historickými spotřebami tepla (plynu);</w:t>
      </w:r>
    </w:p>
    <w:p w14:paraId="426BFB03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měsíční porovnávání naměřených údajů s historickými spotřebami tepla (plynu) se zohledněním rozdílných teplotních podmínek a změn ve využití areálů a objektů;</w:t>
      </w:r>
    </w:p>
    <w:p w14:paraId="43898838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měsíční vyhodnocení vývoje spotřeby tepla (plynu) a porovnání s očekávanou spotřebou;</w:t>
      </w:r>
    </w:p>
    <w:p w14:paraId="0E3B95ED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měsíční vyhodnocení odchylek od očekávaných spotřeb a s tím související identifikace nadměrných spotřeb vyvolaných nehospodárným využitím energie nebo poruchou systému regulace nebo jiného zařízení majícího vliv na spotřebu energie;</w:t>
      </w:r>
    </w:p>
    <w:p w14:paraId="1EF366D0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identifikace důvodů vedoucích ke spotřebám vyšším než očekávaná případně průměrná úroveň spotřeby;</w:t>
      </w:r>
    </w:p>
    <w:p w14:paraId="7ABBF880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spolupráce s oprávněnými osobami dle Přílohy č. 8 na odstranění důvodů vedoucích ke spotřebám vyšším než očekávaná, případně průměrná úroveň spotřeby, tj. optimalizace hospodaření s tepelnou energií a plynem;</w:t>
      </w:r>
    </w:p>
    <w:p w14:paraId="18393685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spolupráce s oprávněnými osobami dle Přílohy č. 8 na optimalizaci nastavení systému vytápění s ohledem na aktuální potřeby jednotlivých areálů a objektů;</w:t>
      </w:r>
    </w:p>
    <w:p w14:paraId="65ED5512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kontrola správné funkčnosti instalovaných opatření v případě odchylek ve sledovaných spotřebách;</w:t>
      </w:r>
    </w:p>
    <w:p w14:paraId="5CE57BB0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vyhledávání dalšího potenciálu pro snížení energetické náročnosti areálů.</w:t>
      </w:r>
    </w:p>
    <w:p w14:paraId="6AC6FB35" w14:textId="77777777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optimalizace odběrových sazeb či tarifů</w:t>
      </w:r>
    </w:p>
    <w:p w14:paraId="6EA00C26" w14:textId="1B01C165" w:rsidR="00C260BB" w:rsidRPr="007548CB" w:rsidRDefault="00C260BB">
      <w:pPr>
        <w:pStyle w:val="Odstavecseseznamem"/>
        <w:numPr>
          <w:ilvl w:val="0"/>
          <w:numId w:val="82"/>
        </w:numPr>
        <w:spacing w:before="80" w:line="276" w:lineRule="auto"/>
        <w:ind w:left="567" w:hanging="283"/>
        <w:contextualSpacing w:val="0"/>
        <w:rPr>
          <w:rFonts w:ascii="Arial" w:hAnsi="Arial" w:cs="Arial"/>
        </w:rPr>
      </w:pPr>
      <w:r w:rsidRPr="007548CB">
        <w:rPr>
          <w:rFonts w:ascii="Arial" w:hAnsi="Arial" w:cs="Arial"/>
        </w:rPr>
        <w:t>součástí energetického managementu bude i sledování a porovnávání fakturovaných spotřeb a nákladů za elektrickou energii. Pokud faktury za elektrickou energii nebudou vystavovány měsíčně, bude nezbytné v případě měsíčního sledování poskytnout kromě faktur i náměry fakturačních elektroměrů vždy koncem (začátkem) měsíce.</w:t>
      </w:r>
    </w:p>
    <w:p w14:paraId="0CFEFD3A" w14:textId="6DF6E1B1" w:rsidR="00C260BB" w:rsidRPr="00DB7867" w:rsidRDefault="00C260BB" w:rsidP="00C260BB">
      <w:pPr>
        <w:widowControl w:val="0"/>
      </w:pPr>
      <w:r w:rsidRPr="00DB7867">
        <w:t xml:space="preserve">K požadavkům na energetický management patří průběžné sledování a vyhodnocování spotřeby elektřiny a připojovacích podmínek a v případě vhodnosti účastník doporučuje Klientovi také změnu připojovacích podmínek k distribuční soustavě pro optimalizaci velikosti regulovaných poplatků spojených s odběrem elektřiny a zemního plynu. </w:t>
      </w:r>
    </w:p>
    <w:p w14:paraId="030169E2" w14:textId="77777777" w:rsidR="00C260BB" w:rsidRPr="007439C7" w:rsidRDefault="00C260BB" w:rsidP="00C260BB">
      <w:pPr>
        <w:rPr>
          <w:b/>
        </w:rPr>
      </w:pPr>
      <w:r w:rsidRPr="007439C7">
        <w:rPr>
          <w:b/>
        </w:rPr>
        <w:t>Standardní provozní podmínky</w:t>
      </w:r>
    </w:p>
    <w:p w14:paraId="216526C1" w14:textId="3027AED6" w:rsidR="00C260BB" w:rsidRDefault="000C4721" w:rsidP="000C4721">
      <w:pPr>
        <w:spacing w:before="240" w:line="264" w:lineRule="auto"/>
        <w:rPr>
          <w:rFonts w:cs="Arial"/>
        </w:rPr>
      </w:pPr>
      <w:r w:rsidRPr="000C4721">
        <w:rPr>
          <w:rFonts w:cs="Arial"/>
        </w:rPr>
        <w:t>Systémy vytápění a systémy IRC budou nastaveny tak, aby byla v jednotlivých typech místností dodržována pravidla pro vytápění dle Vyhlášky č. 194/2007 Sb. přílohy č. 1. V mimoprovozních hodinách budou realizovány teplotní útlumy (snížení vnitřní teploty o 3</w:t>
      </w:r>
      <w:r>
        <w:rPr>
          <w:rFonts w:cs="Arial"/>
        </w:rPr>
        <w:t xml:space="preserve"> </w:t>
      </w:r>
      <w:r w:rsidRPr="000C4721">
        <w:rPr>
          <w:rFonts w:cs="Arial"/>
        </w:rPr>
        <w:t>až 5</w:t>
      </w:r>
      <w:r>
        <w:rPr>
          <w:rFonts w:cs="Arial"/>
        </w:rPr>
        <w:t xml:space="preserve"> </w:t>
      </w:r>
      <w:r w:rsidRPr="000C4721">
        <w:rPr>
          <w:rFonts w:cs="Arial"/>
        </w:rPr>
        <w:t xml:space="preserve">°C). </w:t>
      </w:r>
    </w:p>
    <w:p w14:paraId="153EC562" w14:textId="77777777" w:rsidR="00D75263" w:rsidRDefault="00D75263" w:rsidP="000C4721">
      <w:pPr>
        <w:spacing w:before="240" w:line="264" w:lineRule="auto"/>
        <w:rPr>
          <w:rFonts w:cs="Arial"/>
        </w:rPr>
      </w:pPr>
    </w:p>
    <w:p w14:paraId="04E47B26" w14:textId="77777777" w:rsidR="00D75263" w:rsidRDefault="00D75263" w:rsidP="000C4721">
      <w:pPr>
        <w:spacing w:before="240" w:line="264" w:lineRule="auto"/>
        <w:rPr>
          <w:rFonts w:cs="Arial"/>
        </w:rPr>
      </w:pPr>
    </w:p>
    <w:p w14:paraId="6332CC0D" w14:textId="731BD484" w:rsidR="000C4721" w:rsidRPr="00B93DC5" w:rsidRDefault="000C4721" w:rsidP="000C4721">
      <w:pPr>
        <w:spacing w:before="240" w:line="276" w:lineRule="auto"/>
      </w:pPr>
      <w:r w:rsidRPr="00B93DC5">
        <w:lastRenderedPageBreak/>
        <w:t>Tab.7</w:t>
      </w:r>
      <w:r w:rsidR="007333AB">
        <w:t>-</w:t>
      </w:r>
      <w:r w:rsidRPr="00B93DC5">
        <w:t>1 Výchozí nastavení teplot v místnostech</w:t>
      </w:r>
    </w:p>
    <w:p w14:paraId="2ECAF227" w14:textId="77777777" w:rsidR="000C4721" w:rsidRDefault="000C4721" w:rsidP="000C4721">
      <w:pPr>
        <w:spacing w:before="0" w:line="276" w:lineRule="auto"/>
        <w:jc w:val="center"/>
        <w:rPr>
          <w:rFonts w:cs="Arial"/>
        </w:rPr>
      </w:pPr>
      <w:r w:rsidRPr="006B6BE8">
        <w:rPr>
          <w:noProof/>
        </w:rPr>
        <w:drawing>
          <wp:inline distT="0" distB="0" distL="0" distR="0" wp14:anchorId="5AAC605E" wp14:editId="21F9CB7E">
            <wp:extent cx="5857875" cy="6896100"/>
            <wp:effectExtent l="0" t="0" r="9525" b="0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89D6E" w14:textId="7E7B830F" w:rsidR="000C4721" w:rsidRDefault="000C4721" w:rsidP="000C4721">
      <w:pPr>
        <w:spacing w:before="0" w:line="276" w:lineRule="auto"/>
        <w:jc w:val="center"/>
        <w:rPr>
          <w:rFonts w:cs="Arial"/>
        </w:rPr>
      </w:pPr>
      <w:r w:rsidRPr="006B6BE8">
        <w:rPr>
          <w:noProof/>
        </w:rPr>
        <w:lastRenderedPageBreak/>
        <w:drawing>
          <wp:inline distT="0" distB="0" distL="0" distR="0" wp14:anchorId="07007658" wp14:editId="37C8D214">
            <wp:extent cx="5857875" cy="3181350"/>
            <wp:effectExtent l="0" t="0" r="9525" b="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C67F1" w14:textId="0AF6910F" w:rsidR="000C4721" w:rsidRPr="006B6BE8" w:rsidRDefault="000C4721" w:rsidP="000C4721">
      <w:pPr>
        <w:spacing w:before="240" w:line="276" w:lineRule="auto"/>
        <w:rPr>
          <w:rFonts w:cs="Arial"/>
        </w:rPr>
      </w:pPr>
      <w:r w:rsidRPr="00DC72E1">
        <w:rPr>
          <w:rFonts w:cs="Arial"/>
        </w:rPr>
        <w:t xml:space="preserve">Nastavení útlumových režimů pro jednotlivé místnosti provede ESCO po konzultaci s provozním personálem jednotlivých </w:t>
      </w:r>
      <w:r>
        <w:rPr>
          <w:rFonts w:cs="Arial"/>
        </w:rPr>
        <w:t>objektů</w:t>
      </w:r>
      <w:r w:rsidRPr="00DC72E1">
        <w:rPr>
          <w:rFonts w:cs="Arial"/>
        </w:rPr>
        <w:t>.</w:t>
      </w:r>
      <w:r>
        <w:rPr>
          <w:rFonts w:cs="Arial"/>
        </w:rPr>
        <w:t xml:space="preserve"> </w:t>
      </w:r>
      <w:r w:rsidRPr="00691D52">
        <w:rPr>
          <w:rFonts w:cs="Arial"/>
        </w:rPr>
        <w:t>Mimoprovozní útlumové režimy budou průběžně aktualizovány na základě aktuálního využití objektů.</w:t>
      </w:r>
      <w:r>
        <w:rPr>
          <w:b/>
          <w:bCs/>
          <w:szCs w:val="36"/>
        </w:rPr>
        <w:br w:type="page"/>
      </w:r>
    </w:p>
    <w:p w14:paraId="4EDC4D54" w14:textId="77777777" w:rsidR="00F86BA1" w:rsidRDefault="00F86BA1" w:rsidP="00F86BA1">
      <w:pPr>
        <w:pStyle w:val="Nadpis1"/>
      </w:pPr>
      <w:bookmarkStart w:id="25" w:name="_Toc129194059"/>
      <w:r>
        <w:lastRenderedPageBreak/>
        <w:t>Příloha č. 8: Oprávněné osoby</w:t>
      </w:r>
      <w:bookmarkEnd w:id="25"/>
    </w:p>
    <w:p w14:paraId="30164939" w14:textId="77777777" w:rsidR="00111123" w:rsidRPr="00B93DC5" w:rsidRDefault="00111123" w:rsidP="00111123">
      <w:pPr>
        <w:rPr>
          <w:rFonts w:cs="Arial"/>
        </w:rPr>
      </w:pPr>
      <w:r w:rsidRPr="00B93DC5">
        <w:rPr>
          <w:rFonts w:cs="Arial"/>
        </w:rPr>
        <w:t>Oprávněnými osobami jsou:</w:t>
      </w:r>
    </w:p>
    <w:p w14:paraId="6203DD42" w14:textId="77777777" w:rsidR="00111123" w:rsidRPr="003121D1" w:rsidRDefault="00111123" w:rsidP="00111123">
      <w:pPr>
        <w:spacing w:before="360"/>
        <w:rPr>
          <w:rFonts w:cs="Arial"/>
          <w:b/>
          <w:bCs/>
        </w:rPr>
      </w:pPr>
      <w:r w:rsidRPr="003121D1">
        <w:rPr>
          <w:rFonts w:cs="Arial"/>
          <w:b/>
          <w:bCs/>
        </w:rPr>
        <w:t>za Klienta:</w:t>
      </w:r>
    </w:p>
    <w:p w14:paraId="494C06BE" w14:textId="77777777" w:rsidR="00111123" w:rsidRPr="004371C6" w:rsidRDefault="00111123" w:rsidP="00111123">
      <w:pPr>
        <w:rPr>
          <w:rFonts w:cs="Arial"/>
        </w:rPr>
      </w:pPr>
      <w:r w:rsidRPr="004371C6">
        <w:rPr>
          <w:rFonts w:cs="Arial"/>
        </w:rPr>
        <w:t>Oprávněné osoby v obchodních a smluvních záležitostech:</w:t>
      </w:r>
    </w:p>
    <w:p w14:paraId="04AB71BB" w14:textId="7C6F9434" w:rsidR="00111123" w:rsidRDefault="00BA3816" w:rsidP="00111123">
      <w:pPr>
        <w:ind w:left="567"/>
        <w:rPr>
          <w:rFonts w:cs="Arial"/>
        </w:rPr>
      </w:pPr>
      <w:r>
        <w:rPr>
          <w:rFonts w:cs="Arial"/>
        </w:rPr>
        <w:t>XXX</w:t>
      </w:r>
    </w:p>
    <w:p w14:paraId="4036CA15" w14:textId="17389BE5" w:rsidR="00111123" w:rsidRPr="004371C6" w:rsidRDefault="008B0C22" w:rsidP="00111123">
      <w:pPr>
        <w:ind w:left="567"/>
        <w:rPr>
          <w:rFonts w:cs="Arial"/>
        </w:rPr>
      </w:pPr>
      <w:r>
        <w:rPr>
          <w:rFonts w:cs="Arial"/>
        </w:rPr>
        <w:t xml:space="preserve">T: </w:t>
      </w:r>
      <w:r w:rsidR="00BA3816">
        <w:rPr>
          <w:rFonts w:cs="Arial"/>
        </w:rPr>
        <w:t>XXX</w:t>
      </w:r>
      <w:r>
        <w:rPr>
          <w:rFonts w:cs="Arial"/>
        </w:rPr>
        <w:t xml:space="preserve">, E: </w:t>
      </w:r>
      <w:r w:rsidR="00BA3816">
        <w:rPr>
          <w:rFonts w:cs="Arial"/>
        </w:rPr>
        <w:t>XXX</w:t>
      </w:r>
    </w:p>
    <w:p w14:paraId="10F3557C" w14:textId="77777777" w:rsidR="00111123" w:rsidRPr="004371C6" w:rsidRDefault="00111123" w:rsidP="00111123">
      <w:pPr>
        <w:spacing w:before="240"/>
        <w:rPr>
          <w:rFonts w:cs="Arial"/>
        </w:rPr>
      </w:pPr>
      <w:r w:rsidRPr="004371C6">
        <w:rPr>
          <w:rFonts w:cs="Arial"/>
        </w:rPr>
        <w:t>Oprávněné osoby v technických a provozních záležitostech:</w:t>
      </w:r>
    </w:p>
    <w:p w14:paraId="74A3DCFF" w14:textId="182371C6" w:rsidR="008B0C22" w:rsidRDefault="00BA3816" w:rsidP="008B0C22">
      <w:pPr>
        <w:ind w:left="567"/>
        <w:rPr>
          <w:rFonts w:cs="Arial"/>
        </w:rPr>
      </w:pPr>
      <w:r>
        <w:rPr>
          <w:rFonts w:cs="Arial"/>
        </w:rPr>
        <w:t>XXX</w:t>
      </w:r>
    </w:p>
    <w:p w14:paraId="4D62217D" w14:textId="3A1F6818" w:rsidR="008B0C22" w:rsidRPr="004371C6" w:rsidRDefault="008B0C22" w:rsidP="008B0C22">
      <w:pPr>
        <w:ind w:left="567"/>
        <w:rPr>
          <w:rFonts w:cs="Arial"/>
        </w:rPr>
      </w:pPr>
      <w:r>
        <w:rPr>
          <w:rFonts w:cs="Arial"/>
        </w:rPr>
        <w:t xml:space="preserve">T: </w:t>
      </w:r>
      <w:r w:rsidR="00BA3816">
        <w:rPr>
          <w:rFonts w:cs="Arial"/>
        </w:rPr>
        <w:t>XXX</w:t>
      </w:r>
      <w:r>
        <w:rPr>
          <w:rFonts w:cs="Arial"/>
        </w:rPr>
        <w:t xml:space="preserve">, E: </w:t>
      </w:r>
      <w:r w:rsidR="00BA3816">
        <w:rPr>
          <w:rFonts w:cs="Arial"/>
        </w:rPr>
        <w:t>XXX</w:t>
      </w:r>
    </w:p>
    <w:p w14:paraId="3549C281" w14:textId="77777777" w:rsidR="00111123" w:rsidRPr="00672D3A" w:rsidRDefault="00111123" w:rsidP="00111123">
      <w:pPr>
        <w:spacing w:before="240"/>
        <w:rPr>
          <w:rFonts w:cs="Arial"/>
        </w:rPr>
      </w:pPr>
      <w:r w:rsidRPr="00672D3A">
        <w:rPr>
          <w:rFonts w:cs="Arial"/>
        </w:rPr>
        <w:t>Oprávněné osoby ve fakturačních věcech:</w:t>
      </w:r>
    </w:p>
    <w:p w14:paraId="3E611366" w14:textId="6F38C01D" w:rsidR="008B0C22" w:rsidRDefault="00BA3816" w:rsidP="008B0C22">
      <w:pPr>
        <w:ind w:left="567"/>
        <w:rPr>
          <w:rFonts w:cs="Arial"/>
        </w:rPr>
      </w:pPr>
      <w:r>
        <w:rPr>
          <w:rFonts w:cs="Arial"/>
        </w:rPr>
        <w:t>XXX</w:t>
      </w:r>
    </w:p>
    <w:p w14:paraId="2D321030" w14:textId="53987B6A" w:rsidR="008B0C22" w:rsidRPr="004371C6" w:rsidRDefault="008B0C22" w:rsidP="008B0C22">
      <w:pPr>
        <w:ind w:left="567"/>
        <w:rPr>
          <w:rFonts w:cs="Arial"/>
        </w:rPr>
      </w:pPr>
      <w:r>
        <w:rPr>
          <w:rFonts w:cs="Arial"/>
        </w:rPr>
        <w:t xml:space="preserve">T: </w:t>
      </w:r>
      <w:r w:rsidR="00BA3816">
        <w:rPr>
          <w:rFonts w:cs="Arial"/>
        </w:rPr>
        <w:t>XXX</w:t>
      </w:r>
      <w:r>
        <w:rPr>
          <w:rFonts w:cs="Arial"/>
        </w:rPr>
        <w:t xml:space="preserve">, E: </w:t>
      </w:r>
      <w:r w:rsidR="00BA3816">
        <w:rPr>
          <w:rFonts w:cs="Arial"/>
        </w:rPr>
        <w:t>XXX</w:t>
      </w:r>
    </w:p>
    <w:p w14:paraId="6928F440" w14:textId="77777777" w:rsidR="00111123" w:rsidRDefault="00111123" w:rsidP="00111123">
      <w:pPr>
        <w:spacing w:before="240"/>
        <w:rPr>
          <w:rFonts w:cs="Arial"/>
          <w:b/>
          <w:bCs/>
        </w:rPr>
      </w:pPr>
    </w:p>
    <w:p w14:paraId="632F208D" w14:textId="77777777" w:rsidR="00111123" w:rsidRPr="006F43EC" w:rsidRDefault="00111123" w:rsidP="00111123">
      <w:pPr>
        <w:spacing w:before="240"/>
        <w:rPr>
          <w:rFonts w:cs="Arial"/>
          <w:b/>
          <w:bCs/>
        </w:rPr>
      </w:pPr>
      <w:r w:rsidRPr="006F43EC">
        <w:rPr>
          <w:rFonts w:cs="Arial"/>
          <w:b/>
          <w:bCs/>
        </w:rPr>
        <w:t>za ESCO:</w:t>
      </w:r>
    </w:p>
    <w:p w14:paraId="2200B13E" w14:textId="77777777" w:rsidR="00111123" w:rsidRPr="004371C6" w:rsidRDefault="00111123" w:rsidP="00111123">
      <w:pPr>
        <w:rPr>
          <w:rFonts w:cs="Arial"/>
        </w:rPr>
      </w:pPr>
      <w:r w:rsidRPr="004371C6">
        <w:rPr>
          <w:rFonts w:cs="Arial"/>
        </w:rPr>
        <w:t>Oprávněné osoby v obchodních a smluvních záležitostech:</w:t>
      </w:r>
    </w:p>
    <w:p w14:paraId="0F9C6035" w14:textId="27AF2EC2" w:rsidR="00111123" w:rsidRDefault="00BA3816" w:rsidP="00111123">
      <w:pPr>
        <w:ind w:left="567"/>
        <w:rPr>
          <w:rStyle w:val="Hypertextovodkaz"/>
          <w:rFonts w:eastAsiaTheme="majorEastAsia"/>
        </w:rPr>
      </w:pPr>
      <w:r>
        <w:rPr>
          <w:rFonts w:cs="Arial"/>
        </w:rPr>
        <w:t>XXX</w:t>
      </w:r>
      <w:r w:rsidR="00111123" w:rsidRPr="004371C6">
        <w:rPr>
          <w:rFonts w:cs="Arial"/>
        </w:rPr>
        <w:t xml:space="preserve">, M: </w:t>
      </w:r>
      <w:r>
        <w:rPr>
          <w:rFonts w:cs="Arial"/>
        </w:rPr>
        <w:t>XXX</w:t>
      </w:r>
      <w:r w:rsidR="00111123" w:rsidRPr="004371C6">
        <w:rPr>
          <w:rFonts w:cs="Arial"/>
        </w:rPr>
        <w:t xml:space="preserve">, E: </w:t>
      </w:r>
      <w:r>
        <w:rPr>
          <w:rFonts w:eastAsiaTheme="majorEastAsia"/>
        </w:rPr>
        <w:t>XXX</w:t>
      </w:r>
    </w:p>
    <w:p w14:paraId="7D238C12" w14:textId="77777777" w:rsidR="00111123" w:rsidRPr="004371C6" w:rsidRDefault="00111123" w:rsidP="00111123">
      <w:pPr>
        <w:spacing w:before="240"/>
        <w:rPr>
          <w:rFonts w:cs="Arial"/>
        </w:rPr>
      </w:pPr>
      <w:r w:rsidRPr="004371C6">
        <w:rPr>
          <w:rFonts w:cs="Arial"/>
        </w:rPr>
        <w:t>Oprávněné osoby v technických a provozních záležitostech:</w:t>
      </w:r>
    </w:p>
    <w:p w14:paraId="57C17EEE" w14:textId="7DE55A1F" w:rsidR="00111123" w:rsidRPr="004371C6" w:rsidRDefault="00BA3816" w:rsidP="00111123">
      <w:pPr>
        <w:ind w:left="567"/>
        <w:rPr>
          <w:rFonts w:cs="Arial"/>
        </w:rPr>
      </w:pPr>
      <w:r>
        <w:rPr>
          <w:rFonts w:cs="Arial"/>
        </w:rPr>
        <w:t>XXX</w:t>
      </w:r>
      <w:r w:rsidR="00D75263" w:rsidRPr="00D75263">
        <w:rPr>
          <w:rFonts w:cs="Arial"/>
        </w:rPr>
        <w:t xml:space="preserve">, M: </w:t>
      </w:r>
      <w:r>
        <w:rPr>
          <w:rFonts w:cs="Arial"/>
        </w:rPr>
        <w:t>XXX</w:t>
      </w:r>
      <w:r w:rsidR="00D75263" w:rsidRPr="00D75263">
        <w:rPr>
          <w:rFonts w:cs="Arial"/>
        </w:rPr>
        <w:t xml:space="preserve">, E: </w:t>
      </w:r>
      <w:r>
        <w:rPr>
          <w:rFonts w:cs="Arial"/>
        </w:rPr>
        <w:t>XXX</w:t>
      </w:r>
    </w:p>
    <w:p w14:paraId="74E89F1F" w14:textId="77777777" w:rsidR="00111123" w:rsidRPr="0051447C" w:rsidRDefault="00111123" w:rsidP="00111123">
      <w:pPr>
        <w:spacing w:before="240"/>
        <w:rPr>
          <w:rFonts w:cs="Arial"/>
        </w:rPr>
      </w:pPr>
      <w:r w:rsidRPr="0051447C">
        <w:rPr>
          <w:rFonts w:cs="Arial"/>
        </w:rPr>
        <w:t>Oprávněné osoby ve fakturačních věcech:</w:t>
      </w:r>
    </w:p>
    <w:p w14:paraId="1B2D5A88" w14:textId="5656DF65" w:rsidR="00111123" w:rsidRPr="0051447C" w:rsidRDefault="00BA3816" w:rsidP="00111123">
      <w:pPr>
        <w:ind w:left="567"/>
        <w:rPr>
          <w:rFonts w:cs="Arial"/>
        </w:rPr>
      </w:pPr>
      <w:r>
        <w:rPr>
          <w:rFonts w:cs="Arial"/>
        </w:rPr>
        <w:t>XXX</w:t>
      </w:r>
      <w:r w:rsidR="00111123" w:rsidRPr="0051447C">
        <w:rPr>
          <w:rFonts w:cs="Arial"/>
        </w:rPr>
        <w:t>, M:</w:t>
      </w:r>
      <w:r w:rsidR="00111123" w:rsidRPr="0051447C">
        <w:t xml:space="preserve"> </w:t>
      </w:r>
      <w:r>
        <w:rPr>
          <w:rFonts w:cs="Arial"/>
        </w:rPr>
        <w:t>XXX</w:t>
      </w:r>
      <w:r w:rsidR="00111123" w:rsidRPr="0051447C">
        <w:rPr>
          <w:rFonts w:cs="Arial"/>
        </w:rPr>
        <w:t xml:space="preserve">, E: </w:t>
      </w:r>
      <w:r>
        <w:rPr>
          <w:rFonts w:cs="Arial"/>
        </w:rPr>
        <w:t>XXX</w:t>
      </w:r>
    </w:p>
    <w:p w14:paraId="35F6C708" w14:textId="77777777" w:rsidR="00111123" w:rsidRPr="004371C6" w:rsidRDefault="00111123" w:rsidP="00111123">
      <w:pPr>
        <w:spacing w:before="240"/>
        <w:rPr>
          <w:rFonts w:cs="Arial"/>
        </w:rPr>
      </w:pPr>
      <w:r w:rsidRPr="004371C6">
        <w:rPr>
          <w:rFonts w:cs="Arial"/>
        </w:rPr>
        <w:t>e-mailová adresa pro zasílání údajů uvedených v Příloze č.</w:t>
      </w:r>
      <w:r>
        <w:rPr>
          <w:rFonts w:cs="Arial"/>
        </w:rPr>
        <w:t>7</w:t>
      </w:r>
      <w:r w:rsidRPr="004371C6">
        <w:rPr>
          <w:rFonts w:cs="Arial"/>
        </w:rPr>
        <w:t>:</w:t>
      </w:r>
    </w:p>
    <w:p w14:paraId="573E5D83" w14:textId="098F1958" w:rsidR="00111123" w:rsidRPr="004371C6" w:rsidRDefault="00BA3816" w:rsidP="00111123">
      <w:pPr>
        <w:ind w:left="567"/>
        <w:rPr>
          <w:rFonts w:cs="Arial"/>
        </w:rPr>
      </w:pPr>
      <w:r>
        <w:rPr>
          <w:rFonts w:eastAsiaTheme="majorEastAsia" w:cs="Arial"/>
        </w:rPr>
        <w:t>XXX</w:t>
      </w:r>
    </w:p>
    <w:p w14:paraId="0E96621B" w14:textId="77777777" w:rsidR="00111123" w:rsidRPr="004371C6" w:rsidRDefault="00111123" w:rsidP="00111123">
      <w:pPr>
        <w:rPr>
          <w:rFonts w:cs="Arial"/>
        </w:rPr>
      </w:pPr>
      <w:r w:rsidRPr="004371C6">
        <w:rPr>
          <w:rFonts w:cs="Arial"/>
        </w:rPr>
        <w:t>kontakt na dispečink:</w:t>
      </w:r>
    </w:p>
    <w:p w14:paraId="3A3E4E6C" w14:textId="14529BEF" w:rsidR="00111123" w:rsidRDefault="00BA3816" w:rsidP="00111123">
      <w:pPr>
        <w:ind w:left="567"/>
        <w:rPr>
          <w:rFonts w:cs="Arial"/>
        </w:rPr>
      </w:pPr>
      <w:r>
        <w:rPr>
          <w:rFonts w:eastAsiaTheme="majorEastAsia" w:cs="Arial"/>
        </w:rPr>
        <w:t>XXX</w:t>
      </w:r>
      <w:r w:rsidR="00111123" w:rsidRPr="00D75263">
        <w:rPr>
          <w:rFonts w:eastAsiaTheme="majorEastAsia" w:cs="Arial"/>
        </w:rPr>
        <w:t>,</w:t>
      </w:r>
      <w:r w:rsidR="00111123" w:rsidRPr="004371C6">
        <w:rPr>
          <w:rFonts w:cs="Arial"/>
        </w:rPr>
        <w:t xml:space="preserve"> </w:t>
      </w:r>
      <w:r w:rsidR="00111123">
        <w:rPr>
          <w:rFonts w:cs="Arial"/>
        </w:rPr>
        <w:t>T</w:t>
      </w:r>
      <w:r w:rsidR="00111123" w:rsidRPr="004371C6">
        <w:rPr>
          <w:rFonts w:cs="Arial"/>
        </w:rPr>
        <w:t xml:space="preserve">: </w:t>
      </w:r>
      <w:r>
        <w:rPr>
          <w:rFonts w:cs="Arial"/>
        </w:rPr>
        <w:t>XXX</w:t>
      </w:r>
    </w:p>
    <w:p w14:paraId="035349F3" w14:textId="77777777" w:rsidR="00111123" w:rsidRDefault="00111123" w:rsidP="00111123">
      <w:pPr>
        <w:ind w:left="567"/>
        <w:rPr>
          <w:rFonts w:cs="Arial"/>
        </w:rPr>
      </w:pPr>
    </w:p>
    <w:p w14:paraId="08FE85CD" w14:textId="77777777" w:rsidR="00F86BA1" w:rsidRDefault="00F86BA1" w:rsidP="00F86BA1">
      <w:pPr>
        <w:pStyle w:val="Nadpis1"/>
      </w:pPr>
      <w:bookmarkStart w:id="26" w:name="_Toc129194060"/>
      <w:r>
        <w:lastRenderedPageBreak/>
        <w:t>Příloha č. 9: Seznam poddodavatelů</w:t>
      </w:r>
      <w:bookmarkEnd w:id="26"/>
    </w:p>
    <w:p w14:paraId="034A33E6" w14:textId="7C857A56" w:rsidR="0061123E" w:rsidRPr="0061123E" w:rsidRDefault="0061123E" w:rsidP="0061123E">
      <w:pPr>
        <w:rPr>
          <w:b/>
          <w:bCs/>
        </w:rPr>
      </w:pPr>
      <w:r w:rsidRPr="0061123E">
        <w:rPr>
          <w:b/>
          <w:bCs/>
        </w:rPr>
        <w:t>Rekonstrukce osvětlení</w:t>
      </w:r>
    </w:p>
    <w:p w14:paraId="31B835F9" w14:textId="2A7AC8F8" w:rsidR="00997884" w:rsidRDefault="0061123E" w:rsidP="0061123E">
      <w:pPr>
        <w:spacing w:before="0"/>
        <w:jc w:val="left"/>
        <w:rPr>
          <w:lang w:eastAsia="cs-CZ"/>
        </w:rPr>
      </w:pPr>
      <w:r w:rsidRPr="0061123E">
        <w:rPr>
          <w:lang w:eastAsia="cs-CZ"/>
        </w:rPr>
        <w:t>LUMBIO s.r.o., IČ 27483479</w:t>
      </w:r>
    </w:p>
    <w:p w14:paraId="17E841AA" w14:textId="02FB5CEA" w:rsidR="00B9663C" w:rsidRDefault="0061123E" w:rsidP="0061123E">
      <w:pPr>
        <w:spacing w:before="0"/>
        <w:jc w:val="left"/>
        <w:rPr>
          <w:lang w:eastAsia="cs-CZ"/>
        </w:rPr>
      </w:pPr>
      <w:r w:rsidRPr="0061123E">
        <w:rPr>
          <w:lang w:eastAsia="cs-CZ"/>
        </w:rPr>
        <w:t>HORMEN CE a.s., IČ 27154742</w:t>
      </w:r>
      <w:r>
        <w:rPr>
          <w:lang w:eastAsia="cs-CZ"/>
        </w:rPr>
        <w:t xml:space="preserve"> </w:t>
      </w:r>
    </w:p>
    <w:p w14:paraId="3F3F0AFE" w14:textId="514018C3" w:rsidR="0061123E" w:rsidRPr="0061123E" w:rsidRDefault="0061123E" w:rsidP="0061123E">
      <w:pPr>
        <w:rPr>
          <w:b/>
          <w:bCs/>
        </w:rPr>
      </w:pPr>
      <w:r>
        <w:rPr>
          <w:b/>
          <w:bCs/>
        </w:rPr>
        <w:t>Instalace FVE</w:t>
      </w:r>
    </w:p>
    <w:p w14:paraId="72133692" w14:textId="6621670A" w:rsidR="00997884" w:rsidRDefault="0061123E" w:rsidP="0061123E">
      <w:pPr>
        <w:spacing w:before="0"/>
        <w:jc w:val="left"/>
        <w:rPr>
          <w:lang w:eastAsia="cs-CZ"/>
        </w:rPr>
      </w:pPr>
      <w:r w:rsidRPr="0061123E">
        <w:rPr>
          <w:lang w:eastAsia="cs-CZ"/>
        </w:rPr>
        <w:t>smart maintenance s.r.o., IČ 06904149</w:t>
      </w:r>
    </w:p>
    <w:p w14:paraId="55F1E023" w14:textId="5751A426" w:rsidR="0061123E" w:rsidRDefault="0061123E" w:rsidP="0061123E">
      <w:pPr>
        <w:spacing w:before="0"/>
        <w:jc w:val="left"/>
        <w:rPr>
          <w:lang w:eastAsia="cs-CZ"/>
        </w:rPr>
      </w:pPr>
      <w:r w:rsidRPr="0061123E">
        <w:rPr>
          <w:lang w:eastAsia="cs-CZ"/>
        </w:rPr>
        <w:t>GREEN ENERGY CAPITAL, a.s., IČ 14043505</w:t>
      </w:r>
    </w:p>
    <w:p w14:paraId="3748694C" w14:textId="1BF23CAC" w:rsidR="0061123E" w:rsidRPr="0061123E" w:rsidRDefault="0061123E" w:rsidP="0061123E">
      <w:pPr>
        <w:rPr>
          <w:b/>
          <w:bCs/>
        </w:rPr>
      </w:pPr>
      <w:r>
        <w:rPr>
          <w:b/>
          <w:bCs/>
        </w:rPr>
        <w:t>Systém IRC</w:t>
      </w:r>
    </w:p>
    <w:p w14:paraId="6FFC540F" w14:textId="06F86441" w:rsidR="0061123E" w:rsidRDefault="0061123E" w:rsidP="0061123E">
      <w:pPr>
        <w:spacing w:before="0"/>
        <w:jc w:val="left"/>
        <w:rPr>
          <w:lang w:eastAsia="cs-CZ"/>
        </w:rPr>
      </w:pPr>
      <w:r w:rsidRPr="0061123E">
        <w:rPr>
          <w:lang w:eastAsia="cs-CZ"/>
        </w:rPr>
        <w:t>Domat Control System s.r.o., IČ 27189465</w:t>
      </w:r>
    </w:p>
    <w:p w14:paraId="51853831" w14:textId="523853C0" w:rsidR="002107C4" w:rsidRDefault="002107C4" w:rsidP="0061123E">
      <w:pPr>
        <w:spacing w:before="0"/>
        <w:jc w:val="left"/>
        <w:rPr>
          <w:lang w:eastAsia="cs-CZ"/>
        </w:rPr>
      </w:pPr>
      <w:r>
        <w:rPr>
          <w:lang w:eastAsia="cs-CZ"/>
        </w:rPr>
        <w:br w:type="page"/>
      </w:r>
    </w:p>
    <w:p w14:paraId="38FD2500" w14:textId="77777777" w:rsidR="0057262A" w:rsidRPr="00C926D0" w:rsidRDefault="0057262A" w:rsidP="00C926D0">
      <w:pPr>
        <w:pStyle w:val="Nadpis1"/>
      </w:pPr>
      <w:bookmarkStart w:id="27" w:name="_Toc129194061"/>
      <w:r w:rsidRPr="00C926D0">
        <w:lastRenderedPageBreak/>
        <w:t>Příloha č. 10: Inflační doložka pro úpravu ceny základních opatření</w:t>
      </w:r>
      <w:bookmarkEnd w:id="27"/>
      <w:r w:rsidRPr="00C926D0">
        <w:t xml:space="preserve"> </w:t>
      </w:r>
    </w:p>
    <w:p w14:paraId="6281478A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>Cena základních opatření bude na základě samostatného vyúčtování ESCO upravena z důvodu zvýšení nebo snížení cen materiálních, personálních či jiných vstupů potřebných pro provedení základních opatření (dále jen „</w:t>
      </w:r>
      <w:r w:rsidRPr="001027F8">
        <w:rPr>
          <w:rFonts w:asciiTheme="minorHAnsi" w:hAnsiTheme="minorHAnsi" w:cstheme="minorHAnsi"/>
          <w:b/>
          <w:bCs/>
          <w:sz w:val="20"/>
          <w:szCs w:val="20"/>
        </w:rPr>
        <w:t>změna cen nákladů</w:t>
      </w:r>
      <w:r w:rsidRPr="001027F8">
        <w:rPr>
          <w:rFonts w:asciiTheme="minorHAnsi" w:hAnsiTheme="minorHAnsi" w:cstheme="minorHAnsi"/>
          <w:sz w:val="20"/>
          <w:szCs w:val="20"/>
        </w:rPr>
        <w:t xml:space="preserve">“) tak, že se přičtou nebo odečtou částky určené vzorcem stanoveným níže. </w:t>
      </w:r>
    </w:p>
    <w:p w14:paraId="14A27178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</w:pPr>
      <w:r w:rsidRPr="001027F8">
        <w:rPr>
          <w:rFonts w:asciiTheme="minorHAnsi" w:hAnsiTheme="minorHAnsi" w:cstheme="minorHAnsi"/>
          <w:sz w:val="20"/>
          <w:szCs w:val="20"/>
        </w:rPr>
        <w:t xml:space="preserve">Tato úprava ceny základních opatření se použije na všechny položky a práce provedené ze strany ESCO při provádění základních opatření, a to za období od okamžiku podání </w:t>
      </w:r>
      <w:r w:rsidRPr="001027F8">
        <w:t>konečné závazné cenové nabídky ze strany ESCO v zadávacím řízení do okamžiku, kdy:</w:t>
      </w:r>
    </w:p>
    <w:p w14:paraId="36E7D77E" w14:textId="77777777" w:rsidR="0057262A" w:rsidRPr="00BB079B" w:rsidRDefault="0057262A" w:rsidP="0057262A">
      <w:pPr>
        <w:autoSpaceDE w:val="0"/>
        <w:autoSpaceDN w:val="0"/>
        <w:adjustRightInd w:val="0"/>
        <w:spacing w:line="276" w:lineRule="auto"/>
      </w:pPr>
      <w:r w:rsidRPr="00BB079B">
        <w:t>dojde u vybraných položek a prací k jejich závazné objednávce ze strany ESCO u svých poddodavatelů;</w:t>
      </w:r>
    </w:p>
    <w:p w14:paraId="7742E0E0" w14:textId="77777777" w:rsidR="0057262A" w:rsidRPr="00BB079B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079B">
        <w:rPr>
          <w:rFonts w:asciiTheme="minorHAnsi" w:hAnsiTheme="minorHAnsi" w:cstheme="minorHAnsi"/>
          <w:sz w:val="20"/>
          <w:szCs w:val="20"/>
        </w:rPr>
        <w:t>Rozhodným okamžikem pro zařazení položky nebo práce do příslušného čtvrtletí podle předchozího odstavce je:</w:t>
      </w:r>
    </w:p>
    <w:p w14:paraId="5BB9E4FD" w14:textId="77777777" w:rsidR="0057262A" w:rsidRPr="00BB079B" w:rsidRDefault="0057262A">
      <w:pPr>
        <w:pStyle w:val="Odstavecseseznamem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 w:val="0"/>
        <w:rPr>
          <w:rFonts w:cstheme="minorHAnsi"/>
          <w:sz w:val="20"/>
          <w:szCs w:val="20"/>
        </w:rPr>
      </w:pPr>
      <w:r w:rsidRPr="00BB079B">
        <w:rPr>
          <w:rFonts w:cstheme="minorHAnsi"/>
          <w:sz w:val="20"/>
          <w:szCs w:val="20"/>
        </w:rPr>
        <w:t>u vybraných položek (zařízení) a prací</w:t>
      </w:r>
      <w:r w:rsidRPr="00BB079B">
        <w:rPr>
          <w:rFonts w:cstheme="minorHAnsi"/>
          <w:b/>
          <w:bCs/>
          <w:sz w:val="20"/>
          <w:szCs w:val="20"/>
        </w:rPr>
        <w:t xml:space="preserve"> datum jejich závazné objednávky ze strany ESCO vůči svém poddodavateli </w:t>
      </w:r>
      <w:r w:rsidRPr="00BB079B">
        <w:rPr>
          <w:rFonts w:cstheme="minorHAnsi"/>
          <w:sz w:val="20"/>
          <w:szCs w:val="20"/>
        </w:rPr>
        <w:t>v příslušném kalendářním čtvrtletí</w:t>
      </w:r>
    </w:p>
    <w:p w14:paraId="0592A23E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>Položková cena položek nebo prací, zvýšená nebo snížená postupem podle této valorizační doložky se musí rovnat součinu položkové ceny příslušné položky nebo práce uvedené ve smlouvě a násobitele úpravy, stanoveného dle „Indexu cen stavebních konstrukcí a prací podle TSKPstat“ vyhlašovaného Českým statistickým úřadem, a to níže uvedeným způsobem.</w:t>
      </w:r>
    </w:p>
    <w:p w14:paraId="6566E050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>Jako cenový index bude v rámci klasifikace TSKPstat (kód produktu „011041-XYq401“, přičemž „XY“ označuje rok časové řady) využíván:</w:t>
      </w:r>
    </w:p>
    <w:p w14:paraId="36B85B51" w14:textId="77777777" w:rsidR="0057262A" w:rsidRPr="001027F8" w:rsidRDefault="0057262A">
      <w:pPr>
        <w:pStyle w:val="Odstavecseseznamem"/>
        <w:numPr>
          <w:ilvl w:val="0"/>
          <w:numId w:val="106"/>
        </w:numPr>
        <w:autoSpaceDE w:val="0"/>
        <w:autoSpaceDN w:val="0"/>
        <w:adjustRightInd w:val="0"/>
        <w:spacing w:line="276" w:lineRule="auto"/>
        <w:ind w:left="584" w:hanging="357"/>
        <w:contextualSpacing w:val="0"/>
        <w:rPr>
          <w:rFonts w:cstheme="minorHAnsi"/>
          <w:i/>
          <w:iCs/>
          <w:sz w:val="20"/>
          <w:szCs w:val="20"/>
        </w:rPr>
      </w:pPr>
      <w:r w:rsidRPr="001027F8">
        <w:rPr>
          <w:rFonts w:cstheme="minorHAnsi"/>
          <w:sz w:val="20"/>
          <w:szCs w:val="20"/>
        </w:rPr>
        <w:t xml:space="preserve">index pro kód „TSKPstat“ nejbližší předmětu fakturace základního opatření.  </w:t>
      </w:r>
    </w:p>
    <w:p w14:paraId="59940EBC" w14:textId="77777777" w:rsidR="0057262A" w:rsidRPr="001027F8" w:rsidRDefault="0057262A">
      <w:pPr>
        <w:pStyle w:val="Odstavecseseznamem"/>
        <w:numPr>
          <w:ilvl w:val="0"/>
          <w:numId w:val="106"/>
        </w:numPr>
        <w:autoSpaceDE w:val="0"/>
        <w:autoSpaceDN w:val="0"/>
        <w:adjustRightInd w:val="0"/>
        <w:spacing w:line="276" w:lineRule="auto"/>
        <w:ind w:left="584" w:hanging="357"/>
        <w:contextualSpacing w:val="0"/>
        <w:rPr>
          <w:rFonts w:cstheme="minorHAnsi"/>
          <w:sz w:val="20"/>
          <w:szCs w:val="20"/>
        </w:rPr>
      </w:pPr>
      <w:r w:rsidRPr="001027F8">
        <w:rPr>
          <w:rFonts w:cstheme="minorHAnsi"/>
          <w:sz w:val="20"/>
          <w:szCs w:val="20"/>
        </w:rPr>
        <w:t xml:space="preserve">index pro „předchozí období = 100“, hodnoty „čtvrtletí“ </w:t>
      </w:r>
    </w:p>
    <w:p w14:paraId="20063A1C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>(dále jen „</w:t>
      </w:r>
      <w:r w:rsidRPr="001027F8">
        <w:rPr>
          <w:rFonts w:asciiTheme="minorHAnsi" w:hAnsiTheme="minorHAnsi" w:cstheme="minorHAnsi"/>
          <w:b/>
          <w:bCs/>
          <w:sz w:val="20"/>
          <w:szCs w:val="20"/>
        </w:rPr>
        <w:t>Cenový index</w:t>
      </w:r>
      <w:r w:rsidRPr="001027F8">
        <w:rPr>
          <w:rFonts w:asciiTheme="minorHAnsi" w:hAnsiTheme="minorHAnsi" w:cstheme="minorHAnsi"/>
          <w:sz w:val="20"/>
          <w:szCs w:val="20"/>
        </w:rPr>
        <w:t>“).</w:t>
      </w:r>
    </w:p>
    <w:p w14:paraId="29F008A8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888EF9E" w14:textId="77777777" w:rsidR="0057262A" w:rsidRPr="001027F8" w:rsidRDefault="0057262A" w:rsidP="0057262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>Výpočet se vztahuje na tato technologická zařízení:</w:t>
      </w:r>
    </w:p>
    <w:p w14:paraId="385D7164" w14:textId="77777777" w:rsidR="0057262A" w:rsidRPr="001027F8" w:rsidRDefault="0057262A">
      <w:pPr>
        <w:pStyle w:val="Odstavecseseznamem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 w:val="0"/>
        <w:rPr>
          <w:rFonts w:cstheme="minorHAnsi"/>
          <w:sz w:val="20"/>
          <w:szCs w:val="20"/>
        </w:rPr>
      </w:pPr>
      <w:r w:rsidRPr="001027F8">
        <w:rPr>
          <w:rFonts w:cstheme="minorHAnsi"/>
          <w:sz w:val="20"/>
          <w:szCs w:val="20"/>
        </w:rPr>
        <w:t>např. Fotovoltaické panely a střídače,</w:t>
      </w:r>
    </w:p>
    <w:p w14:paraId="73D3DFDE" w14:textId="77777777" w:rsidR="0057262A" w:rsidRPr="001027F8" w:rsidRDefault="0057262A">
      <w:pPr>
        <w:pStyle w:val="Odstavecseseznamem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 w:val="0"/>
        <w:rPr>
          <w:rFonts w:cstheme="minorHAnsi"/>
          <w:sz w:val="20"/>
          <w:szCs w:val="20"/>
        </w:rPr>
      </w:pPr>
      <w:r w:rsidRPr="001027F8">
        <w:rPr>
          <w:rFonts w:cstheme="minorHAnsi"/>
          <w:sz w:val="20"/>
          <w:szCs w:val="20"/>
        </w:rPr>
        <w:t>např. Osvětlení,</w:t>
      </w:r>
    </w:p>
    <w:p w14:paraId="22403FFC" w14:textId="77777777" w:rsidR="0057262A" w:rsidRPr="001027F8" w:rsidRDefault="0057262A">
      <w:pPr>
        <w:pStyle w:val="Odstavecseseznamem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 w:val="0"/>
        <w:rPr>
          <w:rFonts w:cstheme="minorHAnsi"/>
          <w:sz w:val="20"/>
          <w:szCs w:val="20"/>
        </w:rPr>
      </w:pPr>
      <w:r w:rsidRPr="001027F8">
        <w:rPr>
          <w:rFonts w:cstheme="minorHAnsi"/>
          <w:sz w:val="20"/>
          <w:szCs w:val="20"/>
        </w:rPr>
        <w:t>např. IRC Ventily,</w:t>
      </w:r>
    </w:p>
    <w:p w14:paraId="15E37599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233A42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>Částka, která má být přičtena nebo odečtena v důsledku změn nákladů za příslušné kalendářní čtvrtletí, se vypočte podle vzorce:</w:t>
      </w:r>
    </w:p>
    <w:p w14:paraId="2C7EE15A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A97F857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 xml:space="preserve">UCn = Fnz * (Pnz – 1) </w:t>
      </w:r>
    </w:p>
    <w:p w14:paraId="531ECF63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006E221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>s tím, že</w:t>
      </w:r>
    </w:p>
    <w:p w14:paraId="031DEBAD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>výpočet hodnoty násobitele úpravy za příslušné kalendářní čtvrtletí bude proveden podle vzorce:</w:t>
      </w:r>
    </w:p>
    <w:p w14:paraId="2DE6FD9A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szCs w:val="20"/>
            </w:rPr>
            <m:t xml:space="preserve">Pnz= </m:t>
          </m:r>
          <m:nary>
            <m:naryPr>
              <m:chr m:val="∏"/>
              <m:limLoc m:val="undOvr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o</m:t>
              </m:r>
            </m:sub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(Li/100)</m:t>
              </m:r>
            </m:e>
          </m:nary>
        </m:oMath>
      </m:oMathPara>
    </w:p>
    <w:p w14:paraId="119BC7CE" w14:textId="77777777" w:rsidR="0057262A" w:rsidRPr="001027F8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>kde:</w:t>
      </w:r>
    </w:p>
    <w:p w14:paraId="204CDF90" w14:textId="77777777" w:rsidR="0057262A" w:rsidRPr="001027F8" w:rsidRDefault="0057262A" w:rsidP="0057262A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b/>
          <w:sz w:val="20"/>
          <w:szCs w:val="20"/>
        </w:rPr>
        <w:lastRenderedPageBreak/>
        <w:t>„n“</w:t>
      </w:r>
      <w:r w:rsidRPr="001027F8">
        <w:rPr>
          <w:rFonts w:asciiTheme="minorHAnsi" w:hAnsiTheme="minorHAnsi" w:cstheme="minorHAnsi"/>
          <w:sz w:val="20"/>
          <w:szCs w:val="20"/>
        </w:rPr>
        <w:t xml:space="preserve"> je příslušné kalendářní čtvrtletí, pro které je vypočítávána úprava ceny základní opatření. U vybraných položek a prací se příslušným kalendářním čtvrtletím rozumí datum závazné objednávky ESCO u poddodavatelů.</w:t>
      </w:r>
    </w:p>
    <w:p w14:paraId="402953DB" w14:textId="77777777" w:rsidR="0057262A" w:rsidRPr="001027F8" w:rsidRDefault="0057262A" w:rsidP="0057262A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b/>
          <w:sz w:val="20"/>
          <w:szCs w:val="20"/>
        </w:rPr>
        <w:t>„Pnz“</w:t>
      </w:r>
      <w:r w:rsidRPr="001027F8">
        <w:rPr>
          <w:rFonts w:asciiTheme="minorHAnsi" w:hAnsiTheme="minorHAnsi" w:cstheme="minorHAnsi"/>
          <w:sz w:val="20"/>
          <w:szCs w:val="20"/>
        </w:rPr>
        <w:t xml:space="preserve"> je násobitel úpravy pro kalendářní čtvrtletí „n“, za které je vypočítávána úprava částek pro všechny položky nebo práce podléhající úpravě podle této valorizační doložky</w:t>
      </w:r>
    </w:p>
    <w:p w14:paraId="0C82C969" w14:textId="77777777" w:rsidR="0057262A" w:rsidRPr="001027F8" w:rsidRDefault="0057262A" w:rsidP="0057262A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b/>
          <w:sz w:val="20"/>
          <w:szCs w:val="20"/>
        </w:rPr>
        <w:t>„UCn“</w:t>
      </w:r>
      <w:r w:rsidRPr="001027F8">
        <w:rPr>
          <w:rFonts w:asciiTheme="minorHAnsi" w:hAnsiTheme="minorHAnsi" w:cstheme="minorHAnsi"/>
          <w:sz w:val="20"/>
          <w:szCs w:val="20"/>
        </w:rPr>
        <w:t xml:space="preserve"> je částka, která má být přičtena nebo odečtena v důsledku změn nákladů za kalendářní čtvrtletí „n“</w:t>
      </w:r>
    </w:p>
    <w:p w14:paraId="10757440" w14:textId="77777777" w:rsidR="0057262A" w:rsidRPr="001027F8" w:rsidRDefault="0057262A" w:rsidP="0057262A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b/>
          <w:sz w:val="20"/>
          <w:szCs w:val="20"/>
        </w:rPr>
        <w:t>„Fnz“</w:t>
      </w:r>
      <w:r w:rsidRPr="001027F8">
        <w:rPr>
          <w:rFonts w:asciiTheme="minorHAnsi" w:hAnsiTheme="minorHAnsi" w:cstheme="minorHAnsi"/>
          <w:sz w:val="20"/>
          <w:szCs w:val="20"/>
        </w:rPr>
        <w:t xml:space="preserve"> je součet nabídkové ceny ESCO závazně objednaných položek nebo prací v příslušném kalendářním čtvrtletí „n“. U technologických zařízení se bude jako cenový index uvádět cenový index TSKPstat:</w:t>
      </w:r>
    </w:p>
    <w:p w14:paraId="04F96A16" w14:textId="77777777" w:rsidR="0057262A" w:rsidRPr="001027F8" w:rsidRDefault="0057262A">
      <w:pPr>
        <w:pStyle w:val="Odstavecseseznamem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 w:val="0"/>
        <w:rPr>
          <w:rFonts w:cstheme="minorHAnsi"/>
          <w:sz w:val="20"/>
          <w:szCs w:val="20"/>
        </w:rPr>
      </w:pPr>
      <w:r w:rsidRPr="001027F8">
        <w:rPr>
          <w:rFonts w:cstheme="minorHAnsi"/>
          <w:sz w:val="20"/>
          <w:szCs w:val="20"/>
        </w:rPr>
        <w:t>Fotovoltaické panely a střídače – cenový index 75 Technologická zařízení,</w:t>
      </w:r>
    </w:p>
    <w:p w14:paraId="6F676F42" w14:textId="77777777" w:rsidR="0057262A" w:rsidRPr="001027F8" w:rsidRDefault="0057262A">
      <w:pPr>
        <w:pStyle w:val="Odstavecseseznamem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 w:val="0"/>
        <w:rPr>
          <w:rFonts w:cstheme="minorHAnsi"/>
          <w:sz w:val="20"/>
          <w:szCs w:val="20"/>
        </w:rPr>
      </w:pPr>
      <w:r w:rsidRPr="001027F8">
        <w:rPr>
          <w:rFonts w:cstheme="minorHAnsi"/>
          <w:sz w:val="20"/>
          <w:szCs w:val="20"/>
        </w:rPr>
        <w:t>Kondenzační kotle – cenový index 75 Technologická zařízení,</w:t>
      </w:r>
    </w:p>
    <w:p w14:paraId="6E2429B0" w14:textId="77777777" w:rsidR="0057262A" w:rsidRPr="001027F8" w:rsidRDefault="0057262A">
      <w:pPr>
        <w:pStyle w:val="Odstavecseseznamem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 w:val="0"/>
        <w:rPr>
          <w:rFonts w:cstheme="minorHAnsi"/>
          <w:sz w:val="20"/>
          <w:szCs w:val="20"/>
        </w:rPr>
      </w:pPr>
      <w:r w:rsidRPr="001027F8">
        <w:rPr>
          <w:rFonts w:cstheme="minorHAnsi"/>
          <w:sz w:val="20"/>
          <w:szCs w:val="20"/>
        </w:rPr>
        <w:t>Vzduchotechnické jednotky  – cenový index 75 Technologická zařízení,</w:t>
      </w:r>
    </w:p>
    <w:p w14:paraId="7C6048BC" w14:textId="77777777" w:rsidR="0057262A" w:rsidRPr="001027F8" w:rsidRDefault="0057262A">
      <w:pPr>
        <w:pStyle w:val="Odstavecseseznamem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 w:val="0"/>
        <w:rPr>
          <w:rFonts w:cstheme="minorHAnsi"/>
          <w:sz w:val="20"/>
          <w:szCs w:val="20"/>
        </w:rPr>
      </w:pPr>
      <w:r w:rsidRPr="001027F8">
        <w:rPr>
          <w:rFonts w:cstheme="minorHAnsi"/>
          <w:sz w:val="20"/>
          <w:szCs w:val="20"/>
        </w:rPr>
        <w:t>Transformátory – cenový index 74 Elektroinstalace.</w:t>
      </w:r>
      <w:r w:rsidRPr="001027F8">
        <w:rPr>
          <w:rStyle w:val="Znakapoznpodarou"/>
          <w:rFonts w:cstheme="minorHAnsi"/>
          <w:sz w:val="20"/>
          <w:szCs w:val="20"/>
        </w:rPr>
        <w:footnoteReference w:id="1"/>
      </w:r>
    </w:p>
    <w:p w14:paraId="14D3419F" w14:textId="77777777" w:rsidR="0057262A" w:rsidRPr="001027F8" w:rsidRDefault="0057262A" w:rsidP="0057262A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b/>
          <w:sz w:val="20"/>
          <w:szCs w:val="20"/>
        </w:rPr>
        <w:t>„Li“</w:t>
      </w:r>
      <w:r w:rsidRPr="001027F8">
        <w:rPr>
          <w:rFonts w:asciiTheme="minorHAnsi" w:hAnsiTheme="minorHAnsi" w:cstheme="minorHAnsi"/>
          <w:sz w:val="20"/>
          <w:szCs w:val="20"/>
        </w:rPr>
        <w:t xml:space="preserve"> je Cenový index pro příslušné kalendářní čtvrtletí, za které je vypočítávána úprava částek (od „o“ do „n“)</w:t>
      </w:r>
    </w:p>
    <w:p w14:paraId="078924D7" w14:textId="77777777" w:rsidR="0057262A" w:rsidRPr="001027F8" w:rsidRDefault="0057262A" w:rsidP="0057262A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b/>
          <w:sz w:val="20"/>
          <w:szCs w:val="20"/>
        </w:rPr>
        <w:t>„o“</w:t>
      </w:r>
      <w:r w:rsidRPr="001027F8">
        <w:rPr>
          <w:rFonts w:asciiTheme="minorHAnsi" w:hAnsiTheme="minorHAnsi" w:cstheme="minorHAnsi"/>
          <w:sz w:val="20"/>
          <w:szCs w:val="20"/>
        </w:rPr>
        <w:t xml:space="preserve"> je kalendářní čtvrtletí, do něhož spadá datum podání konečné nabídky na realizaci projektu</w:t>
      </w:r>
    </w:p>
    <w:p w14:paraId="335708CC" w14:textId="77777777" w:rsidR="0057262A" w:rsidRDefault="0057262A" w:rsidP="0057262A">
      <w:pPr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1027F8">
        <w:rPr>
          <w:rFonts w:asciiTheme="minorHAnsi" w:hAnsiTheme="minorHAnsi" w:cstheme="minorHAnsi"/>
          <w:sz w:val="20"/>
          <w:szCs w:val="20"/>
        </w:rPr>
        <w:t>Žádná úprava nebude použita pro položky nebo práce vyúčtované v kalendářním čtvrtletí, v němž bude násobitel úpravy (Pnz) v intervalu 0,99 až 1,01 (se zaokrouhlením na 4 desetinná místa).</w:t>
      </w:r>
    </w:p>
    <w:p w14:paraId="2CF958E5" w14:textId="77777777" w:rsidR="0057262A" w:rsidRDefault="0057262A" w:rsidP="0057262A">
      <w:pPr>
        <w:spacing w:before="240" w:line="276" w:lineRule="auto"/>
        <w:rPr>
          <w:rFonts w:asciiTheme="minorHAnsi" w:hAnsiTheme="minorHAnsi" w:cstheme="minorHAnsi"/>
          <w:sz w:val="20"/>
          <w:szCs w:val="20"/>
        </w:rPr>
      </w:pPr>
    </w:p>
    <w:p w14:paraId="74D41A69" w14:textId="77777777" w:rsidR="0057262A" w:rsidRDefault="0057262A" w:rsidP="0057262A">
      <w:pPr>
        <w:spacing w:before="240" w:line="276" w:lineRule="auto"/>
        <w:rPr>
          <w:rFonts w:asciiTheme="minorHAnsi" w:hAnsiTheme="minorHAnsi" w:cstheme="minorHAnsi"/>
          <w:sz w:val="20"/>
          <w:szCs w:val="20"/>
        </w:rPr>
      </w:pPr>
    </w:p>
    <w:p w14:paraId="08062A74" w14:textId="77777777" w:rsidR="0057262A" w:rsidRDefault="0057262A" w:rsidP="0057262A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F9764CD" w14:textId="77777777" w:rsidR="0057262A" w:rsidRPr="00577504" w:rsidRDefault="0057262A" w:rsidP="0057262A">
      <w:pPr>
        <w:spacing w:before="240" w:line="276" w:lineRule="auto"/>
        <w:rPr>
          <w:rFonts w:asciiTheme="minorHAnsi" w:hAnsiTheme="minorHAnsi" w:cstheme="minorHAnsi"/>
          <w:b/>
          <w:bCs/>
          <w:color w:val="C00000"/>
          <w:sz w:val="20"/>
          <w:szCs w:val="20"/>
          <w:u w:val="single"/>
        </w:rPr>
      </w:pPr>
      <w:r w:rsidRPr="00577504">
        <w:rPr>
          <w:rFonts w:asciiTheme="minorHAnsi" w:hAnsiTheme="minorHAnsi" w:cstheme="minorHAnsi"/>
          <w:b/>
          <w:bCs/>
          <w:color w:val="C00000"/>
          <w:sz w:val="20"/>
          <w:szCs w:val="20"/>
          <w:u w:val="single"/>
        </w:rPr>
        <w:br w:type="page"/>
      </w:r>
    </w:p>
    <w:p w14:paraId="1E030350" w14:textId="77777777" w:rsidR="0057262A" w:rsidRPr="00577504" w:rsidRDefault="0057262A" w:rsidP="005726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C00000"/>
          <w:sz w:val="20"/>
          <w:szCs w:val="20"/>
          <w:u w:val="single"/>
        </w:rPr>
      </w:pPr>
    </w:p>
    <w:p w14:paraId="74A2CAD5" w14:textId="77777777" w:rsidR="0057262A" w:rsidRPr="00530BBB" w:rsidRDefault="0057262A" w:rsidP="0057262A">
      <w:pPr>
        <w:spacing w:line="276" w:lineRule="auto"/>
        <w:rPr>
          <w:rFonts w:asciiTheme="minorHAnsi" w:hAnsiTheme="minorHAnsi" w:cstheme="minorHAnsi"/>
        </w:rPr>
      </w:pPr>
      <w:r w:rsidRPr="00530BBB">
        <w:rPr>
          <w:rFonts w:asciiTheme="minorHAnsi" w:hAnsiTheme="minorHAnsi" w:cstheme="minorHAnsi"/>
        </w:rPr>
        <w:t>Tab.1 Tabulka základních opatření v rozdělení na kódy TSKPstat</w:t>
      </w:r>
    </w:p>
    <w:p w14:paraId="244C451E" w14:textId="77777777" w:rsidR="0057262A" w:rsidRPr="00530BBB" w:rsidRDefault="0057262A" w:rsidP="0057262A">
      <w:pPr>
        <w:spacing w:line="276" w:lineRule="auto"/>
        <w:rPr>
          <w:rFonts w:asciiTheme="minorHAnsi" w:hAnsiTheme="minorHAnsi" w:cstheme="minorHAnsi"/>
        </w:rPr>
      </w:pPr>
      <w:r w:rsidRPr="00530BBB">
        <w:rPr>
          <w:rFonts w:asciiTheme="minorHAnsi" w:hAnsiTheme="minorHAnsi" w:cstheme="minorHAnsi"/>
          <w:noProof/>
        </w:rPr>
        <w:drawing>
          <wp:inline distT="0" distB="0" distL="0" distR="0" wp14:anchorId="7D5C6027" wp14:editId="5BE1B1A0">
            <wp:extent cx="6347460" cy="4293525"/>
            <wp:effectExtent l="0" t="0" r="0" b="0"/>
            <wp:docPr id="531" name="Obrázek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786" cy="42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4D91" w14:textId="77777777" w:rsidR="0057262A" w:rsidRPr="00530BBB" w:rsidRDefault="0057262A" w:rsidP="0057262A">
      <w:pPr>
        <w:spacing w:line="276" w:lineRule="auto"/>
        <w:ind w:left="703" w:hanging="703"/>
        <w:rPr>
          <w:rFonts w:asciiTheme="minorHAnsi" w:hAnsiTheme="minorHAnsi" w:cstheme="minorHAnsi"/>
        </w:rPr>
      </w:pPr>
    </w:p>
    <w:p w14:paraId="492079F5" w14:textId="77777777" w:rsidR="0057262A" w:rsidRPr="00530BBB" w:rsidRDefault="0057262A" w:rsidP="0057262A">
      <w:pPr>
        <w:rPr>
          <w:rFonts w:asciiTheme="minorHAnsi" w:hAnsiTheme="minorHAnsi" w:cstheme="minorHAnsi"/>
          <w:i/>
          <w:iCs/>
        </w:rPr>
      </w:pPr>
    </w:p>
    <w:p w14:paraId="7DF39460" w14:textId="77777777" w:rsidR="0057262A" w:rsidRPr="00530BBB" w:rsidRDefault="0057262A" w:rsidP="0057262A">
      <w:pPr>
        <w:rPr>
          <w:rFonts w:asciiTheme="minorHAnsi" w:hAnsiTheme="minorHAnsi" w:cstheme="minorHAnsi"/>
          <w:i/>
          <w:iCs/>
        </w:rPr>
      </w:pPr>
    </w:p>
    <w:p w14:paraId="0490280E" w14:textId="77777777" w:rsidR="0057262A" w:rsidRDefault="0057262A" w:rsidP="0057262A">
      <w:pPr>
        <w:spacing w:before="0"/>
        <w:jc w:val="lef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14:paraId="57704728" w14:textId="234DB57D" w:rsidR="00B9663C" w:rsidRDefault="0057262A" w:rsidP="00C926D0">
      <w:pPr>
        <w:pStyle w:val="Nadpis1"/>
      </w:pPr>
      <w:bookmarkStart w:id="28" w:name="_Toc129194062"/>
      <w:r w:rsidRPr="00C926D0">
        <w:lastRenderedPageBreak/>
        <w:t>Příloha č. 11: Rozčlenění nabídkové ceny po objektech a opatření</w:t>
      </w:r>
      <w:bookmarkEnd w:id="28"/>
    </w:p>
    <w:p w14:paraId="68D1DB1E" w14:textId="77777777" w:rsidR="001A5010" w:rsidRDefault="001A5010" w:rsidP="001A5010">
      <w:pPr>
        <w:pStyle w:val="Odstavecseseznamem1"/>
        <w:ind w:left="0"/>
      </w:pPr>
      <w:r w:rsidRPr="00F04AFB">
        <w:rPr>
          <w:noProof/>
        </w:rPr>
        <w:drawing>
          <wp:inline distT="0" distB="0" distL="0" distR="0" wp14:anchorId="33B94FD9" wp14:editId="6738F98B">
            <wp:extent cx="5760720" cy="5325110"/>
            <wp:effectExtent l="0" t="0" r="0" b="8890"/>
            <wp:docPr id="1455795059" name="Obrázek 145579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00AE1" w14:textId="77777777" w:rsidR="001A5010" w:rsidRDefault="001A5010" w:rsidP="001A5010">
      <w:pPr>
        <w:pStyle w:val="Odstavecseseznamem1"/>
        <w:ind w:left="0"/>
      </w:pPr>
    </w:p>
    <w:p w14:paraId="293E32AE" w14:textId="77777777" w:rsidR="001A5010" w:rsidRDefault="001A5010" w:rsidP="001A5010">
      <w:pPr>
        <w:pStyle w:val="Odstavecseseznamem1"/>
        <w:ind w:left="0"/>
      </w:pPr>
      <w:r w:rsidRPr="00C71351">
        <w:rPr>
          <w:noProof/>
        </w:rPr>
        <w:lastRenderedPageBreak/>
        <w:drawing>
          <wp:inline distT="0" distB="0" distL="0" distR="0" wp14:anchorId="0FCA2ECD" wp14:editId="5A723820">
            <wp:extent cx="5760720" cy="7894955"/>
            <wp:effectExtent l="0" t="0" r="0" b="0"/>
            <wp:docPr id="498698382" name="Obrázek 498698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07FD" w14:textId="77777777" w:rsidR="001A5010" w:rsidRDefault="001A5010" w:rsidP="001A5010">
      <w:pPr>
        <w:pStyle w:val="Odstavecseseznamem1"/>
        <w:ind w:left="0"/>
      </w:pPr>
    </w:p>
    <w:p w14:paraId="57DE5963" w14:textId="77777777" w:rsidR="001A5010" w:rsidRDefault="001A5010" w:rsidP="001A5010">
      <w:pPr>
        <w:pStyle w:val="Odstavecseseznamem1"/>
        <w:ind w:left="0"/>
      </w:pPr>
      <w:r w:rsidRPr="00C71351">
        <w:rPr>
          <w:noProof/>
        </w:rPr>
        <w:lastRenderedPageBreak/>
        <w:drawing>
          <wp:inline distT="0" distB="0" distL="0" distR="0" wp14:anchorId="6AE012AB" wp14:editId="31390B4E">
            <wp:extent cx="5760720" cy="8571230"/>
            <wp:effectExtent l="0" t="0" r="0" b="1270"/>
            <wp:docPr id="511216733" name="Obrázek 511216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1B10" w14:textId="77777777" w:rsidR="001A5010" w:rsidRDefault="001A5010" w:rsidP="001A5010">
      <w:pPr>
        <w:pStyle w:val="Odstavecseseznamem1"/>
        <w:ind w:left="0"/>
      </w:pPr>
      <w:r w:rsidRPr="00C71351">
        <w:rPr>
          <w:noProof/>
        </w:rPr>
        <w:lastRenderedPageBreak/>
        <w:drawing>
          <wp:inline distT="0" distB="0" distL="0" distR="0" wp14:anchorId="74737970" wp14:editId="0D06B02E">
            <wp:extent cx="5760720" cy="2123440"/>
            <wp:effectExtent l="0" t="0" r="0" b="0"/>
            <wp:docPr id="298059751" name="Obrázek 298059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DE1A" w14:textId="77777777" w:rsidR="001A5010" w:rsidRDefault="001A5010" w:rsidP="001A5010">
      <w:pPr>
        <w:pStyle w:val="Odstavecseseznamem1"/>
        <w:ind w:left="0"/>
      </w:pPr>
    </w:p>
    <w:p w14:paraId="779F4224" w14:textId="77777777" w:rsidR="001A5010" w:rsidRDefault="001A5010" w:rsidP="001A5010">
      <w:pPr>
        <w:pStyle w:val="Odstavecseseznamem1"/>
        <w:ind w:left="0"/>
      </w:pPr>
      <w:r w:rsidRPr="00C71351">
        <w:rPr>
          <w:noProof/>
        </w:rPr>
        <w:drawing>
          <wp:inline distT="0" distB="0" distL="0" distR="0" wp14:anchorId="54A19D2A" wp14:editId="571746E6">
            <wp:extent cx="5760720" cy="4693285"/>
            <wp:effectExtent l="0" t="0" r="0" b="0"/>
            <wp:docPr id="1678877309" name="Obrázek 1678877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4144" w14:textId="08BD7F86" w:rsidR="0036122C" w:rsidRPr="0036122C" w:rsidRDefault="0036122C" w:rsidP="001A5010"/>
    <w:sectPr w:rsidR="0036122C" w:rsidRPr="0036122C" w:rsidSect="00626C03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6F67" w14:textId="77777777" w:rsidR="00626C03" w:rsidRDefault="00626C03">
      <w:pPr>
        <w:spacing w:before="0"/>
      </w:pPr>
      <w:r>
        <w:separator/>
      </w:r>
    </w:p>
  </w:endnote>
  <w:endnote w:type="continuationSeparator" w:id="0">
    <w:p w14:paraId="38A62587" w14:textId="77777777" w:rsidR="00626C03" w:rsidRDefault="00626C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3316" w14:textId="77777777" w:rsidR="00AC0307" w:rsidRDefault="001A1AC4" w:rsidP="00043F64">
    <w:pPr>
      <w:pStyle w:val="Zpat"/>
      <w:tabs>
        <w:tab w:val="clear" w:pos="4536"/>
      </w:tabs>
      <w:rPr>
        <w:szCs w:val="16"/>
      </w:rPr>
    </w:pPr>
    <w:r>
      <w:rPr>
        <w:rStyle w:val="slostrnky"/>
        <w:sz w:val="16"/>
        <w:szCs w:val="16"/>
      </w:rPr>
      <w:tab/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noProof/>
        <w:sz w:val="16"/>
        <w:szCs w:val="16"/>
      </w:rPr>
      <w:fldChar w:fldCharType="begin"/>
    </w:r>
    <w:r>
      <w:rPr>
        <w:rStyle w:val="slostrnky"/>
        <w:noProof/>
        <w:sz w:val="16"/>
        <w:szCs w:val="16"/>
      </w:rPr>
      <w:instrText xml:space="preserve"> NUMPAGES   \* MERGEFORMAT </w:instrText>
    </w:r>
    <w:r>
      <w:rPr>
        <w:rStyle w:val="slostrnky"/>
        <w:noProof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15</w:t>
    </w:r>
    <w:r>
      <w:rPr>
        <w:rStyle w:val="slostrnky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3922" w14:textId="77777777" w:rsidR="00626C03" w:rsidRDefault="00626C03">
      <w:pPr>
        <w:spacing w:before="0"/>
      </w:pPr>
      <w:r>
        <w:separator/>
      </w:r>
    </w:p>
  </w:footnote>
  <w:footnote w:type="continuationSeparator" w:id="0">
    <w:p w14:paraId="1433988B" w14:textId="77777777" w:rsidR="00626C03" w:rsidRDefault="00626C03">
      <w:pPr>
        <w:spacing w:before="0"/>
      </w:pPr>
      <w:r>
        <w:continuationSeparator/>
      </w:r>
    </w:p>
  </w:footnote>
  <w:footnote w:id="1">
    <w:p w14:paraId="7C6831E5" w14:textId="77777777" w:rsidR="0057262A" w:rsidRPr="00B57CCD" w:rsidRDefault="0057262A" w:rsidP="0057262A">
      <w:pPr>
        <w:pStyle w:val="Textpoznpodarou"/>
      </w:pPr>
      <w:r w:rsidRPr="00B57CCD">
        <w:rPr>
          <w:rStyle w:val="Znakapoznpodarou"/>
        </w:rPr>
        <w:footnoteRef/>
      </w:r>
      <w:r w:rsidRPr="00B57CCD">
        <w:t xml:space="preserve"> Vysvětlující poznámka. Příkladný výčet používaných technologií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5092" w14:textId="2F11987C" w:rsidR="001F3FCE" w:rsidRDefault="001F3F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13A649" wp14:editId="7779F85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ové pole 2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7547C" w14:textId="1A6107F2" w:rsidR="001F3FCE" w:rsidRPr="001F3FCE" w:rsidRDefault="001F3FCE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3FCE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3A6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     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CA7547C" w14:textId="1A6107F2" w:rsidR="001F3FCE" w:rsidRPr="001F3FCE" w:rsidRDefault="001F3FCE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3FCE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INTERNÍ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4CC7" w14:textId="0E16A11E" w:rsidR="001F3FCE" w:rsidRDefault="001F3F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AC90" w14:textId="58966A30" w:rsidR="001F3FCE" w:rsidRDefault="001F3F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749572" wp14:editId="679087A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ové pole 1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D69C17" w14:textId="582EE9E2" w:rsidR="001F3FCE" w:rsidRPr="001F3FCE" w:rsidRDefault="001F3FCE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3FCE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4957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INTERNÍ      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4D69C17" w14:textId="582EE9E2" w:rsidR="001F3FCE" w:rsidRPr="001F3FCE" w:rsidRDefault="001F3FCE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3FCE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INTERNÍ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6A2342E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2A487CB0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D4ED43A"/>
    <w:lvl w:ilvl="0" w:tplc="FFFFFFFF">
      <w:start w:val="5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725A06F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2CD89A3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7A6D8D3C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542289EC"/>
    <w:lvl w:ilvl="0" w:tplc="FFFFFFFF">
      <w:start w:val="5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6DE91B1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38437FDA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7644A45C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32FFF90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4"/>
    <w:multiLevelType w:val="hybridMultilevel"/>
    <w:tmpl w:val="684A481A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5"/>
    <w:multiLevelType w:val="hybridMultilevel"/>
    <w:tmpl w:val="579478FE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6"/>
    <w:multiLevelType w:val="hybridMultilevel"/>
    <w:tmpl w:val="749ABB4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7"/>
    <w:multiLevelType w:val="hybridMultilevel"/>
    <w:tmpl w:val="3DC240FA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8"/>
    <w:multiLevelType w:val="hybridMultilevel"/>
    <w:tmpl w:val="1BA026FA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79A1DEAA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75C6C33A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12E685FA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70C6A528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520EEDD0"/>
    <w:lvl w:ilvl="0" w:tplc="FFFFFFFF">
      <w:start w:val="3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374A3FE6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4F4EF004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0"/>
    <w:multiLevelType w:val="hybridMultilevel"/>
    <w:tmpl w:val="23F9C13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1"/>
    <w:multiLevelType w:val="hybridMultilevel"/>
    <w:tmpl w:val="649BB77C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39386574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4"/>
    <w:multiLevelType w:val="hybridMultilevel"/>
    <w:tmpl w:val="1CF10FD8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5"/>
    <w:multiLevelType w:val="hybridMultilevel"/>
    <w:tmpl w:val="180115BE"/>
    <w:lvl w:ilvl="0" w:tplc="FFFFFFFF">
      <w:start w:val="2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6"/>
    <w:multiLevelType w:val="hybridMultilevel"/>
    <w:tmpl w:val="235BA860"/>
    <w:lvl w:ilvl="0" w:tplc="FFFFFFFF">
      <w:start w:val="30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7"/>
    <w:multiLevelType w:val="hybridMultilevel"/>
    <w:tmpl w:val="47398C88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8"/>
    <w:multiLevelType w:val="hybridMultilevel"/>
    <w:tmpl w:val="354FE9F8"/>
    <w:lvl w:ilvl="0" w:tplc="FFFFFFFF">
      <w:start w:val="1"/>
      <w:numFmt w:val="bullet"/>
      <w:lvlText w:val="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9"/>
    <w:multiLevelType w:val="hybridMultilevel"/>
    <w:tmpl w:val="15B5AF5C"/>
    <w:lvl w:ilvl="0" w:tplc="FFFFFFFF">
      <w:start w:val="1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A"/>
    <w:multiLevelType w:val="hybridMultilevel"/>
    <w:tmpl w:val="741226BA"/>
    <w:lvl w:ilvl="0" w:tplc="FFFFFFFF">
      <w:start w:val="5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B"/>
    <w:multiLevelType w:val="hybridMultilevel"/>
    <w:tmpl w:val="0D34B6A8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C"/>
    <w:multiLevelType w:val="hybridMultilevel"/>
    <w:tmpl w:val="10233C98"/>
    <w:lvl w:ilvl="0" w:tplc="FFFFFFFF">
      <w:start w:val="5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D"/>
    <w:multiLevelType w:val="hybridMultilevel"/>
    <w:tmpl w:val="3F6AB60E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E"/>
    <w:multiLevelType w:val="hybridMultilevel"/>
    <w:tmpl w:val="6157409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F"/>
    <w:multiLevelType w:val="hybridMultilevel"/>
    <w:tmpl w:val="7E0C57B0"/>
    <w:lvl w:ilvl="0" w:tplc="FFFFFFFF">
      <w:start w:val="19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30"/>
    <w:multiLevelType w:val="hybridMultilevel"/>
    <w:tmpl w:val="77AE35EA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1"/>
    <w:multiLevelType w:val="hybridMultilevel"/>
    <w:tmpl w:val="579BE4F0"/>
    <w:lvl w:ilvl="0" w:tplc="FFFFFFFF">
      <w:start w:val="1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2"/>
    <w:multiLevelType w:val="hybridMultilevel"/>
    <w:tmpl w:val="310C50B2"/>
    <w:lvl w:ilvl="0" w:tplc="FFFFFFFF">
      <w:start w:val="19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3"/>
    <w:multiLevelType w:val="hybridMultilevel"/>
    <w:tmpl w:val="5FF87E04"/>
    <w:lvl w:ilvl="0" w:tplc="FFFFFFFF">
      <w:start w:val="1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4"/>
    <w:multiLevelType w:val="hybridMultilevel"/>
    <w:tmpl w:val="2F305DE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5"/>
    <w:multiLevelType w:val="hybridMultilevel"/>
    <w:tmpl w:val="25A70BF6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6"/>
    <w:multiLevelType w:val="hybridMultilevel"/>
    <w:tmpl w:val="1DBABF00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7"/>
    <w:multiLevelType w:val="hybridMultilevel"/>
    <w:tmpl w:val="4AD084E8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8"/>
    <w:multiLevelType w:val="hybridMultilevel"/>
    <w:tmpl w:val="1F48EAA0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A"/>
    <w:multiLevelType w:val="hybridMultilevel"/>
    <w:tmpl w:val="5DB70AE4"/>
    <w:lvl w:ilvl="0" w:tplc="FFFFFFFF">
      <w:start w:val="1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B"/>
    <w:multiLevelType w:val="hybridMultilevel"/>
    <w:tmpl w:val="100F8FCA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C"/>
    <w:multiLevelType w:val="hybridMultilevel"/>
    <w:tmpl w:val="6590700A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D"/>
    <w:multiLevelType w:val="hybridMultilevel"/>
    <w:tmpl w:val="15014ACA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E"/>
    <w:multiLevelType w:val="hybridMultilevel"/>
    <w:tmpl w:val="5F5E7FD0"/>
    <w:lvl w:ilvl="0" w:tplc="FFFFFFFF">
      <w:start w:val="1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F"/>
    <w:multiLevelType w:val="hybridMultilevel"/>
    <w:tmpl w:val="098A314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40"/>
    <w:multiLevelType w:val="hybridMultilevel"/>
    <w:tmpl w:val="799D0246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41"/>
    <w:multiLevelType w:val="hybridMultilevel"/>
    <w:tmpl w:val="06B94764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42"/>
    <w:multiLevelType w:val="hybridMultilevel"/>
    <w:tmpl w:val="42C296BC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44"/>
    <w:multiLevelType w:val="hybridMultilevel"/>
    <w:tmpl w:val="1EBA5D22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45"/>
    <w:multiLevelType w:val="hybridMultilevel"/>
    <w:tmpl w:val="661E3F1E"/>
    <w:lvl w:ilvl="0" w:tplc="FFFFFFFF">
      <w:start w:val="2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46"/>
    <w:multiLevelType w:val="hybridMultilevel"/>
    <w:tmpl w:val="5DC79EA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47"/>
    <w:multiLevelType w:val="hybridMultilevel"/>
    <w:tmpl w:val="540A471C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48"/>
    <w:multiLevelType w:val="hybridMultilevel"/>
    <w:tmpl w:val="7BD3EE7A"/>
    <w:lvl w:ilvl="0" w:tplc="FFFFFFFF">
      <w:start w:val="1"/>
      <w:numFmt w:val="bullet"/>
      <w:lvlText w:val="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49"/>
    <w:multiLevelType w:val="hybridMultilevel"/>
    <w:tmpl w:val="51D9C564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4A"/>
    <w:multiLevelType w:val="hybridMultilevel"/>
    <w:tmpl w:val="613EFDC4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4B"/>
    <w:multiLevelType w:val="hybridMultilevel"/>
    <w:tmpl w:val="0BF72B14"/>
    <w:lvl w:ilvl="0" w:tplc="FFFFFFFF">
      <w:start w:val="2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4C"/>
    <w:multiLevelType w:val="hybridMultilevel"/>
    <w:tmpl w:val="11447B72"/>
    <w:lvl w:ilvl="0" w:tplc="FFFFFFFF">
      <w:start w:val="2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4D"/>
    <w:multiLevelType w:val="hybridMultilevel"/>
    <w:tmpl w:val="42963E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4E"/>
    <w:multiLevelType w:val="hybridMultilevel"/>
    <w:tmpl w:val="0A0382C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17C26E0"/>
    <w:multiLevelType w:val="hybridMultilevel"/>
    <w:tmpl w:val="1B3E57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2B5018B"/>
    <w:multiLevelType w:val="hybridMultilevel"/>
    <w:tmpl w:val="DECA7D7C"/>
    <w:lvl w:ilvl="0" w:tplc="6FE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A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6B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48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8D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24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8F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63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60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03B44C4B"/>
    <w:multiLevelType w:val="hybridMultilevel"/>
    <w:tmpl w:val="190659C4"/>
    <w:lvl w:ilvl="0" w:tplc="1F9E65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4350FDD"/>
    <w:multiLevelType w:val="hybridMultilevel"/>
    <w:tmpl w:val="CB9A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4DD3A3C"/>
    <w:multiLevelType w:val="hybridMultilevel"/>
    <w:tmpl w:val="A2D0800E"/>
    <w:lvl w:ilvl="0" w:tplc="79DA1DB4">
      <w:start w:val="1"/>
      <w:numFmt w:val="decimal"/>
      <w:pStyle w:val="NumberText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0AE51D3C"/>
    <w:multiLevelType w:val="hybridMultilevel"/>
    <w:tmpl w:val="88FA795C"/>
    <w:lvl w:ilvl="0" w:tplc="3F78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C3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C30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EC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C2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2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28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44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60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3" w15:restartNumberingAfterBreak="0">
    <w:nsid w:val="0C1C3FF8"/>
    <w:multiLevelType w:val="hybridMultilevel"/>
    <w:tmpl w:val="317006B4"/>
    <w:lvl w:ilvl="0" w:tplc="040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126134F1"/>
    <w:multiLevelType w:val="hybridMultilevel"/>
    <w:tmpl w:val="8FC61BA2"/>
    <w:lvl w:ilvl="0" w:tplc="1F9E65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2AE5E17"/>
    <w:multiLevelType w:val="hybridMultilevel"/>
    <w:tmpl w:val="81BEB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6C2FEC"/>
    <w:multiLevelType w:val="hybridMultilevel"/>
    <w:tmpl w:val="3DC4F49C"/>
    <w:lvl w:ilvl="0" w:tplc="1F9E654A">
      <w:start w:val="1"/>
      <w:numFmt w:val="bullet"/>
      <w:lvlText w:val="•"/>
      <w:lvlJc w:val="left"/>
      <w:pPr>
        <w:ind w:left="107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7" w15:restartNumberingAfterBreak="0">
    <w:nsid w:val="15550805"/>
    <w:multiLevelType w:val="hybridMultilevel"/>
    <w:tmpl w:val="AB267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73D4137"/>
    <w:multiLevelType w:val="hybridMultilevel"/>
    <w:tmpl w:val="93E2C7D2"/>
    <w:lvl w:ilvl="0" w:tplc="43D83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52766A"/>
    <w:multiLevelType w:val="hybridMultilevel"/>
    <w:tmpl w:val="903A6C56"/>
    <w:lvl w:ilvl="0" w:tplc="1F9E65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B6E35"/>
    <w:multiLevelType w:val="hybridMultilevel"/>
    <w:tmpl w:val="2B4EB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9031D9"/>
    <w:multiLevelType w:val="hybridMultilevel"/>
    <w:tmpl w:val="CB9A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DC0B35"/>
    <w:multiLevelType w:val="hybridMultilevel"/>
    <w:tmpl w:val="17AC7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B256F8"/>
    <w:multiLevelType w:val="hybridMultilevel"/>
    <w:tmpl w:val="CB9A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F05031"/>
    <w:multiLevelType w:val="hybridMultilevel"/>
    <w:tmpl w:val="C58AD4C8"/>
    <w:lvl w:ilvl="0" w:tplc="401E4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B310DE"/>
    <w:multiLevelType w:val="hybridMultilevel"/>
    <w:tmpl w:val="2B4EB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C10719"/>
    <w:multiLevelType w:val="hybridMultilevel"/>
    <w:tmpl w:val="CB9A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9A42D4"/>
    <w:multiLevelType w:val="hybridMultilevel"/>
    <w:tmpl w:val="CB9A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8858B2"/>
    <w:multiLevelType w:val="hybridMultilevel"/>
    <w:tmpl w:val="E80CAA36"/>
    <w:lvl w:ilvl="0" w:tplc="A7A88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114584F"/>
    <w:multiLevelType w:val="hybridMultilevel"/>
    <w:tmpl w:val="BCD02050"/>
    <w:lvl w:ilvl="0" w:tplc="9B9EA60E">
      <w:start w:val="1"/>
      <w:numFmt w:val="bullet"/>
      <w:lvlText w:val=""/>
      <w:lvlJc w:val="left"/>
      <w:pPr>
        <w:ind w:left="397" w:hanging="397"/>
      </w:pPr>
      <w:rPr>
        <w:rFonts w:ascii="Wingdings 2" w:hAnsi="Wingdings 2" w:hint="default"/>
        <w:color w:val="4F81BD" w:themeColor="accent1"/>
      </w:rPr>
    </w:lvl>
    <w:lvl w:ilvl="1" w:tplc="19DEB940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C0504D" w:themeColor="accent2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AB4B29"/>
    <w:multiLevelType w:val="hybridMultilevel"/>
    <w:tmpl w:val="EE2CA8D0"/>
    <w:lvl w:ilvl="0" w:tplc="A782CCA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43740A2E"/>
    <w:multiLevelType w:val="hybridMultilevel"/>
    <w:tmpl w:val="73E0B832"/>
    <w:lvl w:ilvl="0" w:tplc="1F9E65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650C7C"/>
    <w:multiLevelType w:val="hybridMultilevel"/>
    <w:tmpl w:val="67745318"/>
    <w:lvl w:ilvl="0" w:tplc="1F9E654A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44E9566E"/>
    <w:multiLevelType w:val="hybridMultilevel"/>
    <w:tmpl w:val="C778D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4C1B23"/>
    <w:multiLevelType w:val="hybridMultilevel"/>
    <w:tmpl w:val="D5D4B7C0"/>
    <w:lvl w:ilvl="0" w:tplc="5F98D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F23730"/>
    <w:multiLevelType w:val="hybridMultilevel"/>
    <w:tmpl w:val="9864C3A4"/>
    <w:lvl w:ilvl="0" w:tplc="DE168410">
      <w:start w:val="1"/>
      <w:numFmt w:val="decimal"/>
      <w:pStyle w:val="Obrtitulek"/>
      <w:lvlText w:val="Obr. %1"/>
      <w:lvlJc w:val="left"/>
      <w:pPr>
        <w:ind w:left="964" w:hanging="9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EE131A"/>
    <w:multiLevelType w:val="hybridMultilevel"/>
    <w:tmpl w:val="6D389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4126C2"/>
    <w:multiLevelType w:val="hybridMultilevel"/>
    <w:tmpl w:val="2A320F4C"/>
    <w:lvl w:ilvl="0" w:tplc="9EE2A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56478E"/>
    <w:multiLevelType w:val="hybridMultilevel"/>
    <w:tmpl w:val="920EA9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 w15:restartNumberingAfterBreak="0">
    <w:nsid w:val="588941A5"/>
    <w:multiLevelType w:val="hybridMultilevel"/>
    <w:tmpl w:val="CB9A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A3436B8"/>
    <w:multiLevelType w:val="hybridMultilevel"/>
    <w:tmpl w:val="B5D64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46399B"/>
    <w:multiLevelType w:val="hybridMultilevel"/>
    <w:tmpl w:val="68A63380"/>
    <w:lvl w:ilvl="0" w:tplc="F606F9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D3C7EC0"/>
    <w:multiLevelType w:val="hybridMultilevel"/>
    <w:tmpl w:val="1C30E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5EBE6270"/>
    <w:multiLevelType w:val="hybridMultilevel"/>
    <w:tmpl w:val="2B4EB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F826E8"/>
    <w:multiLevelType w:val="hybridMultilevel"/>
    <w:tmpl w:val="CB9A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951BA2"/>
    <w:multiLevelType w:val="hybridMultilevel"/>
    <w:tmpl w:val="2B4EB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AC6D88"/>
    <w:multiLevelType w:val="hybridMultilevel"/>
    <w:tmpl w:val="FA985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251E1C"/>
    <w:multiLevelType w:val="hybridMultilevel"/>
    <w:tmpl w:val="A8EA8644"/>
    <w:lvl w:ilvl="0" w:tplc="E3AE1B8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6D8D169F"/>
    <w:multiLevelType w:val="hybridMultilevel"/>
    <w:tmpl w:val="2B4EB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CB41C5"/>
    <w:multiLevelType w:val="hybridMultilevel"/>
    <w:tmpl w:val="CB9A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046388"/>
    <w:multiLevelType w:val="hybridMultilevel"/>
    <w:tmpl w:val="485EBB1E"/>
    <w:lvl w:ilvl="0" w:tplc="1F9E654A">
      <w:start w:val="1"/>
      <w:numFmt w:val="bullet"/>
      <w:lvlText w:val="•"/>
      <w:lvlJc w:val="left"/>
      <w:pPr>
        <w:ind w:left="107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1" w15:restartNumberingAfterBreak="0">
    <w:nsid w:val="71C26E88"/>
    <w:multiLevelType w:val="hybridMultilevel"/>
    <w:tmpl w:val="C778D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296856"/>
    <w:multiLevelType w:val="hybridMultilevel"/>
    <w:tmpl w:val="2B4EB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BE6F02"/>
    <w:multiLevelType w:val="hybridMultilevel"/>
    <w:tmpl w:val="EBC8E672"/>
    <w:lvl w:ilvl="0" w:tplc="30465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C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08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04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E3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AD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0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6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EB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4" w15:restartNumberingAfterBreak="0">
    <w:nsid w:val="75686949"/>
    <w:multiLevelType w:val="hybridMultilevel"/>
    <w:tmpl w:val="A5D45C68"/>
    <w:lvl w:ilvl="0" w:tplc="91ECB67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7816281D"/>
    <w:multiLevelType w:val="hybridMultilevel"/>
    <w:tmpl w:val="2B4EB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806699"/>
    <w:multiLevelType w:val="hybridMultilevel"/>
    <w:tmpl w:val="91028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1840">
    <w:abstractNumId w:val="71"/>
  </w:num>
  <w:num w:numId="2" w16cid:durableId="1054815790">
    <w:abstractNumId w:val="113"/>
  </w:num>
  <w:num w:numId="3" w16cid:durableId="1574854365">
    <w:abstractNumId w:val="90"/>
  </w:num>
  <w:num w:numId="4" w16cid:durableId="2099133943">
    <w:abstractNumId w:val="72"/>
  </w:num>
  <w:num w:numId="5" w16cid:durableId="1658993310">
    <w:abstractNumId w:val="68"/>
  </w:num>
  <w:num w:numId="6" w16cid:durableId="1396127908">
    <w:abstractNumId w:val="92"/>
  </w:num>
  <w:num w:numId="7" w16cid:durableId="335616605">
    <w:abstractNumId w:val="110"/>
  </w:num>
  <w:num w:numId="8" w16cid:durableId="889220207">
    <w:abstractNumId w:val="76"/>
  </w:num>
  <w:num w:numId="9" w16cid:durableId="611713115">
    <w:abstractNumId w:val="79"/>
  </w:num>
  <w:num w:numId="10" w16cid:durableId="92435324">
    <w:abstractNumId w:val="91"/>
  </w:num>
  <w:num w:numId="11" w16cid:durableId="1781415104">
    <w:abstractNumId w:val="73"/>
  </w:num>
  <w:num w:numId="12" w16cid:durableId="116993891">
    <w:abstractNumId w:val="69"/>
  </w:num>
  <w:num w:numId="13" w16cid:durableId="548079558">
    <w:abstractNumId w:val="74"/>
  </w:num>
  <w:num w:numId="14" w16cid:durableId="449083430">
    <w:abstractNumId w:val="0"/>
  </w:num>
  <w:num w:numId="15" w16cid:durableId="372777785">
    <w:abstractNumId w:val="1"/>
  </w:num>
  <w:num w:numId="16" w16cid:durableId="1802726408">
    <w:abstractNumId w:val="2"/>
  </w:num>
  <w:num w:numId="17" w16cid:durableId="1023438944">
    <w:abstractNumId w:val="3"/>
  </w:num>
  <w:num w:numId="18" w16cid:durableId="1599409072">
    <w:abstractNumId w:val="4"/>
  </w:num>
  <w:num w:numId="19" w16cid:durableId="1793480588">
    <w:abstractNumId w:val="5"/>
  </w:num>
  <w:num w:numId="20" w16cid:durableId="1500928177">
    <w:abstractNumId w:val="6"/>
  </w:num>
  <w:num w:numId="21" w16cid:durableId="903874963">
    <w:abstractNumId w:val="7"/>
  </w:num>
  <w:num w:numId="22" w16cid:durableId="1818378227">
    <w:abstractNumId w:val="8"/>
  </w:num>
  <w:num w:numId="23" w16cid:durableId="2122869823">
    <w:abstractNumId w:val="9"/>
  </w:num>
  <w:num w:numId="24" w16cid:durableId="137571662">
    <w:abstractNumId w:val="10"/>
  </w:num>
  <w:num w:numId="25" w16cid:durableId="1258174014">
    <w:abstractNumId w:val="11"/>
  </w:num>
  <w:num w:numId="26" w16cid:durableId="629627798">
    <w:abstractNumId w:val="12"/>
  </w:num>
  <w:num w:numId="27" w16cid:durableId="1394694221">
    <w:abstractNumId w:val="13"/>
  </w:num>
  <w:num w:numId="28" w16cid:durableId="1378973834">
    <w:abstractNumId w:val="14"/>
  </w:num>
  <w:num w:numId="29" w16cid:durableId="628556085">
    <w:abstractNumId w:val="15"/>
  </w:num>
  <w:num w:numId="30" w16cid:durableId="200942538">
    <w:abstractNumId w:val="16"/>
  </w:num>
  <w:num w:numId="31" w16cid:durableId="684209138">
    <w:abstractNumId w:val="17"/>
  </w:num>
  <w:num w:numId="32" w16cid:durableId="248348192">
    <w:abstractNumId w:val="18"/>
  </w:num>
  <w:num w:numId="33" w16cid:durableId="1437090624">
    <w:abstractNumId w:val="19"/>
  </w:num>
  <w:num w:numId="34" w16cid:durableId="932318634">
    <w:abstractNumId w:val="20"/>
  </w:num>
  <w:num w:numId="35" w16cid:durableId="1503424408">
    <w:abstractNumId w:val="21"/>
  </w:num>
  <w:num w:numId="36" w16cid:durableId="2095130048">
    <w:abstractNumId w:val="22"/>
  </w:num>
  <w:num w:numId="37" w16cid:durableId="2079982931">
    <w:abstractNumId w:val="23"/>
  </w:num>
  <w:num w:numId="38" w16cid:durableId="18314110">
    <w:abstractNumId w:val="24"/>
  </w:num>
  <w:num w:numId="39" w16cid:durableId="1829438859">
    <w:abstractNumId w:val="25"/>
  </w:num>
  <w:num w:numId="40" w16cid:durableId="1726490871">
    <w:abstractNumId w:val="26"/>
  </w:num>
  <w:num w:numId="41" w16cid:durableId="1394498494">
    <w:abstractNumId w:val="27"/>
  </w:num>
  <w:num w:numId="42" w16cid:durableId="1624844885">
    <w:abstractNumId w:val="28"/>
  </w:num>
  <w:num w:numId="43" w16cid:durableId="958226422">
    <w:abstractNumId w:val="29"/>
  </w:num>
  <w:num w:numId="44" w16cid:durableId="728041393">
    <w:abstractNumId w:val="30"/>
  </w:num>
  <w:num w:numId="45" w16cid:durableId="1069763541">
    <w:abstractNumId w:val="31"/>
  </w:num>
  <w:num w:numId="46" w16cid:durableId="2097827205">
    <w:abstractNumId w:val="32"/>
  </w:num>
  <w:num w:numId="47" w16cid:durableId="697121941">
    <w:abstractNumId w:val="33"/>
  </w:num>
  <w:num w:numId="48" w16cid:durableId="1909925616">
    <w:abstractNumId w:val="34"/>
  </w:num>
  <w:num w:numId="49" w16cid:durableId="2146072184">
    <w:abstractNumId w:val="35"/>
  </w:num>
  <w:num w:numId="50" w16cid:durableId="931621505">
    <w:abstractNumId w:val="36"/>
  </w:num>
  <w:num w:numId="51" w16cid:durableId="714887030">
    <w:abstractNumId w:val="37"/>
  </w:num>
  <w:num w:numId="52" w16cid:durableId="812991844">
    <w:abstractNumId w:val="38"/>
  </w:num>
  <w:num w:numId="53" w16cid:durableId="1297448712">
    <w:abstractNumId w:val="39"/>
  </w:num>
  <w:num w:numId="54" w16cid:durableId="872496724">
    <w:abstractNumId w:val="40"/>
  </w:num>
  <w:num w:numId="55" w16cid:durableId="1822388458">
    <w:abstractNumId w:val="41"/>
  </w:num>
  <w:num w:numId="56" w16cid:durableId="436606040">
    <w:abstractNumId w:val="42"/>
  </w:num>
  <w:num w:numId="57" w16cid:durableId="837379853">
    <w:abstractNumId w:val="43"/>
  </w:num>
  <w:num w:numId="58" w16cid:durableId="832405042">
    <w:abstractNumId w:val="44"/>
  </w:num>
  <w:num w:numId="59" w16cid:durableId="157966795">
    <w:abstractNumId w:val="45"/>
  </w:num>
  <w:num w:numId="60" w16cid:durableId="1880779870">
    <w:abstractNumId w:val="46"/>
  </w:num>
  <w:num w:numId="61" w16cid:durableId="128399525">
    <w:abstractNumId w:val="47"/>
  </w:num>
  <w:num w:numId="62" w16cid:durableId="1626963397">
    <w:abstractNumId w:val="48"/>
  </w:num>
  <w:num w:numId="63" w16cid:durableId="1227565446">
    <w:abstractNumId w:val="49"/>
  </w:num>
  <w:num w:numId="64" w16cid:durableId="1118060648">
    <w:abstractNumId w:val="50"/>
  </w:num>
  <w:num w:numId="65" w16cid:durableId="96366628">
    <w:abstractNumId w:val="51"/>
  </w:num>
  <w:num w:numId="66" w16cid:durableId="1603491012">
    <w:abstractNumId w:val="52"/>
  </w:num>
  <w:num w:numId="67" w16cid:durableId="402332393">
    <w:abstractNumId w:val="53"/>
  </w:num>
  <w:num w:numId="68" w16cid:durableId="174274333">
    <w:abstractNumId w:val="54"/>
  </w:num>
  <w:num w:numId="69" w16cid:durableId="14308447">
    <w:abstractNumId w:val="55"/>
  </w:num>
  <w:num w:numId="70" w16cid:durableId="1612517449">
    <w:abstractNumId w:val="56"/>
  </w:num>
  <w:num w:numId="71" w16cid:durableId="4597178">
    <w:abstractNumId w:val="57"/>
  </w:num>
  <w:num w:numId="72" w16cid:durableId="2008170463">
    <w:abstractNumId w:val="58"/>
  </w:num>
  <w:num w:numId="73" w16cid:durableId="494230150">
    <w:abstractNumId w:val="59"/>
  </w:num>
  <w:num w:numId="74" w16cid:durableId="2134785578">
    <w:abstractNumId w:val="60"/>
  </w:num>
  <w:num w:numId="75" w16cid:durableId="349986799">
    <w:abstractNumId w:val="61"/>
  </w:num>
  <w:num w:numId="76" w16cid:durableId="454250259">
    <w:abstractNumId w:val="62"/>
  </w:num>
  <w:num w:numId="77" w16cid:durableId="1091462715">
    <w:abstractNumId w:val="63"/>
  </w:num>
  <w:num w:numId="78" w16cid:durableId="1013996660">
    <w:abstractNumId w:val="64"/>
  </w:num>
  <w:num w:numId="79" w16cid:durableId="116066151">
    <w:abstractNumId w:val="65"/>
  </w:num>
  <w:num w:numId="80" w16cid:durableId="987244153">
    <w:abstractNumId w:val="66"/>
  </w:num>
  <w:num w:numId="81" w16cid:durableId="815220230">
    <w:abstractNumId w:val="78"/>
  </w:num>
  <w:num w:numId="82" w16cid:durableId="603419134">
    <w:abstractNumId w:val="114"/>
  </w:num>
  <w:num w:numId="83" w16cid:durableId="1811899375">
    <w:abstractNumId w:val="85"/>
  </w:num>
  <w:num w:numId="84" w16cid:durableId="769663415">
    <w:abstractNumId w:val="103"/>
  </w:num>
  <w:num w:numId="85" w16cid:durableId="1360200525">
    <w:abstractNumId w:val="105"/>
  </w:num>
  <w:num w:numId="86" w16cid:durableId="254948142">
    <w:abstractNumId w:val="108"/>
  </w:num>
  <w:num w:numId="87" w16cid:durableId="581572711">
    <w:abstractNumId w:val="67"/>
  </w:num>
  <w:num w:numId="88" w16cid:durableId="1131903148">
    <w:abstractNumId w:val="80"/>
  </w:num>
  <w:num w:numId="89" w16cid:durableId="144125021">
    <w:abstractNumId w:val="112"/>
  </w:num>
  <w:num w:numId="90" w16cid:durableId="925386637">
    <w:abstractNumId w:val="106"/>
  </w:num>
  <w:num w:numId="91" w16cid:durableId="1017849663">
    <w:abstractNumId w:val="83"/>
  </w:num>
  <w:num w:numId="92" w16cid:durableId="735249114">
    <w:abstractNumId w:val="82"/>
  </w:num>
  <w:num w:numId="93" w16cid:durableId="1464425618">
    <w:abstractNumId w:val="109"/>
  </w:num>
  <w:num w:numId="94" w16cid:durableId="1924757439">
    <w:abstractNumId w:val="100"/>
  </w:num>
  <w:num w:numId="95" w16cid:durableId="17659147">
    <w:abstractNumId w:val="81"/>
  </w:num>
  <w:num w:numId="96" w16cid:durableId="823203231">
    <w:abstractNumId w:val="111"/>
  </w:num>
  <w:num w:numId="97" w16cid:durableId="1102727166">
    <w:abstractNumId w:val="70"/>
  </w:num>
  <w:num w:numId="98" w16cid:durableId="421226837">
    <w:abstractNumId w:val="99"/>
  </w:num>
  <w:num w:numId="99" w16cid:durableId="1999116508">
    <w:abstractNumId w:val="93"/>
  </w:num>
  <w:num w:numId="100" w16cid:durableId="107895051">
    <w:abstractNumId w:val="86"/>
  </w:num>
  <w:num w:numId="101" w16cid:durableId="1398478685">
    <w:abstractNumId w:val="104"/>
  </w:num>
  <w:num w:numId="102" w16cid:durableId="152910821">
    <w:abstractNumId w:val="87"/>
  </w:num>
  <w:num w:numId="103" w16cid:durableId="633104604">
    <w:abstractNumId w:val="101"/>
  </w:num>
  <w:num w:numId="104" w16cid:durableId="2032296096">
    <w:abstractNumId w:val="107"/>
  </w:num>
  <w:num w:numId="105" w16cid:durableId="385371218">
    <w:abstractNumId w:val="84"/>
  </w:num>
  <w:num w:numId="106" w16cid:durableId="463473657">
    <w:abstractNumId w:val="97"/>
  </w:num>
  <w:num w:numId="107" w16cid:durableId="26955634">
    <w:abstractNumId w:val="116"/>
  </w:num>
  <w:num w:numId="108" w16cid:durableId="1088304730">
    <w:abstractNumId w:val="89"/>
  </w:num>
  <w:num w:numId="109" w16cid:durableId="2019962490">
    <w:abstractNumId w:val="95"/>
  </w:num>
  <w:num w:numId="110" w16cid:durableId="223491047">
    <w:abstractNumId w:val="115"/>
  </w:num>
  <w:num w:numId="111" w16cid:durableId="2063745614">
    <w:abstractNumId w:val="96"/>
  </w:num>
  <w:num w:numId="112" w16cid:durableId="1699162963">
    <w:abstractNumId w:val="75"/>
  </w:num>
  <w:num w:numId="113" w16cid:durableId="1415781061">
    <w:abstractNumId w:val="94"/>
  </w:num>
  <w:num w:numId="114" w16cid:durableId="644314211">
    <w:abstractNumId w:val="88"/>
  </w:num>
  <w:num w:numId="115" w16cid:durableId="1360005526">
    <w:abstractNumId w:val="102"/>
  </w:num>
  <w:num w:numId="116" w16cid:durableId="1835102743">
    <w:abstractNumId w:val="98"/>
  </w:num>
  <w:num w:numId="117" w16cid:durableId="742412191">
    <w:abstractNumId w:val="7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07"/>
    <w:rsid w:val="00002C2E"/>
    <w:rsid w:val="00002DF5"/>
    <w:rsid w:val="00006D1F"/>
    <w:rsid w:val="00016704"/>
    <w:rsid w:val="00017915"/>
    <w:rsid w:val="00033418"/>
    <w:rsid w:val="00037AAE"/>
    <w:rsid w:val="00043F64"/>
    <w:rsid w:val="00044436"/>
    <w:rsid w:val="00070D45"/>
    <w:rsid w:val="0007165D"/>
    <w:rsid w:val="000842F5"/>
    <w:rsid w:val="00091E84"/>
    <w:rsid w:val="000A08E6"/>
    <w:rsid w:val="000B35C9"/>
    <w:rsid w:val="000B57C8"/>
    <w:rsid w:val="000C4721"/>
    <w:rsid w:val="000D077E"/>
    <w:rsid w:val="000E3C62"/>
    <w:rsid w:val="000F768A"/>
    <w:rsid w:val="00103C54"/>
    <w:rsid w:val="00111123"/>
    <w:rsid w:val="00111ABA"/>
    <w:rsid w:val="00115E2E"/>
    <w:rsid w:val="0012627A"/>
    <w:rsid w:val="00126D36"/>
    <w:rsid w:val="00152F5A"/>
    <w:rsid w:val="00173486"/>
    <w:rsid w:val="00175704"/>
    <w:rsid w:val="00181CB7"/>
    <w:rsid w:val="001A1AC4"/>
    <w:rsid w:val="001A5010"/>
    <w:rsid w:val="001A703E"/>
    <w:rsid w:val="001B51E7"/>
    <w:rsid w:val="001C1573"/>
    <w:rsid w:val="001C177C"/>
    <w:rsid w:val="001C3B44"/>
    <w:rsid w:val="001C48BE"/>
    <w:rsid w:val="001D211F"/>
    <w:rsid w:val="001E261B"/>
    <w:rsid w:val="001E2D11"/>
    <w:rsid w:val="001E6940"/>
    <w:rsid w:val="001E6C4E"/>
    <w:rsid w:val="001E6F65"/>
    <w:rsid w:val="001F39C0"/>
    <w:rsid w:val="001F3FCE"/>
    <w:rsid w:val="001F6651"/>
    <w:rsid w:val="002107C4"/>
    <w:rsid w:val="00211933"/>
    <w:rsid w:val="002224CF"/>
    <w:rsid w:val="00223E2C"/>
    <w:rsid w:val="00232DA2"/>
    <w:rsid w:val="0024290F"/>
    <w:rsid w:val="00242F3C"/>
    <w:rsid w:val="00245D6D"/>
    <w:rsid w:val="00257A7A"/>
    <w:rsid w:val="00266E53"/>
    <w:rsid w:val="0028671E"/>
    <w:rsid w:val="00291795"/>
    <w:rsid w:val="002A2806"/>
    <w:rsid w:val="002E52F9"/>
    <w:rsid w:val="002F1076"/>
    <w:rsid w:val="00312C7B"/>
    <w:rsid w:val="00317DF6"/>
    <w:rsid w:val="00325D7B"/>
    <w:rsid w:val="00334878"/>
    <w:rsid w:val="00336C9F"/>
    <w:rsid w:val="0034385A"/>
    <w:rsid w:val="00345E04"/>
    <w:rsid w:val="00347E75"/>
    <w:rsid w:val="0036122C"/>
    <w:rsid w:val="003667B0"/>
    <w:rsid w:val="003776D8"/>
    <w:rsid w:val="003D6B9C"/>
    <w:rsid w:val="003E04BC"/>
    <w:rsid w:val="003F26A1"/>
    <w:rsid w:val="00400D03"/>
    <w:rsid w:val="00425412"/>
    <w:rsid w:val="00425C69"/>
    <w:rsid w:val="004272F4"/>
    <w:rsid w:val="00435194"/>
    <w:rsid w:val="00442B65"/>
    <w:rsid w:val="00470334"/>
    <w:rsid w:val="0047211B"/>
    <w:rsid w:val="00486669"/>
    <w:rsid w:val="004A4CDF"/>
    <w:rsid w:val="004A5830"/>
    <w:rsid w:val="004F1003"/>
    <w:rsid w:val="004F2B13"/>
    <w:rsid w:val="0053442B"/>
    <w:rsid w:val="00537200"/>
    <w:rsid w:val="0054729F"/>
    <w:rsid w:val="00551F4A"/>
    <w:rsid w:val="005660B9"/>
    <w:rsid w:val="0057262A"/>
    <w:rsid w:val="005836A8"/>
    <w:rsid w:val="005841D0"/>
    <w:rsid w:val="00591551"/>
    <w:rsid w:val="005A5759"/>
    <w:rsid w:val="005D11B5"/>
    <w:rsid w:val="005D5682"/>
    <w:rsid w:val="005E7606"/>
    <w:rsid w:val="005F7E0C"/>
    <w:rsid w:val="0061123E"/>
    <w:rsid w:val="00616F43"/>
    <w:rsid w:val="00622EE2"/>
    <w:rsid w:val="00626C03"/>
    <w:rsid w:val="00641801"/>
    <w:rsid w:val="0064722B"/>
    <w:rsid w:val="006472D8"/>
    <w:rsid w:val="00660670"/>
    <w:rsid w:val="006610FB"/>
    <w:rsid w:val="00661A90"/>
    <w:rsid w:val="006766E9"/>
    <w:rsid w:val="00677A4C"/>
    <w:rsid w:val="006807E8"/>
    <w:rsid w:val="0068101D"/>
    <w:rsid w:val="00686898"/>
    <w:rsid w:val="006C2985"/>
    <w:rsid w:val="006C6E9C"/>
    <w:rsid w:val="007000D2"/>
    <w:rsid w:val="00700FBE"/>
    <w:rsid w:val="00705CCF"/>
    <w:rsid w:val="00706890"/>
    <w:rsid w:val="00721DFD"/>
    <w:rsid w:val="007333AB"/>
    <w:rsid w:val="007469FC"/>
    <w:rsid w:val="00752105"/>
    <w:rsid w:val="007667A7"/>
    <w:rsid w:val="00766DC3"/>
    <w:rsid w:val="00775616"/>
    <w:rsid w:val="0078631E"/>
    <w:rsid w:val="00787CA0"/>
    <w:rsid w:val="007B6AF7"/>
    <w:rsid w:val="007C3CF0"/>
    <w:rsid w:val="007E2391"/>
    <w:rsid w:val="007E2988"/>
    <w:rsid w:val="007E6038"/>
    <w:rsid w:val="007F18C0"/>
    <w:rsid w:val="007F2292"/>
    <w:rsid w:val="0080258E"/>
    <w:rsid w:val="0080690C"/>
    <w:rsid w:val="00806ECF"/>
    <w:rsid w:val="008129EE"/>
    <w:rsid w:val="00821F17"/>
    <w:rsid w:val="008422A6"/>
    <w:rsid w:val="00864E9D"/>
    <w:rsid w:val="00875A58"/>
    <w:rsid w:val="00890FF1"/>
    <w:rsid w:val="00896494"/>
    <w:rsid w:val="008B0C22"/>
    <w:rsid w:val="008B1DA9"/>
    <w:rsid w:val="009106CE"/>
    <w:rsid w:val="009736BC"/>
    <w:rsid w:val="0097644C"/>
    <w:rsid w:val="0098274F"/>
    <w:rsid w:val="00986123"/>
    <w:rsid w:val="00997884"/>
    <w:rsid w:val="009A1D24"/>
    <w:rsid w:val="009A7EC8"/>
    <w:rsid w:val="009C7837"/>
    <w:rsid w:val="009F37E0"/>
    <w:rsid w:val="00A654BD"/>
    <w:rsid w:val="00A70342"/>
    <w:rsid w:val="00A807CA"/>
    <w:rsid w:val="00A95E75"/>
    <w:rsid w:val="00AA7310"/>
    <w:rsid w:val="00AA77A8"/>
    <w:rsid w:val="00AB0051"/>
    <w:rsid w:val="00AB5E6D"/>
    <w:rsid w:val="00AC0307"/>
    <w:rsid w:val="00AE2FC0"/>
    <w:rsid w:val="00B126DD"/>
    <w:rsid w:val="00B17E7F"/>
    <w:rsid w:val="00B205E5"/>
    <w:rsid w:val="00B53C9D"/>
    <w:rsid w:val="00B67E2C"/>
    <w:rsid w:val="00B740E0"/>
    <w:rsid w:val="00B76E5F"/>
    <w:rsid w:val="00B85B20"/>
    <w:rsid w:val="00B86052"/>
    <w:rsid w:val="00B9663C"/>
    <w:rsid w:val="00BA3816"/>
    <w:rsid w:val="00BA5A71"/>
    <w:rsid w:val="00BA7D60"/>
    <w:rsid w:val="00BB4A41"/>
    <w:rsid w:val="00BC0398"/>
    <w:rsid w:val="00BC26BB"/>
    <w:rsid w:val="00BC355C"/>
    <w:rsid w:val="00BD0956"/>
    <w:rsid w:val="00BD357D"/>
    <w:rsid w:val="00BD53D5"/>
    <w:rsid w:val="00BD63BE"/>
    <w:rsid w:val="00BD6E79"/>
    <w:rsid w:val="00BD773E"/>
    <w:rsid w:val="00BE66EE"/>
    <w:rsid w:val="00BF40AE"/>
    <w:rsid w:val="00C12FDA"/>
    <w:rsid w:val="00C20ADB"/>
    <w:rsid w:val="00C24983"/>
    <w:rsid w:val="00C260BB"/>
    <w:rsid w:val="00C32744"/>
    <w:rsid w:val="00C508F5"/>
    <w:rsid w:val="00C54691"/>
    <w:rsid w:val="00C65F73"/>
    <w:rsid w:val="00C71351"/>
    <w:rsid w:val="00C737C4"/>
    <w:rsid w:val="00C76995"/>
    <w:rsid w:val="00C810EC"/>
    <w:rsid w:val="00C82E84"/>
    <w:rsid w:val="00C926D0"/>
    <w:rsid w:val="00C942BC"/>
    <w:rsid w:val="00C96661"/>
    <w:rsid w:val="00C97E28"/>
    <w:rsid w:val="00CA1A23"/>
    <w:rsid w:val="00CA2CF1"/>
    <w:rsid w:val="00CA765E"/>
    <w:rsid w:val="00CD5085"/>
    <w:rsid w:val="00CF2694"/>
    <w:rsid w:val="00D1132C"/>
    <w:rsid w:val="00D16488"/>
    <w:rsid w:val="00D23DAC"/>
    <w:rsid w:val="00D32F6C"/>
    <w:rsid w:val="00D3603F"/>
    <w:rsid w:val="00D47767"/>
    <w:rsid w:val="00D50736"/>
    <w:rsid w:val="00D51DCB"/>
    <w:rsid w:val="00D5282B"/>
    <w:rsid w:val="00D75263"/>
    <w:rsid w:val="00DB00F3"/>
    <w:rsid w:val="00DB6C27"/>
    <w:rsid w:val="00DC3A69"/>
    <w:rsid w:val="00DD5FEA"/>
    <w:rsid w:val="00DE6B29"/>
    <w:rsid w:val="00E065C0"/>
    <w:rsid w:val="00E2303C"/>
    <w:rsid w:val="00E47368"/>
    <w:rsid w:val="00E6539C"/>
    <w:rsid w:val="00E73F60"/>
    <w:rsid w:val="00E7498F"/>
    <w:rsid w:val="00E85395"/>
    <w:rsid w:val="00EA07D1"/>
    <w:rsid w:val="00EB17A4"/>
    <w:rsid w:val="00EB4DDB"/>
    <w:rsid w:val="00EC1C77"/>
    <w:rsid w:val="00ED757D"/>
    <w:rsid w:val="00EE4742"/>
    <w:rsid w:val="00EE6BBF"/>
    <w:rsid w:val="00EF0145"/>
    <w:rsid w:val="00F04AFB"/>
    <w:rsid w:val="00F1308C"/>
    <w:rsid w:val="00F16211"/>
    <w:rsid w:val="00F370E2"/>
    <w:rsid w:val="00F449D1"/>
    <w:rsid w:val="00F515CD"/>
    <w:rsid w:val="00F54A90"/>
    <w:rsid w:val="00F71327"/>
    <w:rsid w:val="00F86BA1"/>
    <w:rsid w:val="00FB146F"/>
    <w:rsid w:val="00FC1178"/>
    <w:rsid w:val="00FD0CBC"/>
    <w:rsid w:val="00FD5D99"/>
    <w:rsid w:val="00FD7B97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43148"/>
  <w15:docId w15:val="{A9CCF86A-0B8B-4618-AEC2-2DA47373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123E"/>
    <w:pPr>
      <w:spacing w:before="120"/>
      <w:jc w:val="both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keepLines/>
      <w:pageBreakBefore/>
      <w:spacing w:before="240"/>
      <w:outlineLvl w:val="0"/>
    </w:pPr>
    <w:rPr>
      <w:rFonts w:eastAsia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locked/>
    <w:pPr>
      <w:tabs>
        <w:tab w:val="num" w:pos="737"/>
      </w:tabs>
      <w:spacing w:line="288" w:lineRule="auto"/>
      <w:ind w:left="737" w:hanging="737"/>
      <w:outlineLvl w:val="3"/>
    </w:pPr>
    <w:rPr>
      <w:rFonts w:ascii="Arial" w:hAnsi="Arial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VOBody">
    <w:name w:val="EVO Body"/>
    <w:basedOn w:val="Normln"/>
    <w:link w:val="EVOBody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10800"/>
      </w:tabs>
      <w:overflowPunct w:val="0"/>
      <w:autoSpaceDE w:val="0"/>
      <w:autoSpaceDN w:val="0"/>
      <w:adjustRightInd w:val="0"/>
      <w:spacing w:before="80" w:after="80"/>
      <w:jc w:val="left"/>
      <w:textAlignment w:val="baseline"/>
    </w:pPr>
    <w:rPr>
      <w:rFonts w:ascii="Arial" w:eastAsia="Calibri" w:hAnsi="Arial" w:cs="Arial"/>
      <w:noProof/>
      <w:color w:val="000000"/>
      <w:lang w:val="en-US"/>
    </w:rPr>
  </w:style>
  <w:style w:type="character" w:customStyle="1" w:styleId="EVOBodyChar">
    <w:name w:val="EVO Body Char"/>
    <w:basedOn w:val="Standardnpsmoodstavce"/>
    <w:link w:val="EVOBody"/>
    <w:locked/>
    <w:rPr>
      <w:rFonts w:ascii="Arial" w:hAnsi="Arial" w:cs="Arial"/>
      <w:noProof/>
      <w:color w:val="000000"/>
      <w:lang w:val="en-US"/>
    </w:rPr>
  </w:style>
  <w:style w:type="paragraph" w:customStyle="1" w:styleId="NumberText">
    <w:name w:val="Number Text"/>
    <w:basedOn w:val="Normln"/>
    <w:pPr>
      <w:numPr>
        <w:numId w:val="1"/>
      </w:numPr>
      <w:spacing w:before="0"/>
      <w:jc w:val="left"/>
    </w:pPr>
    <w:rPr>
      <w:rFonts w:ascii="Microsoft Sans Serif" w:eastAsia="Calibri" w:hAnsi="Microsoft Sans Serif"/>
      <w:sz w:val="24"/>
      <w:szCs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lientName">
    <w:name w:val="Client Name"/>
    <w:basedOn w:val="Nadpis2"/>
    <w:pPr>
      <w:keepLines w:val="0"/>
      <w:spacing w:before="0" w:after="120"/>
      <w:jc w:val="center"/>
    </w:pPr>
    <w:rPr>
      <w:rFonts w:ascii="Arial" w:eastAsia="MS Mincho" w:hAnsi="Arial" w:cs="Arial"/>
      <w:color w:val="auto"/>
      <w:spacing w:val="10"/>
      <w:sz w:val="48"/>
      <w:szCs w:val="24"/>
    </w:rPr>
  </w:style>
  <w:style w:type="character" w:customStyle="1" w:styleId="Nadpis2Char">
    <w:name w:val="Nadpis 2 Char"/>
    <w:basedOn w:val="Standardnpsmoodstavce"/>
    <w:link w:val="Nadpis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paragraph" w:styleId="Textbubliny">
    <w:name w:val="Balloon Text"/>
    <w:basedOn w:val="Normln"/>
    <w:link w:val="TextbublinyChar"/>
    <w:semiHidden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locked/>
    <w:rPr>
      <w:b/>
      <w:bCs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pPr>
      <w:spacing w:before="0"/>
      <w:jc w:val="left"/>
    </w:pPr>
    <w:rPr>
      <w:rFonts w:ascii="Times New Roman" w:eastAsia="Calibri" w:hAnsi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Pr>
      <w:rFonts w:ascii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semiHidden/>
    <w:rPr>
      <w:rFonts w:cs="Times New Roman"/>
      <w:vertAlign w:val="superscript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/>
      </w:pBdr>
      <w:spacing w:before="0" w:after="300"/>
      <w:contextualSpacing/>
    </w:pPr>
    <w:rPr>
      <w:rFonts w:eastAsia="Calibri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locked/>
    <w:rPr>
      <w:spacing w:val="5"/>
      <w:kern w:val="28"/>
      <w:sz w:val="40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semiHidden/>
    <w:locked/>
    <w:rPr>
      <w:rFonts w:ascii="Cambria" w:hAnsi="Cambria" w:cs="Times New Roman"/>
      <w:b/>
      <w:bCs/>
      <w:color w:val="4F81BD"/>
    </w:rPr>
  </w:style>
  <w:style w:type="paragraph" w:styleId="Obsah1">
    <w:name w:val="toc 1"/>
    <w:basedOn w:val="Normln"/>
    <w:next w:val="Normln"/>
    <w:autoRedefine/>
    <w:uiPriority w:val="39"/>
    <w:pPr>
      <w:spacing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pPr>
      <w:spacing w:before="0"/>
      <w:ind w:left="22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pPr>
      <w:spacing w:before="0"/>
      <w:ind w:left="44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pPr>
      <w:spacing w:before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pPr>
      <w:spacing w:before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pPr>
      <w:spacing w:before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pPr>
      <w:spacing w:before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pPr>
      <w:spacing w:before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pPr>
      <w:spacing w:before="0"/>
      <w:ind w:left="1760"/>
      <w:jc w:val="left"/>
    </w:pPr>
    <w:rPr>
      <w:sz w:val="18"/>
      <w:szCs w:val="18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Tab. příloha - Titulek,Titulek Tab.,Caption,Tabulka"/>
    <w:basedOn w:val="Normln"/>
    <w:next w:val="Normln"/>
    <w:link w:val="TitulekChar"/>
    <w:uiPriority w:val="1"/>
    <w:qFormat/>
    <w:pPr>
      <w:spacing w:before="0" w:after="200"/>
    </w:pPr>
    <w:rPr>
      <w:b/>
      <w:bCs/>
      <w:sz w:val="18"/>
      <w:szCs w:val="18"/>
    </w:rPr>
  </w:style>
  <w:style w:type="character" w:styleId="Odkaznakoment">
    <w:name w:val="annotation reference"/>
    <w:basedOn w:val="Standardnpsmoodstavce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Pr>
      <w:rFonts w:cs="Times New Roman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Pr>
      <w:rFonts w:ascii="Arial" w:eastAsia="Times New Roman" w:hAnsi="Arial"/>
      <w:bCs/>
      <w:sz w:val="22"/>
      <w:szCs w:val="28"/>
    </w:rPr>
  </w:style>
  <w:style w:type="character" w:styleId="slostrnky">
    <w:name w:val="page number"/>
    <w:basedOn w:val="Standardnpsmoodstavce"/>
    <w:semiHidden/>
    <w:rPr>
      <w:rFonts w:ascii="Arial" w:hAnsi="Arial"/>
      <w:sz w:val="22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Bullet Number,lp1,lp11,List Paragraph11,Use Case List Paragraph"/>
    <w:basedOn w:val="Normln"/>
    <w:link w:val="OdstavecseseznamemChar"/>
    <w:uiPriority w:val="34"/>
    <w:qFormat/>
    <w:rsid w:val="00766DC3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Bullet Number Char,lp1 Char"/>
    <w:basedOn w:val="Standardnpsmoodstavce"/>
    <w:link w:val="Odstavecseseznamem"/>
    <w:uiPriority w:val="34"/>
    <w:qFormat/>
    <w:locked/>
    <w:rsid w:val="004272F4"/>
    <w:rPr>
      <w:rFonts w:eastAsia="Times New Roman"/>
      <w:sz w:val="22"/>
      <w:szCs w:val="22"/>
      <w:lang w:eastAsia="en-US"/>
    </w:rPr>
  </w:style>
  <w:style w:type="paragraph" w:customStyle="1" w:styleId="PlohaNadpis1">
    <w:name w:val="Příloha Nadpis 1"/>
    <w:basedOn w:val="Plohaslo"/>
    <w:uiPriority w:val="3"/>
    <w:qFormat/>
    <w:rsid w:val="002107C4"/>
    <w:pPr>
      <w:pageBreakBefore w:val="0"/>
      <w:spacing w:before="240" w:after="120"/>
      <w:ind w:left="397" w:hanging="397"/>
    </w:pPr>
    <w:rPr>
      <w:color w:val="4BACC6" w:themeColor="accent5"/>
      <w:szCs w:val="28"/>
    </w:rPr>
  </w:style>
  <w:style w:type="paragraph" w:customStyle="1" w:styleId="Plohaslo">
    <w:name w:val="Příloha číslo"/>
    <w:basedOn w:val="Nadpis1"/>
    <w:next w:val="Normln"/>
    <w:uiPriority w:val="3"/>
    <w:qFormat/>
    <w:rsid w:val="002107C4"/>
    <w:pPr>
      <w:keepLines w:val="0"/>
      <w:spacing w:before="0" w:after="60" w:line="240" w:lineRule="atLeast"/>
      <w:jc w:val="left"/>
    </w:pPr>
    <w:rPr>
      <w:rFonts w:ascii="Arial" w:eastAsia="Times New Roman" w:hAnsi="Arial" w:cs="Arial"/>
      <w:caps/>
      <w:color w:val="4F81BD" w:themeColor="accent1"/>
      <w:kern w:val="32"/>
      <w:sz w:val="24"/>
      <w:szCs w:val="24"/>
      <w:lang w:eastAsia="cs-CZ"/>
    </w:rPr>
  </w:style>
  <w:style w:type="paragraph" w:customStyle="1" w:styleId="PlohaNadpis2">
    <w:name w:val="Příloha Nadpis 2"/>
    <w:basedOn w:val="PlohaNadpis1"/>
    <w:link w:val="PlohaNadpis2Char"/>
    <w:uiPriority w:val="3"/>
    <w:qFormat/>
    <w:rsid w:val="002107C4"/>
    <w:pPr>
      <w:spacing w:after="60"/>
      <w:ind w:left="567" w:hanging="567"/>
    </w:pPr>
    <w:rPr>
      <w:color w:val="C0504D" w:themeColor="accent2"/>
    </w:rPr>
  </w:style>
  <w:style w:type="paragraph" w:customStyle="1" w:styleId="Podnadpistext">
    <w:name w:val="Podnadpis_text"/>
    <w:basedOn w:val="Normln"/>
    <w:link w:val="PodnadpistextChar"/>
    <w:qFormat/>
    <w:rsid w:val="002107C4"/>
    <w:pPr>
      <w:keepNext/>
      <w:spacing w:before="300" w:line="240" w:lineRule="atLeast"/>
      <w:jc w:val="left"/>
    </w:pPr>
    <w:rPr>
      <w:rFonts w:ascii="Arial" w:hAnsi="Arial"/>
      <w:b/>
      <w:color w:val="C0504D" w:themeColor="accent2"/>
      <w:szCs w:val="24"/>
      <w:lang w:eastAsia="cs-CZ"/>
    </w:rPr>
  </w:style>
  <w:style w:type="character" w:customStyle="1" w:styleId="PodnadpistextChar">
    <w:name w:val="Podnadpis_text Char"/>
    <w:basedOn w:val="Standardnpsmoodstavce"/>
    <w:link w:val="Podnadpistext"/>
    <w:rsid w:val="002107C4"/>
    <w:rPr>
      <w:rFonts w:ascii="Arial" w:eastAsia="Times New Roman" w:hAnsi="Arial"/>
      <w:b/>
      <w:color w:val="C0504D" w:themeColor="accent2"/>
      <w:sz w:val="22"/>
      <w:szCs w:val="24"/>
    </w:rPr>
  </w:style>
  <w:style w:type="character" w:customStyle="1" w:styleId="PlohaNadpis2Char">
    <w:name w:val="Příloha Nadpis 2 Char"/>
    <w:basedOn w:val="Standardnpsmoodstavce"/>
    <w:link w:val="PlohaNadpis2"/>
    <w:uiPriority w:val="3"/>
    <w:locked/>
    <w:rsid w:val="002107C4"/>
    <w:rPr>
      <w:rFonts w:ascii="Arial" w:eastAsia="Times New Roman" w:hAnsi="Arial" w:cs="Arial"/>
      <w:b/>
      <w:bCs/>
      <w:caps/>
      <w:color w:val="C0504D" w:themeColor="accent2"/>
      <w:kern w:val="32"/>
      <w:sz w:val="24"/>
      <w:szCs w:val="28"/>
    </w:rPr>
  </w:style>
  <w:style w:type="paragraph" w:customStyle="1" w:styleId="Tabtext">
    <w:name w:val="Tab. text"/>
    <w:basedOn w:val="Normln"/>
    <w:link w:val="TabtextChar"/>
    <w:uiPriority w:val="1"/>
    <w:qFormat/>
    <w:rsid w:val="002107C4"/>
    <w:pPr>
      <w:autoSpaceDE w:val="0"/>
      <w:autoSpaceDN w:val="0"/>
      <w:adjustRightInd w:val="0"/>
      <w:spacing w:before="0" w:line="240" w:lineRule="atLeast"/>
      <w:jc w:val="center"/>
    </w:pPr>
    <w:rPr>
      <w:rFonts w:ascii="Arial" w:hAnsi="Arial" w:cs="Arial"/>
      <w:sz w:val="18"/>
      <w:szCs w:val="24"/>
    </w:rPr>
  </w:style>
  <w:style w:type="paragraph" w:styleId="Bezmezer">
    <w:name w:val="No Spacing"/>
    <w:aliases w:val="Odst. bez mezer"/>
    <w:uiPriority w:val="1"/>
    <w:qFormat/>
    <w:rsid w:val="002107C4"/>
    <w:pPr>
      <w:jc w:val="both"/>
    </w:pPr>
    <w:rPr>
      <w:rFonts w:ascii="Arial" w:eastAsia="Times New Roman" w:hAnsi="Arial"/>
      <w:sz w:val="22"/>
      <w:szCs w:val="24"/>
    </w:rPr>
  </w:style>
  <w:style w:type="table" w:customStyle="1" w:styleId="ENESA">
    <w:name w:val="ENESA"/>
    <w:basedOn w:val="Normlntabulka"/>
    <w:uiPriority w:val="63"/>
    <w:rsid w:val="002107C4"/>
    <w:pPr>
      <w:jc w:val="center"/>
    </w:pPr>
    <w:rPr>
      <w:rFonts w:ascii="Arial" w:eastAsia="Times New Roman" w:hAnsi="Arial"/>
      <w:sz w:val="18"/>
    </w:rPr>
    <w:tblPr>
      <w:tblStyleRowBandSize w:val="1"/>
      <w:tblStyleColBandSize w:val="1"/>
      <w:tblInd w:w="-28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V w:val="single" w:sz="4" w:space="0" w:color="4F81BD" w:themeColor="accen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  <w:jc w:val="center"/>
      </w:pPr>
      <w:rPr>
        <w:rFonts w:ascii="Arial" w:hAnsi="Arial"/>
        <w:b/>
        <w:bCs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4F81BD" w:themeFill="accent1"/>
      </w:tcPr>
    </w:tblStylePr>
    <w:tblStylePr w:type="firstCol">
      <w:rPr>
        <w:rFonts w:ascii="Arial" w:hAnsi="Arial"/>
        <w:b/>
        <w:bCs/>
        <w:color w:val="auto"/>
        <w:sz w:val="18"/>
      </w:rPr>
    </w:tblStylePr>
    <w:tblStylePr w:type="lastCol">
      <w:rPr>
        <w:rFonts w:ascii="Arial" w:hAnsi="Arial"/>
        <w:b/>
        <w:bCs/>
        <w:color w:val="auto"/>
        <w:sz w:val="18"/>
      </w:rPr>
    </w:tblStylePr>
    <w:tblStylePr w:type="band1Vert">
      <w:tblPr/>
      <w:tcPr>
        <w:shd w:val="clear" w:color="auto" w:fill="8064A2" w:themeFill="accent4"/>
      </w:tcPr>
    </w:tblStylePr>
    <w:tblStylePr w:type="band1Horz">
      <w:tblPr/>
      <w:tcPr>
        <w:shd w:val="clear" w:color="auto" w:fill="8064A2" w:themeFill="accent4"/>
      </w:tcPr>
    </w:tblStylePr>
    <w:tblStylePr w:type="band2Horz">
      <w:rPr>
        <w:rFonts w:ascii="Arial" w:hAnsi="Arial"/>
      </w:rPr>
      <w:tblPr/>
      <w:tcPr>
        <w:tcBorders>
          <w:insideH w:val="nil"/>
          <w:insideV w:val="single" w:sz="4" w:space="0" w:color="4F81BD" w:themeColor="accent1"/>
        </w:tcBorders>
      </w:tcPr>
    </w:tblStylePr>
  </w:style>
  <w:style w:type="character" w:customStyle="1" w:styleId="TabtextChar">
    <w:name w:val="Tab. text Char"/>
    <w:basedOn w:val="Standardnpsmoodstavce"/>
    <w:link w:val="Tabtext"/>
    <w:uiPriority w:val="1"/>
    <w:rsid w:val="002107C4"/>
    <w:rPr>
      <w:rFonts w:ascii="Arial" w:eastAsia="Times New Roman" w:hAnsi="Arial" w:cs="Arial"/>
      <w:sz w:val="18"/>
      <w:szCs w:val="24"/>
      <w:lang w:eastAsia="en-US"/>
    </w:rPr>
  </w:style>
  <w:style w:type="paragraph" w:customStyle="1" w:styleId="Obrtitulek">
    <w:name w:val="Obr. titulek"/>
    <w:basedOn w:val="Normln"/>
    <w:uiPriority w:val="1"/>
    <w:qFormat/>
    <w:rsid w:val="002107C4"/>
    <w:pPr>
      <w:keepNext/>
      <w:numPr>
        <w:numId w:val="109"/>
      </w:numPr>
      <w:spacing w:before="240" w:after="60" w:line="240" w:lineRule="atLeast"/>
    </w:pPr>
    <w:rPr>
      <w:rFonts w:ascii="Arial" w:eastAsia="Arial" w:hAnsi="Arial" w:cs="Arial"/>
      <w:b/>
      <w:bCs/>
      <w:sz w:val="20"/>
      <w:szCs w:val="20"/>
      <w:lang w:eastAsia="cs-CZ"/>
    </w:rPr>
  </w:style>
  <w:style w:type="character" w:customStyle="1" w:styleId="TitulekChar">
    <w:name w:val="Titulek Char"/>
    <w:aliases w:val="Tab. příloha - Titulek Char,Titulek Tab. Char,Caption Char,Tabulka Char"/>
    <w:basedOn w:val="Standardnpsmoodstavce"/>
    <w:link w:val="Titulek"/>
    <w:uiPriority w:val="1"/>
    <w:rsid w:val="002107C4"/>
    <w:rPr>
      <w:rFonts w:eastAsia="Times New Roman"/>
      <w:b/>
      <w:bCs/>
      <w:sz w:val="18"/>
      <w:szCs w:val="18"/>
      <w:lang w:eastAsia="en-US"/>
    </w:rPr>
  </w:style>
  <w:style w:type="paragraph" w:customStyle="1" w:styleId="MainText">
    <w:name w:val="Main Text"/>
    <w:basedOn w:val="Normln"/>
    <w:link w:val="MainTextChar"/>
    <w:uiPriority w:val="99"/>
    <w:qFormat/>
    <w:rsid w:val="00E85395"/>
    <w:pPr>
      <w:spacing w:before="240"/>
    </w:pPr>
    <w:rPr>
      <w:rFonts w:ascii="Verdana" w:eastAsia="MS Mincho" w:hAnsi="Verdana"/>
      <w:sz w:val="18"/>
      <w:szCs w:val="24"/>
    </w:rPr>
  </w:style>
  <w:style w:type="character" w:customStyle="1" w:styleId="MainTextChar">
    <w:name w:val="Main Text Char"/>
    <w:link w:val="MainText"/>
    <w:uiPriority w:val="99"/>
    <w:qFormat/>
    <w:locked/>
    <w:rsid w:val="00E85395"/>
    <w:rPr>
      <w:rFonts w:ascii="Verdana" w:eastAsia="MS Mincho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755F-5E74-4420-A758-D10A9DED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3695</Words>
  <Characters>21806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 ke smlouvě o poskytování energetických služeb se zaručeným výsledkem</vt:lpstr>
    </vt:vector>
  </TitlesOfParts>
  <Company>Enviros s.r.o.</Company>
  <LinksUpToDate>false</LinksUpToDate>
  <CharactersWithSpaces>25451</CharactersWithSpaces>
  <SharedDoc>false</SharedDoc>
  <HLinks>
    <vt:vector size="66" baseType="variant">
      <vt:variant>
        <vt:i4>4718676</vt:i4>
      </vt:variant>
      <vt:variant>
        <vt:i4>72</vt:i4>
      </vt:variant>
      <vt:variant>
        <vt:i4>0</vt:i4>
      </vt:variant>
      <vt:variant>
        <vt:i4>5</vt:i4>
      </vt:variant>
      <vt:variant>
        <vt:lpwstr>http://www.evo-world.org/</vt:lpwstr>
      </vt:variant>
      <vt:variant>
        <vt:lpwstr/>
      </vt:variant>
      <vt:variant>
        <vt:i4>4718676</vt:i4>
      </vt:variant>
      <vt:variant>
        <vt:i4>57</vt:i4>
      </vt:variant>
      <vt:variant>
        <vt:i4>0</vt:i4>
      </vt:variant>
      <vt:variant>
        <vt:i4>5</vt:i4>
      </vt:variant>
      <vt:variant>
        <vt:lpwstr>http://www.evo-world.org/</vt:lpwstr>
      </vt:variant>
      <vt:variant>
        <vt:lpwstr/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_Toc341474546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_Toc341474545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_Toc341474544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_Toc341474543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_Toc341474542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_Toc341474541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_Toc341474540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_Toc341474539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_Toc341474538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 ke smlouvě o poskytování energetických služeb se zaručeným výsledkem</dc:title>
  <dc:creator>Enviros</dc:creator>
  <cp:lastModifiedBy>Dobosz Jakub</cp:lastModifiedBy>
  <cp:revision>4</cp:revision>
  <cp:lastPrinted>2024-01-05T10:21:00Z</cp:lastPrinted>
  <dcterms:created xsi:type="dcterms:W3CDTF">2024-02-01T13:05:00Z</dcterms:created>
  <dcterms:modified xsi:type="dcterms:W3CDTF">2024-02-01T13:18:00Z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      </vt:lpwstr>
  </property>
  <property fmtid="{D5CDD505-2E9C-101B-9397-08002B2CF9AE}" pid="5" name="MSIP_Label_b898a471-9e43-4cb8-a790-ab6bd20b8192_Enabled">
    <vt:lpwstr>true</vt:lpwstr>
  </property>
  <property fmtid="{D5CDD505-2E9C-101B-9397-08002B2CF9AE}" pid="6" name="MSIP_Label_b898a471-9e43-4cb8-a790-ab6bd20b8192_SetDate">
    <vt:lpwstr>2022-08-08T11:43:19Z</vt:lpwstr>
  </property>
  <property fmtid="{D5CDD505-2E9C-101B-9397-08002B2CF9AE}" pid="7" name="MSIP_Label_b898a471-9e43-4cb8-a790-ab6bd20b8192_Method">
    <vt:lpwstr>Privileged</vt:lpwstr>
  </property>
  <property fmtid="{D5CDD505-2E9C-101B-9397-08002B2CF9AE}" pid="8" name="MSIP_Label_b898a471-9e43-4cb8-a790-ab6bd20b8192_Name">
    <vt:lpwstr>Interní</vt:lpwstr>
  </property>
  <property fmtid="{D5CDD505-2E9C-101B-9397-08002B2CF9AE}" pid="9" name="MSIP_Label_b898a471-9e43-4cb8-a790-ab6bd20b8192_SiteId">
    <vt:lpwstr>65afc824-f110-42ab-8a83-247c89d0eed8</vt:lpwstr>
  </property>
  <property fmtid="{D5CDD505-2E9C-101B-9397-08002B2CF9AE}" pid="10" name="MSIP_Label_b898a471-9e43-4cb8-a790-ab6bd20b8192_ActionId">
    <vt:lpwstr>f17be23b-801d-484e-b1ef-de05f0856e7f</vt:lpwstr>
  </property>
  <property fmtid="{D5CDD505-2E9C-101B-9397-08002B2CF9AE}" pid="11" name="MSIP_Label_b898a471-9e43-4cb8-a790-ab6bd20b8192_ContentBits">
    <vt:lpwstr>1</vt:lpwstr>
  </property>
</Properties>
</file>