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7221400031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město</w:t>
      </w:r>
      <w:r>
        <w:rPr>
          <w:spacing w:val="-7"/>
        </w:rPr>
        <w:t> </w:t>
      </w:r>
      <w:r>
        <w:rPr>
          <w:spacing w:val="-2"/>
        </w:rPr>
        <w:t>Dobříš</w:t>
      </w:r>
    </w:p>
    <w:p>
      <w:pPr>
        <w:pStyle w:val="BodyText"/>
        <w:tabs>
          <w:tab w:pos="2982" w:val="left" w:leader="none"/>
        </w:tabs>
        <w:ind w:left="102" w:right="1664"/>
      </w:pPr>
      <w:r>
        <w:rPr/>
        <w:t>kontaktní adresa:</w:t>
        <w:tab/>
        <w:t>Městský</w:t>
      </w:r>
      <w:r>
        <w:rPr>
          <w:spacing w:val="-6"/>
        </w:rPr>
        <w:t> </w:t>
      </w:r>
      <w:r>
        <w:rPr/>
        <w:t>úřad</w:t>
      </w:r>
      <w:r>
        <w:rPr>
          <w:spacing w:val="-5"/>
        </w:rPr>
        <w:t> </w:t>
      </w:r>
      <w:r>
        <w:rPr/>
        <w:t>Dobříš,</w:t>
      </w:r>
      <w:r>
        <w:rPr>
          <w:spacing w:val="-5"/>
        </w:rPr>
        <w:t> </w:t>
      </w:r>
      <w:r>
        <w:rPr/>
        <w:t>Mírové</w:t>
      </w:r>
      <w:r>
        <w:rPr>
          <w:spacing w:val="-6"/>
        </w:rPr>
        <w:t> </w:t>
      </w:r>
      <w:r>
        <w:rPr/>
        <w:t>náměstí</w:t>
      </w:r>
      <w:r>
        <w:rPr>
          <w:spacing w:val="-4"/>
        </w:rPr>
        <w:t> </w:t>
      </w:r>
      <w:r>
        <w:rPr/>
        <w:t>119,</w:t>
      </w:r>
      <w:r>
        <w:rPr>
          <w:spacing w:val="-6"/>
        </w:rPr>
        <w:t> </w:t>
      </w:r>
      <w:r>
        <w:rPr/>
        <w:t>263</w:t>
      </w:r>
      <w:r>
        <w:rPr>
          <w:spacing w:val="-4"/>
        </w:rPr>
        <w:t> </w:t>
      </w:r>
      <w:r>
        <w:rPr/>
        <w:t>01</w:t>
      </w:r>
      <w:r>
        <w:rPr>
          <w:spacing w:val="-4"/>
        </w:rPr>
        <w:t> </w:t>
      </w:r>
      <w:r>
        <w:rPr/>
        <w:t>Dobříš </w:t>
      </w:r>
      <w:r>
        <w:rPr>
          <w:spacing w:val="-4"/>
        </w:rPr>
        <w:t>IČO:</w:t>
      </w:r>
      <w:r>
        <w:rPr/>
        <w:tab/>
      </w:r>
      <w:r>
        <w:rPr>
          <w:spacing w:val="-2"/>
        </w:rPr>
        <w:t>00242098</w:t>
      </w:r>
    </w:p>
    <w:p>
      <w:pPr>
        <w:pStyle w:val="BodyText"/>
        <w:tabs>
          <w:tab w:pos="2982" w:val="left" w:leader="none"/>
        </w:tabs>
        <w:spacing w:line="265" w:lineRule="exact"/>
        <w:ind w:left="102"/>
      </w:pPr>
      <w:r>
        <w:rPr>
          <w:spacing w:val="-2"/>
        </w:rPr>
        <w:t>zastoupené:</w:t>
      </w:r>
      <w:r>
        <w:rPr/>
        <w:tab/>
        <w:t>Ing.</w:t>
      </w:r>
      <w:r>
        <w:rPr>
          <w:spacing w:val="-3"/>
        </w:rPr>
        <w:t> </w:t>
      </w:r>
      <w:r>
        <w:rPr/>
        <w:t>Pavlem</w:t>
      </w:r>
      <w:r>
        <w:rPr>
          <w:spacing w:val="-4"/>
        </w:rPr>
        <w:t> </w:t>
      </w:r>
      <w:r>
        <w:rPr/>
        <w:t>S</w:t>
      </w:r>
      <w:r>
        <w:rPr>
          <w:spacing w:val="-1"/>
        </w:rPr>
        <w:t> </w:t>
      </w:r>
      <w:r>
        <w:rPr/>
        <w:t>v</w:t>
      </w:r>
      <w:r>
        <w:rPr>
          <w:spacing w:val="-1"/>
        </w:rPr>
        <w:t> </w:t>
      </w:r>
      <w:r>
        <w:rPr/>
        <w:t>o</w:t>
      </w:r>
      <w:r>
        <w:rPr>
          <w:spacing w:val="-2"/>
        </w:rPr>
        <w:t> </w:t>
      </w:r>
      <w:r>
        <w:rPr/>
        <w:t>b</w:t>
      </w:r>
      <w:r>
        <w:rPr>
          <w:spacing w:val="-2"/>
        </w:rPr>
        <w:t> </w:t>
      </w:r>
      <w:r>
        <w:rPr/>
        <w:t>o</w:t>
      </w:r>
      <w:r>
        <w:rPr>
          <w:spacing w:val="-2"/>
        </w:rPr>
        <w:t> </w:t>
      </w:r>
      <w:r>
        <w:rPr/>
        <w:t>d</w:t>
      </w:r>
      <w:r>
        <w:rPr>
          <w:spacing w:val="-2"/>
        </w:rPr>
        <w:t> </w:t>
      </w:r>
      <w:r>
        <w:rPr/>
        <w:t>o</w:t>
      </w:r>
      <w:r>
        <w:rPr>
          <w:spacing w:val="-3"/>
        </w:rPr>
        <w:t> </w:t>
      </w:r>
      <w:r>
        <w:rPr/>
        <w:t>u,</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94-6218211/0710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7221400031 o poskytnutí finančních prostředků ze Státního fondu životního prostředí ČR ze dne 23.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045"/>
        <w:jc w:val="both"/>
      </w:pPr>
      <w:r>
        <w:rPr/>
        <w:t>„Instalace</w:t>
      </w:r>
      <w:r>
        <w:rPr>
          <w:spacing w:val="-8"/>
        </w:rPr>
        <w:t> </w:t>
      </w:r>
      <w:r>
        <w:rPr/>
        <w:t>sdružené</w:t>
      </w:r>
      <w:r>
        <w:rPr>
          <w:spacing w:val="-8"/>
        </w:rPr>
        <w:t> </w:t>
      </w:r>
      <w:r>
        <w:rPr/>
        <w:t>fotovoltaické</w:t>
      </w:r>
      <w:r>
        <w:rPr>
          <w:spacing w:val="-9"/>
        </w:rPr>
        <w:t> </w:t>
      </w:r>
      <w:r>
        <w:rPr/>
        <w:t>elektrárny</w:t>
      </w:r>
      <w:r>
        <w:rPr>
          <w:spacing w:val="-7"/>
        </w:rPr>
        <w:t> </w:t>
      </w:r>
      <w:r>
        <w:rPr/>
        <w:t>na</w:t>
      </w:r>
      <w:r>
        <w:rPr>
          <w:spacing w:val="-6"/>
        </w:rPr>
        <w:t> </w:t>
      </w:r>
      <w:r>
        <w:rPr/>
        <w:t>budovy</w:t>
      </w:r>
      <w:r>
        <w:rPr>
          <w:spacing w:val="-8"/>
        </w:rPr>
        <w:t> </w:t>
      </w:r>
      <w:r>
        <w:rPr/>
        <w:t>ve</w:t>
      </w:r>
      <w:r>
        <w:rPr>
          <w:spacing w:val="-7"/>
        </w:rPr>
        <w:t> </w:t>
      </w:r>
      <w:r>
        <w:rPr/>
        <w:t>správě</w:t>
      </w:r>
      <w:r>
        <w:rPr>
          <w:spacing w:val="-6"/>
        </w:rPr>
        <w:t> </w:t>
      </w:r>
      <w:r>
        <w:rPr/>
        <w:t>města</w:t>
      </w:r>
      <w:r>
        <w:rPr>
          <w:spacing w:val="-8"/>
        </w:rPr>
        <w:t> </w:t>
      </w:r>
      <w:r>
        <w:rPr>
          <w:spacing w:val="-2"/>
        </w:rPr>
        <w:t>Dobříš“</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4"/>
          <w:sz w:val="20"/>
        </w:rPr>
        <w:t> </w:t>
      </w:r>
      <w:r>
        <w:rPr>
          <w:sz w:val="20"/>
        </w:rPr>
        <w:t>dotace</w:t>
      </w:r>
      <w:r>
        <w:rPr>
          <w:spacing w:val="-4"/>
          <w:sz w:val="20"/>
        </w:rPr>
        <w:t> </w:t>
      </w:r>
      <w:r>
        <w:rPr>
          <w:sz w:val="20"/>
        </w:rPr>
        <w:t>ve</w:t>
      </w:r>
      <w:r>
        <w:rPr>
          <w:spacing w:val="-5"/>
          <w:sz w:val="20"/>
        </w:rPr>
        <w:t> </w:t>
      </w:r>
      <w:r>
        <w:rPr>
          <w:sz w:val="20"/>
        </w:rPr>
        <w:t>výši</w:t>
      </w:r>
      <w:r>
        <w:rPr>
          <w:spacing w:val="-4"/>
          <w:sz w:val="20"/>
        </w:rPr>
        <w:t> </w:t>
      </w:r>
      <w:r>
        <w:rPr>
          <w:b/>
          <w:sz w:val="20"/>
        </w:rPr>
        <w:t>8</w:t>
      </w:r>
      <w:r>
        <w:rPr>
          <w:b/>
          <w:spacing w:val="-2"/>
          <w:sz w:val="20"/>
        </w:rPr>
        <w:t> </w:t>
      </w:r>
      <w:r>
        <w:rPr>
          <w:b/>
          <w:sz w:val="20"/>
        </w:rPr>
        <w:t>449</w:t>
      </w:r>
      <w:r>
        <w:rPr>
          <w:b/>
          <w:spacing w:val="-2"/>
          <w:sz w:val="20"/>
        </w:rPr>
        <w:t> </w:t>
      </w:r>
      <w:r>
        <w:rPr>
          <w:b/>
          <w:sz w:val="20"/>
        </w:rPr>
        <w:t>803,00</w:t>
      </w:r>
      <w:r>
        <w:rPr>
          <w:b/>
          <w:spacing w:val="-4"/>
          <w:sz w:val="20"/>
        </w:rPr>
        <w:t> </w:t>
      </w:r>
      <w:r>
        <w:rPr>
          <w:b/>
          <w:sz w:val="20"/>
        </w:rPr>
        <w:t>Kč</w:t>
      </w:r>
      <w:r>
        <w:rPr>
          <w:b/>
          <w:spacing w:val="-4"/>
          <w:sz w:val="20"/>
        </w:rPr>
        <w:t> </w:t>
      </w:r>
      <w:r>
        <w:rPr>
          <w:sz w:val="20"/>
        </w:rPr>
        <w:t>(slovy:</w:t>
      </w:r>
      <w:r>
        <w:rPr>
          <w:spacing w:val="-3"/>
          <w:sz w:val="20"/>
        </w:rPr>
        <w:t> </w:t>
      </w:r>
      <w:r>
        <w:rPr>
          <w:sz w:val="20"/>
        </w:rPr>
        <w:t>osm</w:t>
      </w:r>
      <w:r>
        <w:rPr>
          <w:spacing w:val="-6"/>
          <w:sz w:val="20"/>
        </w:rPr>
        <w:t> </w:t>
      </w:r>
      <w:r>
        <w:rPr>
          <w:sz w:val="20"/>
        </w:rPr>
        <w:t>milionů</w:t>
      </w:r>
      <w:r>
        <w:rPr>
          <w:spacing w:val="-4"/>
          <w:sz w:val="20"/>
        </w:rPr>
        <w:t> </w:t>
      </w:r>
      <w:r>
        <w:rPr>
          <w:sz w:val="20"/>
        </w:rPr>
        <w:t>čtyři</w:t>
      </w:r>
      <w:r>
        <w:rPr>
          <w:spacing w:val="-5"/>
          <w:sz w:val="20"/>
        </w:rPr>
        <w:t> </w:t>
      </w:r>
      <w:r>
        <w:rPr>
          <w:sz w:val="20"/>
        </w:rPr>
        <w:t>sta</w:t>
      </w:r>
      <w:r>
        <w:rPr>
          <w:spacing w:val="-5"/>
          <w:sz w:val="20"/>
        </w:rPr>
        <w:t> </w:t>
      </w:r>
      <w:r>
        <w:rPr>
          <w:sz w:val="20"/>
        </w:rPr>
        <w:t>čtyřicet</w:t>
      </w:r>
      <w:r>
        <w:rPr>
          <w:spacing w:val="-4"/>
          <w:sz w:val="20"/>
        </w:rPr>
        <w:t> </w:t>
      </w:r>
      <w:r>
        <w:rPr>
          <w:sz w:val="20"/>
        </w:rPr>
        <w:t>devět</w:t>
      </w:r>
      <w:r>
        <w:rPr>
          <w:spacing w:val="-4"/>
          <w:sz w:val="20"/>
        </w:rPr>
        <w:t> </w:t>
      </w:r>
      <w:r>
        <w:rPr>
          <w:sz w:val="20"/>
        </w:rPr>
        <w:t>tisíc</w:t>
      </w:r>
      <w:r>
        <w:rPr>
          <w:spacing w:val="-4"/>
          <w:sz w:val="20"/>
        </w:rPr>
        <w:t> </w:t>
      </w:r>
      <w:r>
        <w:rPr>
          <w:sz w:val="20"/>
        </w:rPr>
        <w:t>osm</w:t>
      </w:r>
      <w:r>
        <w:rPr>
          <w:spacing w:val="-6"/>
          <w:sz w:val="20"/>
        </w:rPr>
        <w:t> </w:t>
      </w:r>
      <w:r>
        <w:rPr>
          <w:sz w:val="20"/>
        </w:rPr>
        <w:t>set</w:t>
      </w:r>
      <w:r>
        <w:rPr>
          <w:spacing w:val="-5"/>
          <w:sz w:val="20"/>
        </w:rPr>
        <w:t> </w:t>
      </w:r>
      <w:r>
        <w:rPr>
          <w:sz w:val="20"/>
        </w:rPr>
        <w:t>tři</w:t>
      </w:r>
      <w:r>
        <w:rPr>
          <w:spacing w:val="-1"/>
          <w:sz w:val="20"/>
        </w:rPr>
        <w:t> </w:t>
      </w:r>
      <w:r>
        <w:rPr>
          <w:sz w:val="20"/>
        </w:rPr>
        <w:t>korun </w:t>
      </w:r>
      <w:r>
        <w:rPr>
          <w:spacing w:val="-2"/>
          <w:sz w:val="20"/>
        </w:rPr>
        <w:t>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22 801 198,48 Kč.</w:t>
      </w:r>
    </w:p>
    <w:p>
      <w:pPr>
        <w:pStyle w:val="ListParagraph"/>
        <w:numPr>
          <w:ilvl w:val="0"/>
          <w:numId w:val="2"/>
        </w:numPr>
        <w:tabs>
          <w:tab w:pos="386" w:val="left" w:leader="none"/>
        </w:tabs>
        <w:spacing w:line="240" w:lineRule="auto" w:before="121" w:after="0"/>
        <w:ind w:left="385" w:right="113"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37" w:lineRule="auto" w:before="123"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2"/>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7"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splní účel akce „Instalace sdružené fotovoltaické elektrárny na budovy ve správě města Dobříš“ tím, že</w:t>
      </w:r>
      <w:r>
        <w:rPr>
          <w:spacing w:val="-11"/>
          <w:sz w:val="20"/>
        </w:rPr>
        <w:t> </w:t>
      </w:r>
      <w:r>
        <w:rPr>
          <w:sz w:val="20"/>
        </w:rPr>
        <w:t>akce</w:t>
      </w:r>
      <w:r>
        <w:rPr>
          <w:spacing w:val="-11"/>
          <w:sz w:val="20"/>
        </w:rPr>
        <w:t> </w:t>
      </w:r>
      <w:r>
        <w:rPr>
          <w:sz w:val="20"/>
        </w:rPr>
        <w:t>bude</w:t>
      </w:r>
      <w:r>
        <w:rPr>
          <w:spacing w:val="-11"/>
          <w:sz w:val="20"/>
        </w:rPr>
        <w:t> </w:t>
      </w:r>
      <w:r>
        <w:rPr>
          <w:sz w:val="20"/>
        </w:rPr>
        <w:t>provedena</w:t>
      </w:r>
      <w:r>
        <w:rPr>
          <w:spacing w:val="-11"/>
          <w:sz w:val="20"/>
        </w:rPr>
        <w:t> </w:t>
      </w:r>
      <w:r>
        <w:rPr>
          <w:sz w:val="20"/>
        </w:rPr>
        <w:t>v</w:t>
      </w:r>
      <w:r>
        <w:rPr>
          <w:spacing w:val="-1"/>
          <w:sz w:val="20"/>
        </w:rPr>
        <w:t> </w:t>
      </w:r>
      <w:r>
        <w:rPr>
          <w:sz w:val="20"/>
        </w:rPr>
        <w:t>souladu</w:t>
      </w:r>
      <w:r>
        <w:rPr>
          <w:spacing w:val="-10"/>
          <w:sz w:val="20"/>
        </w:rPr>
        <w:t> </w:t>
      </w:r>
      <w:r>
        <w:rPr>
          <w:sz w:val="20"/>
        </w:rPr>
        <w:t>s</w:t>
      </w:r>
      <w:r>
        <w:rPr>
          <w:spacing w:val="-3"/>
          <w:sz w:val="20"/>
        </w:rPr>
        <w:t> </w:t>
      </w:r>
      <w:r>
        <w:rPr>
          <w:sz w:val="20"/>
        </w:rPr>
        <w:t>Výzvou,</w:t>
      </w:r>
      <w:r>
        <w:rPr>
          <w:spacing w:val="-10"/>
          <w:sz w:val="20"/>
        </w:rPr>
        <w:t> </w:t>
      </w:r>
      <w:r>
        <w:rPr>
          <w:sz w:val="20"/>
        </w:rPr>
        <w:t>žádostí</w:t>
      </w:r>
      <w:r>
        <w:rPr>
          <w:spacing w:val="-11"/>
          <w:sz w:val="20"/>
        </w:rPr>
        <w:t> </w:t>
      </w:r>
      <w:r>
        <w:rPr>
          <w:sz w:val="20"/>
        </w:rPr>
        <w:t>o</w:t>
      </w:r>
      <w:r>
        <w:rPr>
          <w:spacing w:val="-7"/>
          <w:sz w:val="20"/>
        </w:rPr>
        <w:t> </w:t>
      </w:r>
      <w:r>
        <w:rPr>
          <w:sz w:val="20"/>
        </w:rPr>
        <w:t>podporu</w:t>
      </w:r>
      <w:r>
        <w:rPr>
          <w:spacing w:val="-10"/>
          <w:sz w:val="20"/>
        </w:rPr>
        <w:t> </w:t>
      </w:r>
      <w:r>
        <w:rPr>
          <w:sz w:val="20"/>
        </w:rPr>
        <w:t>a</w:t>
      </w:r>
      <w:r>
        <w:rPr>
          <w:spacing w:val="-11"/>
          <w:sz w:val="20"/>
        </w:rPr>
        <w:t> </w:t>
      </w:r>
      <w:r>
        <w:rPr>
          <w:sz w:val="20"/>
        </w:rPr>
        <w:t>jejími</w:t>
      </w:r>
      <w:r>
        <w:rPr>
          <w:spacing w:val="-11"/>
          <w:sz w:val="20"/>
        </w:rPr>
        <w:t> </w:t>
      </w:r>
      <w:r>
        <w:rPr>
          <w:sz w:val="20"/>
        </w:rPr>
        <w:t>přílohami</w:t>
      </w:r>
      <w:r>
        <w:rPr>
          <w:spacing w:val="-8"/>
          <w:sz w:val="20"/>
        </w:rPr>
        <w:t> </w:t>
      </w:r>
      <w:r>
        <w:rPr>
          <w:sz w:val="20"/>
        </w:rPr>
        <w:t>a</w:t>
      </w:r>
      <w:r>
        <w:rPr>
          <w:spacing w:val="-11"/>
          <w:sz w:val="20"/>
        </w:rPr>
        <w:t> </w:t>
      </w:r>
      <w:r>
        <w:rPr>
          <w:sz w:val="20"/>
        </w:rPr>
        <w:t>touto</w:t>
      </w:r>
      <w:r>
        <w:rPr>
          <w:spacing w:val="-9"/>
          <w:sz w:val="20"/>
        </w:rPr>
        <w:t> </w:t>
      </w:r>
      <w:r>
        <w:rPr>
          <w:sz w:val="20"/>
        </w:rPr>
        <w:t>Smlouvou,</w:t>
      </w:r>
    </w:p>
    <w:p>
      <w:pPr>
        <w:pStyle w:val="ListParagraph"/>
        <w:numPr>
          <w:ilvl w:val="1"/>
          <w:numId w:val="4"/>
        </w:numPr>
        <w:tabs>
          <w:tab w:pos="746" w:val="left" w:leader="none"/>
        </w:tabs>
        <w:spacing w:line="240" w:lineRule="auto" w:before="2" w:after="0"/>
        <w:ind w:left="745" w:right="111" w:hanging="360"/>
        <w:jc w:val="both"/>
        <w:rPr>
          <w:sz w:val="20"/>
        </w:rPr>
      </w:pPr>
      <w:r>
        <w:rPr>
          <w:sz w:val="20"/>
        </w:rPr>
        <w:t>realizací projektu dojde k výstavbě nové fotovoltaické elektrárny s pozemní instalací s předpokládaným výkonem 250,24 kWp, dále se střešní instalací s předpokládaným výkonem 184,9 kWp a instalací akumulace o kapacitě 323,4 kWh,</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0"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32" w:hRule="atLeast"/>
        </w:trPr>
        <w:tc>
          <w:tcPr>
            <w:tcW w:w="372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78" w:type="dxa"/>
          </w:tcPr>
          <w:p>
            <w:pPr>
              <w:pStyle w:val="TableParagraph"/>
              <w:spacing w:before="122"/>
              <w:ind w:left="388"/>
              <w:rPr>
                <w:sz w:val="20"/>
              </w:rPr>
            </w:pPr>
            <w:r>
              <w:rPr>
                <w:spacing w:val="-5"/>
                <w:sz w:val="20"/>
              </w:rPr>
              <w:t>kWh</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323.40</w:t>
            </w:r>
          </w:p>
        </w:tc>
      </w:tr>
      <w:tr>
        <w:trPr>
          <w:trHeight w:val="506"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435.14</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373.70</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1129.70</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434.50</w:t>
            </w:r>
          </w:p>
        </w:tc>
      </w:tr>
    </w:tbl>
    <w:p>
      <w:pPr>
        <w:pStyle w:val="ListParagraph"/>
        <w:numPr>
          <w:ilvl w:val="1"/>
          <w:numId w:val="4"/>
        </w:numPr>
        <w:tabs>
          <w:tab w:pos="746" w:val="left" w:leader="none"/>
        </w:tabs>
        <w:spacing w:line="276" w:lineRule="auto" w:before="118"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09"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8"/>
          <w:sz w:val="20"/>
        </w:rPr>
        <w:t> </w:t>
      </w:r>
      <w:r>
        <w:rPr>
          <w:sz w:val="20"/>
        </w:rPr>
        <w:t>schválení</w:t>
      </w:r>
      <w:r>
        <w:rPr>
          <w:spacing w:val="-10"/>
          <w:sz w:val="20"/>
        </w:rPr>
        <w:t> </w:t>
      </w:r>
      <w:r>
        <w:rPr>
          <w:sz w:val="20"/>
        </w:rPr>
        <w:t>protokolu</w:t>
      </w:r>
      <w:r>
        <w:rPr>
          <w:spacing w:val="-8"/>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12"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7"/>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2"/>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ind w:left="745" w:right="114"/>
        <w:jc w:val="both"/>
      </w:pPr>
      <w:r>
        <w:rPr/>
        <w:t>o</w:t>
      </w:r>
      <w:r>
        <w:rPr>
          <w:spacing w:val="-1"/>
        </w:rPr>
        <w:t> </w:t>
      </w:r>
      <w:r>
        <w:rPr/>
        <w:t>případném</w:t>
      </w:r>
      <w:r>
        <w:rPr>
          <w:spacing w:val="22"/>
        </w:rPr>
        <w:t> </w:t>
      </w:r>
      <w:r>
        <w:rPr/>
        <w:t>stavění</w:t>
      </w:r>
      <w:r>
        <w:rPr>
          <w:spacing w:val="23"/>
        </w:rPr>
        <w:t> </w:t>
      </w:r>
      <w:r>
        <w:rPr/>
        <w:t>uvedené</w:t>
      </w:r>
      <w:r>
        <w:rPr>
          <w:spacing w:val="22"/>
        </w:rPr>
        <w:t> </w:t>
      </w:r>
      <w:r>
        <w:rPr/>
        <w:t>lhůty.</w:t>
      </w:r>
      <w:r>
        <w:rPr>
          <w:spacing w:val="25"/>
        </w:rPr>
        <w:t> </w:t>
      </w:r>
      <w:r>
        <w:rPr/>
        <w:t>Příjemce</w:t>
      </w:r>
      <w:r>
        <w:rPr>
          <w:spacing w:val="22"/>
        </w:rPr>
        <w:t> </w:t>
      </w:r>
      <w:r>
        <w:rPr/>
        <w:t>podpory</w:t>
      </w:r>
      <w:r>
        <w:rPr>
          <w:spacing w:val="24"/>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2"/>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2"/>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40"/>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5"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1"/>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4"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6"/>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 o</w:t>
      </w:r>
      <w:r>
        <w:rPr>
          <w:spacing w:val="-2"/>
          <w:sz w:val="20"/>
        </w:rPr>
        <w:t> </w:t>
      </w:r>
      <w:r>
        <w:rPr>
          <w:sz w:val="20"/>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22"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8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1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2024-02-01T05:59:29Z</dcterms:created>
  <dcterms:modified xsi:type="dcterms:W3CDTF">2024-02-01T05:59:29Z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2016</vt:lpwstr>
  </property>
  <property fmtid="{D5CDD505-2E9C-101B-9397-08002B2CF9AE}" pid="4" name="LastSaved">
    <vt:filetime>2024-02-01T00:00:00Z</vt:filetime>
  </property>
</Properties>
</file>