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23"/>
        </w:rPr>
        <w:t>iiiiiiiiiiiiiiiiiiiiniii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1140" w:firstLine="0"/>
        <w:jc w:val="right"/>
        <w:rPr>
          <w:sz w:val="16"/>
          <w:szCs w:val="16"/>
        </w:rPr>
      </w:pPr>
      <w:r>
        <w:rPr>
          <w:rStyle w:val="CharStyle3"/>
          <w:sz w:val="16"/>
          <w:szCs w:val="16"/>
        </w:rPr>
        <w:t>2024000748</w:t>
      </w:r>
    </w:p>
    <w:tbl>
      <w:tblPr>
        <w:tblOverlap w:val="never"/>
        <w:jc w:val="center"/>
        <w:tblLayout w:type="fixed"/>
      </w:tblPr>
      <w:tblGrid>
        <w:gridCol w:w="2630"/>
        <w:gridCol w:w="6562"/>
      </w:tblGrid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0"/>
                <w:szCs w:val="20"/>
              </w:rPr>
            </w:pPr>
            <w:r>
              <w:rPr>
                <w:rStyle w:val="CharStyle29"/>
                <w:b/>
                <w:bCs/>
                <w:sz w:val="20"/>
                <w:szCs w:val="20"/>
              </w:rPr>
              <w:t>KUPNÍ SMLOUVA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line="305" w:lineRule="auto"/>
        <w:ind w:left="0" w:right="0" w:firstLine="0"/>
        <w:jc w:val="center"/>
      </w:pPr>
      <w:r>
        <w:rPr>
          <w:rStyle w:val="CharStyle32"/>
        </w:rPr>
        <w:t>podle ustanovení § 2079 a násl. zákona č. 89/2012 Sb., občanský zákoník,</w:t>
        <w:br/>
        <w:t>uzavřená mezi</w:t>
      </w:r>
    </w:p>
    <w:tbl>
      <w:tblPr>
        <w:tblOverlap w:val="never"/>
        <w:jc w:val="center"/>
        <w:tblLayout w:type="fixed"/>
      </w:tblPr>
      <w:tblGrid>
        <w:gridCol w:w="2630"/>
        <w:gridCol w:w="6562"/>
      </w:tblGrid>
      <w:tr>
        <w:trPr>
          <w:trHeight w:val="50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Kamenice 798/1 d, 625 00 Brno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MUDr. Hana Albrechtová, ředitelka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9"/>
                <w:spacing w:val="1"/>
                <w:shd w:val="clear" w:color="auto" w:fill="000000"/>
              </w:rPr>
              <w:t>..</w:t>
            </w:r>
            <w:r>
              <w:rPr>
                <w:rStyle w:val="CharStyle29"/>
                <w:spacing w:val="2"/>
                <w:shd w:val="clear" w:color="auto" w:fill="000000"/>
              </w:rPr>
              <w:t>....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2"/>
                <w:shd w:val="clear" w:color="auto" w:fill="000000"/>
              </w:rPr>
              <w:t>........</w:t>
            </w:r>
            <w:r>
              <w:rPr>
                <w:rStyle w:val="CharStyle29"/>
                <w:spacing w:val="3"/>
                <w:shd w:val="clear" w:color="auto" w:fill="000000"/>
              </w:rPr>
              <w:t>......</w:t>
            </w:r>
            <w:r>
              <w:rPr>
                <w:rStyle w:val="CharStyle29"/>
                <w:shd w:val="clear" w:color="auto" w:fill="000000"/>
              </w:rPr>
              <w:t>​............</w:t>
            </w:r>
            <w:r>
              <w:rPr>
                <w:rStyle w:val="CharStyle29"/>
                <w:spacing w:val="1"/>
                <w:shd w:val="clear" w:color="auto" w:fill="000000"/>
              </w:rPr>
              <w:t>...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4"/>
                <w:shd w:val="clear" w:color="auto" w:fill="000000"/>
              </w:rPr>
              <w:t>......</w:t>
            </w:r>
            <w:r>
              <w:rPr>
                <w:rStyle w:val="CharStyle29"/>
                <w:spacing w:val="5"/>
                <w:shd w:val="clear" w:color="auto" w:fill="000000"/>
              </w:rPr>
              <w:t>...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3"/>
                <w:shd w:val="clear" w:color="auto" w:fill="000000"/>
              </w:rPr>
              <w:t>.</w:t>
            </w:r>
            <w:r>
              <w:rPr>
                <w:rStyle w:val="CharStyle29"/>
                <w:spacing w:val="4"/>
                <w:shd w:val="clear" w:color="auto" w:fill="000000"/>
              </w:rPr>
              <w:t>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3"/>
                <w:shd w:val="clear" w:color="auto" w:fill="000000"/>
              </w:rPr>
              <w:t>.</w:t>
            </w:r>
            <w:r>
              <w:rPr>
                <w:rStyle w:val="CharStyle29"/>
                <w:spacing w:val="4"/>
                <w:shd w:val="clear" w:color="auto" w:fill="000000"/>
              </w:rPr>
              <w:t>.......</w:t>
            </w:r>
            <w:r>
              <w:rPr>
                <w:rStyle w:val="CharStyle29"/>
                <w:u w:val="single"/>
                <w:shd w:val="clear" w:color="auto" w:fill="000000"/>
                <w:lang w:val="en-US" w:eastAsia="en-US" w:bidi="en-US"/>
              </w:rPr>
              <w:t>​.............................</w:t>
            </w:r>
            <w:r>
              <w:rPr>
                <w:rStyle w:val="CharStyle29"/>
                <w:spacing w:val="1"/>
                <w:u w:val="single"/>
                <w:shd w:val="clear" w:color="auto" w:fill="000000"/>
                <w:lang w:val="en-US" w:eastAsia="en-US" w:bidi="en-US"/>
              </w:rPr>
              <w:t>....</w:t>
            </w:r>
            <w:r>
              <w:rPr>
                <w:rStyle w:val="CharStyle29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9"/>
                <w:color w:val="255A97"/>
                <w:lang w:val="en-US" w:eastAsia="en-US" w:bidi="en-US"/>
              </w:rPr>
              <w:t xml:space="preserve"> 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6"/>
                <w:shd w:val="clear" w:color="auto" w:fill="000000"/>
              </w:rPr>
              <w:t>...</w:t>
            </w:r>
            <w:r>
              <w:rPr>
                <w:rStyle w:val="CharStyle29"/>
                <w:spacing w:val="7"/>
                <w:shd w:val="clear" w:color="auto" w:fill="000000"/>
              </w:rPr>
              <w:t>...</w:t>
            </w:r>
            <w:r>
              <w:rPr>
                <w:rStyle w:val="CharStyle29"/>
                <w:shd w:val="clear" w:color="auto" w:fill="000000"/>
              </w:rPr>
              <w:t>​.</w:t>
            </w:r>
            <w:r>
              <w:rPr>
                <w:rStyle w:val="CharStyle29"/>
                <w:spacing w:val="1"/>
                <w:shd w:val="clear" w:color="auto" w:fill="000000"/>
              </w:rPr>
              <w:t>........</w:t>
            </w:r>
            <w:r>
              <w:rPr>
                <w:rStyle w:val="CharStyle29"/>
                <w:shd w:val="clear" w:color="auto" w:fill="000000"/>
              </w:rPr>
              <w:t>​....</w:t>
            </w:r>
            <w:r>
              <w:rPr>
                <w:rStyle w:val="CharStyle29"/>
                <w:spacing w:val="1"/>
                <w:shd w:val="clear" w:color="auto" w:fill="000000"/>
              </w:rPr>
              <w:t>...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3"/>
                <w:shd w:val="clear" w:color="auto" w:fill="000000"/>
              </w:rPr>
              <w:t>....</w:t>
            </w:r>
            <w:r>
              <w:rPr>
                <w:rStyle w:val="CharStyle29"/>
                <w:spacing w:val="4"/>
                <w:shd w:val="clear" w:color="auto" w:fill="000000"/>
              </w:rPr>
              <w:t>.......</w:t>
            </w:r>
          </w:p>
        </w:tc>
      </w:tr>
      <w:tr>
        <w:trPr>
          <w:trHeight w:val="78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IČO: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DIČ: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00346292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CZ00346292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Krajský soud v Brně sp. zn. Pr 1245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MONETA Money Bank, a.s., č. ú. 117203514/0600</w:t>
            </w:r>
          </w:p>
        </w:tc>
      </w:tr>
    </w:tbl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34"/>
        </w:rPr>
        <w:t xml:space="preserve">(dále jen </w:t>
      </w:r>
      <w:r>
        <w:rPr>
          <w:rStyle w:val="CharStyle34"/>
          <w:b/>
          <w:bCs/>
          <w:i/>
          <w:iCs/>
        </w:rPr>
        <w:t>„kupující )</w:t>
      </w:r>
    </w:p>
    <w:p>
      <w:pPr>
        <w:widowControl w:val="0"/>
        <w:spacing w:after="3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30"/>
        <w:gridCol w:w="6562"/>
      </w:tblGrid>
      <w:tr>
        <w:trPr>
          <w:trHeight w:val="6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a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MEDIPRAX CB s.r.o.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Husova tř. 1858/43, 370 05 České Budějovice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Ing. Jan Mach, jednatel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shd w:val="clear" w:color="auto" w:fill="000000"/>
              </w:rPr>
              <w:t>.....</w:t>
            </w:r>
            <w:r>
              <w:rPr>
                <w:rStyle w:val="CharStyle29"/>
                <w:spacing w:val="1"/>
                <w:shd w:val="clear" w:color="auto" w:fill="000000"/>
              </w:rPr>
              <w:t>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6"/>
                <w:shd w:val="clear" w:color="auto" w:fill="000000"/>
              </w:rPr>
              <w:t>..</w:t>
            </w:r>
            <w:r>
              <w:rPr>
                <w:rStyle w:val="CharStyle29"/>
                <w:spacing w:val="7"/>
                <w:shd w:val="clear" w:color="auto" w:fill="000000"/>
              </w:rPr>
              <w:t>....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5"/>
                <w:shd w:val="clear" w:color="auto" w:fill="000000"/>
              </w:rPr>
              <w:t>.......</w:t>
            </w:r>
            <w:r>
              <w:rPr>
                <w:rStyle w:val="CharStyle29"/>
                <w:spacing w:val="6"/>
                <w:shd w:val="clear" w:color="auto" w:fill="000000"/>
              </w:rPr>
              <w:t>.</w:t>
            </w:r>
          </w:p>
        </w:tc>
      </w:tr>
      <w:tr>
        <w:trPr>
          <w:trHeight w:val="78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IČO: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DIČ: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63886731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CZ63886731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Krajský soud v Č. Budějovicích, sp. zn. C 5633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ČSOB České Budějovice, č. ú. 712046453/0300</w:t>
            </w:r>
          </w:p>
        </w:tc>
      </w:tr>
    </w:tbl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34"/>
        </w:rPr>
        <w:t xml:space="preserve">(dále jen </w:t>
      </w:r>
      <w:r>
        <w:rPr>
          <w:rStyle w:val="CharStyle34"/>
          <w:b/>
          <w:bCs/>
          <w:i/>
          <w:iCs/>
        </w:rPr>
        <w:t>„prodávající</w:t>
      </w:r>
    </w:p>
    <w:p>
      <w:pPr>
        <w:widowControl w:val="0"/>
        <w:spacing w:after="5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0"/>
        <w:ind w:left="0" w:right="0" w:firstLine="0"/>
        <w:jc w:val="left"/>
      </w:pPr>
      <w:r>
        <w:rPr>
          <w:rStyle w:val="CharStyle3"/>
        </w:rPr>
        <w:t>Prodávající je oprávněn na základě svého vlastnického práva nakládat s tímto zbožím: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rStyle w:val="CharStyle3"/>
          <w:b/>
          <w:bCs/>
        </w:rPr>
        <w:t>1 ks přístroje pro umělou plicní ventilaci - lehký.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400"/>
        <w:jc w:val="left"/>
      </w:pPr>
      <w:r>
        <w:rPr>
          <w:rStyle w:val="CharStyle3"/>
        </w:rPr>
        <w:t>Bližší specifikace tohoto zboží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/>
        <w:ind w:left="400" w:right="0" w:hanging="400"/>
        <w:jc w:val="both"/>
      </w:pPr>
      <w:r>
        <w:rPr>
          <w:rStyle w:val="CharStyle3"/>
        </w:rPr>
        <w:t>Prodávající prodává zboží podle čl. 1 této smlouvy se všemi jeho součástmi a příslušenstvím kupujícímu, a kupující kupuje toto zboží do vlastnictví Jihomoravského kraje, jako svého zřizovatele, za kupní cenu podle čl. 6 této smlouvy. Součástí závazku prodávajícího k dodání zboží podle čl. 1 této smlouvy je jeho uvedení do provozu a zaškolení obsluhy v místě splnění tohoto závazku, kterým je sídlo kupujícího podle záhlaví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310" w:lineRule="auto"/>
        <w:ind w:left="400" w:right="0" w:hanging="400"/>
        <w:jc w:val="both"/>
      </w:pPr>
      <w:r>
        <w:rPr>
          <w:rStyle w:val="CharStyle3"/>
        </w:rPr>
        <w:t>Součástí dodávky zboží dle čl. 1 této smlouvy je také dodání veškerých návodů k obsluze, odpovídající technické dokumentace v tištěné a datové podobě, dodání dokladů prokazujících kvalitu a schválení pro užívání v České republice, zejm. dodání příslušných atestů, certifikátů, prohlášení o shodě a návodu k obsluze, to vše v českém jazyce. Součástí dodávky zboží podle článku 1 této smlouvy je rovněž provádění bezpečnostně technických kontrol po dobu záruční lhůty dle čl. 8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/>
        <w:ind w:left="400" w:right="0" w:hanging="400"/>
        <w:jc w:val="both"/>
      </w:pPr>
      <w:r>
        <w:rPr>
          <w:rStyle w:val="CharStyle3"/>
        </w:rPr>
        <w:t xml:space="preserve">Prodávající se zavazuje splnit svůj závazek k dodání zboží podle čl. 1 této smlouvy nejpozději do </w:t>
      </w:r>
      <w:r>
        <w:rPr>
          <w:rStyle w:val="CharStyle3"/>
          <w:b/>
          <w:bCs/>
        </w:rPr>
        <w:t xml:space="preserve">29. 2. 2024. </w:t>
      </w:r>
      <w:r>
        <w:rPr>
          <w:rStyle w:val="CharStyle3"/>
        </w:rPr>
        <w:t>Závazek prodávajícího k dodání zboží podle čl. 1 této smlouvy se pak považuje za splněný po jeho uvedení do provozu a zaškolení obsluhy dnem předání a převzetí tohoto zboží formou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line="322" w:lineRule="auto"/>
        <w:ind w:left="400" w:right="0" w:hanging="40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tohoto zboží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after="100" w:line="319" w:lineRule="auto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této smlouvy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rStyle w:val="CharStyle3"/>
          <w:b/>
          <w:bCs/>
        </w:rPr>
        <w:t xml:space="preserve">101.622,-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122.962,62 </w:t>
      </w:r>
      <w:r>
        <w:rPr>
          <w:rStyle w:val="CharStyle3"/>
        </w:rPr>
        <w:t>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19" w:lineRule="auto"/>
        <w:ind w:left="400" w:right="0" w:firstLine="40"/>
        <w:jc w:val="both"/>
      </w:pP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Kupní cena podle čl. 6 této smlouvy je splatná na účet prodávajícího po řádném splnění závazku prodávajícího k dodání zboží podle čl. 1 této smlouvy způsobem podle čl. 4 této smlouvy ve lhůtě do 30 dnů ode dne doručení jejího písemného vyúčtování (daňového dokladu/faktury). Kupující má v úmyslu financovat toto zboží, jež je předmětem této smlouvy, z prostředků fondu zábrany škod České kanceláře pojistitelů (číslo žádosti: ZAD/2022/000080).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  <w:spacing w:val="1"/>
          <w:shd w:val="clear" w:color="auto" w:fill="000000"/>
        </w:rPr>
        <w:t>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................................</w:t>
      </w:r>
      <w:r>
        <w:rPr>
          <w:rStyle w:val="CharStyle3"/>
          <w:color w:val="255A97"/>
          <w:lang w:val="en-US" w:eastAsia="en-US" w:bidi="en-US"/>
        </w:rPr>
        <w:t xml:space="preserve">.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P24V00000022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S převodem zboží podle čl. 1 této smlouvy je spojena záruka za jeho jakost v trvání nejméně </w:t>
      </w:r>
      <w:r>
        <w:rPr>
          <w:rStyle w:val="CharStyle3"/>
          <w:b/>
          <w:bCs/>
        </w:rPr>
        <w:t xml:space="preserve">24 měsíců. </w:t>
      </w:r>
      <w:r>
        <w:rPr>
          <w:rStyle w:val="CharStyle3"/>
        </w:rPr>
        <w:t>V rámci této záruky se prodávající zavazuje odstraňovat vady na zboží podle čl. 1 této smlouvy ve lhůtě do 48 hodin od doručení příslušné reklamace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line="310" w:lineRule="auto"/>
        <w:ind w:left="400" w:right="0" w:hanging="40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line="310" w:lineRule="auto"/>
        <w:ind w:left="400" w:right="0" w:hanging="400"/>
        <w:jc w:val="both"/>
      </w:pPr>
      <w:r>
        <w:rPr>
          <w:rStyle w:val="CharStyle3"/>
        </w:rPr>
        <w:t>Nepřikročí-li prodávající k odstranění vady ve lhůtě podle čl. 8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prodávající se splněním jeho závazku k dodání zboží ve lhůtě podle čl. 4 této smlouvy, pro případ prodlení prodávajícího se splněním jeho závazku k provedení tzv. bezpečnostně-technické kontroly dle č. 3 této smlouvy ve lhůtě dle příslušného právního předpisu, a pro případ prodlení prodávajícího s odstraněním reklamované vady ve lhůtě podle čl. 8 této smlouvy se prodávající zavazuje zaplatit kupujícímu smluvní pokutu ve výši 0,1 % z kupní ceny podle čl. 6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4 této smlouvy o více, než 2 týdny je kupující oprávněn odstoupit od této smlouvy s účinky ex tunc, přičemž nárok na zaplacení smluvní pokuty dle čl. 11. nezaniká. Stejné právo má kupující, vyskytne-li se v době záruky za jakost podle čl. 8 této smlouvy na zboží podle čl. 1 této smlouvy neodstranitelná vada nebo tři a více vad, a i to postupně.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7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7" w:val="left"/>
        </w:tabs>
        <w:bidi w:val="0"/>
        <w:spacing w:before="0" w:after="340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ust. § 2079 a násl. občanského zákoníku. Obě strany přitom vylučují použití ust. §1917 až 1918, §1920 až 1922, §1924, § 2099 až 2101, § 2103 až 2105 občanského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2" w:name="bookmark2"/>
      <w:r>
        <w:rPr>
          <w:rStyle w:val="CharStyle52"/>
        </w:rPr>
        <w:t>2</w:t>
      </w:r>
      <w:bookmarkEnd w:id="2"/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400" w:right="0" w:firstLine="20"/>
        <w:jc w:val="left"/>
      </w:pPr>
      <w:r>
        <w:rPr>
          <w:rStyle w:val="CharStyle3"/>
        </w:rPr>
        <w:t>zákoníku a také obchodních zvyklostí, které jsou svým smyslem nebo účinky totožné nebo obdobné s uvedenými ustanoveními, na jejich právní vztah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line="314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prodávajícího. Předpokladem uzavření této smlouvy je její písemná forma a dohoda o jejích podstatných náležitostech, čímž se rozumí celý obsah této smlouvy, jak je uveden v čl. 1 až 21 této smlouvy. Kupující přitom předem vylučuje přijetí tohoto návrhu s dodatkem nebo odchylkou ve smyslu ustanovení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line="319" w:lineRule="auto"/>
        <w:ind w:left="400" w:right="0" w:hanging="400"/>
        <w:jc w:val="both"/>
      </w:pPr>
      <w:r>
        <w:rPr>
          <w:rStyle w:val="CharStyle3"/>
        </w:rPr>
        <w:t>Jakékoliv pohledávky vzniklé z této smlouvy smí být postoupeny třetí straně jen s písemným souhlasem kupujícího.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Tuto smlouvu lze změnit nebo zrušit pouze písemnými číslovanými dodatky podepsanými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260" w:line="307" w:lineRule="auto"/>
        <w:ind w:left="400" w:right="0" w:hanging="400"/>
        <w:jc w:val="both"/>
      </w:pPr>
      <w:r>
        <w:rPr>
          <w:rStyle w:val="CharStyle3"/>
        </w:rPr>
        <w:t>Tato smlouva nabývá platnosti okamžikem jejího podpisu oběma smluvními stranami a účinnosti dnem jejího uveřejnění v registru smluv dle čl. 19.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860" w:line="319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12700</wp:posOffset>
                </wp:positionV>
                <wp:extent cx="646430" cy="14605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643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8.700000000000003pt;margin-top:1.pt;width:50.899999999999999pt;height:11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</w:rPr>
        <w:t>V Č. Budějovicích dne 12. 1. 2024</w:t>
      </w:r>
    </w:p>
    <w:p>
      <w:pPr>
        <w:widowControl w:val="0"/>
        <w:spacing w:line="1" w:lineRule="exact"/>
      </w:pPr>
      <w:r>
        <w:drawing>
          <wp:anchor distT="153670" distB="536575" distL="24130" distR="0" simplePos="0" relativeHeight="125829380" behindDoc="0" locked="0" layoutInCell="1" allowOverlap="1">
            <wp:simplePos x="0" y="0"/>
            <wp:positionH relativeFrom="page">
              <wp:posOffset>1153795</wp:posOffset>
            </wp:positionH>
            <wp:positionV relativeFrom="paragraph">
              <wp:posOffset>153670</wp:posOffset>
            </wp:positionV>
            <wp:extent cx="1987550" cy="73787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87550" cy="7378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903605</wp:posOffset>
                </wp:positionV>
                <wp:extent cx="1383665" cy="51181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3665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8.950000000000003pt;margin-top:71.150000000000006pt;width:108.95pt;height:40.30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MUDr. Hana Albrechtová ředitelka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582295" distL="0" distR="0" simplePos="0" relativeHeight="125829381" behindDoc="0" locked="0" layoutInCell="1" allowOverlap="1">
                <wp:simplePos x="0" y="0"/>
                <wp:positionH relativeFrom="page">
                  <wp:posOffset>4433570</wp:posOffset>
                </wp:positionH>
                <wp:positionV relativeFrom="paragraph">
                  <wp:posOffset>38100</wp:posOffset>
                </wp:positionV>
                <wp:extent cx="1069975" cy="80454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804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  <w:shd w:val="clear" w:color="auto" w:fill="000000"/>
                              </w:rPr>
                              <w:t>.......​</w:t>
                            </w:r>
                            <w:r>
                              <w:rPr>
                                <w:rStyle w:val="CharStyle8"/>
                                <w:spacing w:val="18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8"/>
                                <w:spacing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8"/>
                              </w:rPr>
                              <w:t xml:space="preserve"> </w:t>
                            </w:r>
                            <w:r>
                              <w:rPr>
                                <w:rStyle w:val="CharStyle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8"/>
                                <w:spacing w:val="11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8"/>
                                <w:spacing w:val="12"/>
                                <w:shd w:val="clear" w:color="auto" w:fill="000000"/>
                              </w:rPr>
                              <w:t>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9.10000000000002pt;margin-top:3.pt;width:84.25pt;height:63.350000000000001pt;z-index:-125829372;mso-wrap-distance-left:0;mso-wrap-distance-top:3.pt;mso-wrap-distance-right:0;mso-wrap-distance-bottom:45.85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shd w:val="clear" w:color="auto" w:fill="000000"/>
                        </w:rPr>
                        <w:t>.......​</w:t>
                      </w:r>
                      <w:r>
                        <w:rPr>
                          <w:rStyle w:val="CharStyle8"/>
                          <w:spacing w:val="18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8"/>
                          <w:spacing w:val="19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8"/>
                        </w:rPr>
                        <w:t xml:space="preserve"> </w:t>
                      </w:r>
                      <w:r>
                        <w:rPr>
                          <w:rStyle w:val="CharStyle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8"/>
                          <w:spacing w:val="11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8"/>
                          <w:spacing w:val="12"/>
                          <w:shd w:val="clear" w:color="auto" w:fill="000000"/>
                        </w:rPr>
                        <w:t>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4930" distB="688340" distL="0" distR="0" simplePos="0" relativeHeight="125829383" behindDoc="0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74930</wp:posOffset>
                </wp:positionV>
                <wp:extent cx="1060450" cy="66167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0450" cy="661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spacing w:val="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</w:rPr>
                              <w:t xml:space="preserve"> 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​.....</w:t>
                            </w: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6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spacing w:val="7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5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spacing w:val="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</w:rPr>
                              <w:t xml:space="preserve"> 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spacing w:val="3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​..........</w:t>
                            </w: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"/>
                              </w:rPr>
                              <w:t xml:space="preserve"> 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spacing w:val="3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spacing w:val="3"/>
                                <w:shd w:val="clear" w:color="auto" w:fill="000000"/>
                              </w:rPr>
                              <w:t>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3.60000000000002pt;margin-top:5.9000000000000004pt;width:83.5pt;height:52.100000000000001pt;z-index:-125829370;mso-wrap-distance-left:0;mso-wrap-distance-top:5.9000000000000004pt;mso-wrap-distance-right:0;mso-wrap-distance-bottom:54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"/>
                        </w:rPr>
                        <w:t xml:space="preserve"> 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​.....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6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spacing w:val="7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5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"/>
                          <w:spacing w:val="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</w:rPr>
                        <w:t xml:space="preserve"> 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​..........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"/>
                        </w:rPr>
                        <w:t xml:space="preserve"> 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09955" distB="0" distL="0" distR="0" simplePos="0" relativeHeight="125829385" behindDoc="0" locked="0" layoutInCell="1" allowOverlap="1">
                <wp:simplePos x="0" y="0"/>
                <wp:positionH relativeFrom="page">
                  <wp:posOffset>4375785</wp:posOffset>
                </wp:positionH>
                <wp:positionV relativeFrom="paragraph">
                  <wp:posOffset>909955</wp:posOffset>
                </wp:positionV>
                <wp:extent cx="804545" cy="51498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514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Jan Mach 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Prodávajici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4.55000000000001pt;margin-top:71.650000000000006pt;width:63.350000000000001pt;height:40.550000000000004pt;z-index:-125829368;mso-wrap-distance-left:0;mso-wrap-distance-top:71.65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Jan Mach 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Prodávajici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4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Specifikace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rStyle w:val="CharStyle52"/>
        </w:rPr>
        <w:t>3</w:t>
      </w:r>
      <w:bookmarkEnd w:id="4"/>
      <w:r>
        <w:br w:type="page"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rStyle w:val="CharStyle32"/>
        </w:rPr>
        <w:t>Příloha č. 1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32"/>
          <w:b/>
          <w:bCs/>
          <w:sz w:val="20"/>
          <w:szCs w:val="20"/>
          <w:u w:val="single"/>
        </w:rPr>
        <w:t>SPECIFIKACE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2"/>
          <w:i/>
          <w:iCs/>
        </w:rPr>
        <w:t>Transportní ventilátor pro sanitní vozidla RLP, RZP a LZS a vrtulník ZS s požadovaným vybavením.</w:t>
      </w:r>
    </w:p>
    <w:tbl>
      <w:tblPr>
        <w:tblOverlap w:val="never"/>
        <w:jc w:val="center"/>
        <w:tblLayout w:type="fixed"/>
      </w:tblPr>
      <w:tblGrid>
        <w:gridCol w:w="4886"/>
        <w:gridCol w:w="3816"/>
      </w:tblGrid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9"/>
                <w:sz w:val="19"/>
                <w:szCs w:val="19"/>
              </w:rPr>
              <w:t>MEDUMAT Easy CPR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Výrobce: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9"/>
                <w:sz w:val="19"/>
                <w:szCs w:val="19"/>
              </w:rPr>
              <w:t>Weinmann EMT</w:t>
            </w:r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56"/>
        <w:gridCol w:w="4829"/>
        <w:gridCol w:w="3422"/>
      </w:tblGrid>
      <w:tr>
        <w:trPr>
          <w:trHeight w:val="43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Požadavky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Účastníkem nabízená hodnota</w:t>
            </w:r>
          </w:p>
        </w:tc>
      </w:tr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Maíý snadno ovíadatefný transportní ventilátor zaručující bezpečnou ventilaci. Hlasové pokyny navádějí obsluhu krok za krokem během plicní ventilace či kardiopulmonální resuscitace. V režimu "Demand-flow" pro inhalaci kyslíku.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Přítomnost režimu CPR při poskytování kardiopulmonální resuscitace (KPR). Ventilátor hlasovými pokyny vyzývá ke stlačování hrudníku (správnou rychlost udává metronom) a k podání vdechů.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Bezpečný a snadno ovladatelný.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Malý a lehký.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9"/>
              </w:rPr>
              <w:t>Jasné, stručné a zřetelné hlasové pokyny dostupné v několika jazycích vedou během ventilace a KP.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Akustické a vizuální alarmy.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Vhodné pro použití při KPR.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9"/>
              </w:rPr>
              <w:t>V režimu CPR se lze rozhodnout, kdy bude pacient ventilován.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Intuitivní ovládání.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Možnost rozšíření pomocí modulového systému.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Metronom zajišťuje správnou frekvenci kompresí při KPR.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Maximální ventilační tlak lze nastavit na 20 nebo 45 mbar.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 20 nebo 45 mbar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Bezpečné nastavení ventilačních parametrů.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Kruhová stupnice pro dechový objem a frekvenci.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9"/>
              </w:rPr>
              <w:t>Bezúdržbové lithiové baterie s minimální životností 2 roky (bez potřeby nabíjení).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Není poháněn kyslíkem (není spotřeba kyslíku).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Optimalizovaná spotřeba kyslíku v Demand-flow režimu: pacient dostává kyslík během nádechu, při výdechu nedochází k úniku kyslíku.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Režim ventilace nebo inhalace.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Parametry řízené ventilace (IPPV) se snadno nastavují pomocí jednoho otočného knoflíku.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Možnost připojení PEEP ventilu.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Režimy: IPPV, inhalace kyslíku, podpora KPR.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Rozměr (Š x Vx H): 100 x 145 x 90 mm.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ANO; 100 x 145 x 90 mm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Hmotnost: cca 0,6.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 cca 0,6 kg přístroj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Provozní teplota: -18°C až +50°C.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ANO; -18°C až+50°C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Skladovací teplota: -40°C až +70°C.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ANO; -40°C až +70°C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Provozní tlak: 2,7 až 6 barů.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ANO; 2,7 až 6 barů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  <w:b/>
                <w:bCs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Dechová frekvence: 10 až 25 /min.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ANO; 10 až 25/min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2"/>
        <w:gridCol w:w="4843"/>
        <w:gridCol w:w="3418"/>
      </w:tblGrid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Maximální ventilační tlak (Pmax): 20 nebo 45 mbarů.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ANO; 20 nebo 45 mbarů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Stupeň vodní ochrany: 1P54.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ANO; 1P54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j^O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Třída produktu dle MDD: 11 b.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ANO; II b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Režim inhalace - trigger: menší než 1 mbar.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ANO; 0,8 mbar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Style w:val="CharStyle29"/>
                <w:sz w:val="8"/>
                <w:szCs w:val="8"/>
              </w:rPr>
              <w:t>li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(32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Režim inhalace - max. průtok: &gt; 401/min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ANO; ž 40 l/min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Režim inhalace - tlak pro odpojení: 3 mbary.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ANO; 3 mbary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rStyle w:val="CharStyle29"/>
              </w:rPr>
              <w:t>Napájení: 3,6 V; 5,2 Ah, předpokládaná životnost větší než 2 roky.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4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Ě'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Dechový objem: 65 až 950 ml.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ANO; 65 až 950 ml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36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Alarmy: akustické, vizuální, hlasové pokyny - stenóza, rozpojení/apnoe, pokles napájecího tlaku pod 2,7 barů, vybitá baterie/porucha.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1! il 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Možnosti nastavení: deaktivace hlasových pokynů, deaktivace metronomu v CPR režimu, více než 12 jazyků (v závislosti na verzi).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Style w:val="CharStyle29"/>
                <w:sz w:val="8"/>
                <w:szCs w:val="8"/>
              </w:rPr>
              <w:t>II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38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Style w:val="CharStyle29"/>
                <w:sz w:val="8"/>
                <w:szCs w:val="8"/>
              </w:rPr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Potřebná kabeláž.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ít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7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Style w:val="CharStyle29"/>
                <w:b/>
                <w:bCs/>
              </w:rPr>
              <w:t xml:space="preserve">39 </w:t>
            </w:r>
            <w:r>
              <w:rPr>
                <w:rStyle w:val="CharStyle29"/>
                <w:sz w:val="8"/>
                <w:szCs w:val="8"/>
              </w:rPr>
              <w:t>íl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Přístroj musí mít schválení pro provoz v ČR.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Nabídnutý přístroj musí být kompletní a funkční včetně příslušenství.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</w:rPr>
              <w:t>ANO</w:t>
            </w:r>
          </w:p>
        </w:tc>
      </w:tr>
    </w:tbl>
    <w:p>
      <w:pPr>
        <w:widowControl w:val="0"/>
        <w:spacing w:after="8279" w:line="1" w:lineRule="exact"/>
      </w:pP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r>
        <w:rPr>
          <w:rStyle w:val="CharStyle52"/>
        </w:rPr>
        <w:t>5</w:t>
      </w:r>
      <w:bookmarkEnd w:id="6"/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552" w:right="1251" w:bottom="1409" w:left="1453" w:header="124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949960</wp:posOffset>
              </wp:positionH>
              <wp:positionV relativeFrom="page">
                <wp:posOffset>10085705</wp:posOffset>
              </wp:positionV>
              <wp:extent cx="3282950" cy="12192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8295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25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01_2024: Přístroj pro umělou plicní ventilaci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4.799999999999997pt;margin-top:794.14999999999998pt;width:258.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25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01_2024: Přístroj pro umělou plicní ventilaci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7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23">
    <w:name w:val="Nadpis #1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25">
    <w:name w:val="Záhlaví nebo zápatí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Jiné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2">
    <w:name w:val="Základní text (2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4">
    <w:name w:val="Titulek tabulky_"/>
    <w:basedOn w:val="DefaultParagraphFont"/>
    <w:link w:val="Style33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CharStyle52">
    <w:name w:val="Nadpis #2_"/>
    <w:basedOn w:val="DefaultParagraphFont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00" w:line="31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  <w:spacing w:line="31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auto"/>
      <w:spacing w:line="31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Style22">
    <w:name w:val="Nadpis #1"/>
    <w:basedOn w:val="Normal"/>
    <w:link w:val="CharStyle23"/>
    <w:pPr>
      <w:widowControl w:val="0"/>
      <w:shd w:val="clear" w:color="auto" w:fill="auto"/>
      <w:spacing w:after="100"/>
      <w:ind w:right="114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Style24">
    <w:name w:val="Záhlaví nebo zápatí (2)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Jiné"/>
    <w:basedOn w:val="Normal"/>
    <w:link w:val="CharStyle29"/>
    <w:pPr>
      <w:widowControl w:val="0"/>
      <w:shd w:val="clear" w:color="auto" w:fill="auto"/>
      <w:spacing w:after="200" w:line="31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31">
    <w:name w:val="Základní text (2)"/>
    <w:basedOn w:val="Normal"/>
    <w:link w:val="CharStyle32"/>
    <w:pPr>
      <w:widowControl w:val="0"/>
      <w:shd w:val="clear" w:color="auto" w:fill="auto"/>
      <w:spacing w:after="220" w:line="271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3">
    <w:name w:val="Titulek tabulky"/>
    <w:basedOn w:val="Normal"/>
    <w:link w:val="CharStyle34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Style51">
    <w:name w:val="Nadpis #2"/>
    <w:basedOn w:val="Normal"/>
    <w:link w:val="CharStyle52"/>
    <w:pPr>
      <w:widowControl w:val="0"/>
      <w:shd w:val="clear" w:color="auto" w:fill="auto"/>
      <w:spacing w:after="100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/Relationships>
</file>