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1E24" w14:textId="77777777" w:rsidR="00DE6B39" w:rsidRDefault="006A219F">
      <w:pPr>
        <w:pStyle w:val="Zkladntext20"/>
        <w:shd w:val="clear" w:color="auto" w:fill="auto"/>
        <w:spacing w:after="227" w:line="200" w:lineRule="exact"/>
        <w:ind w:left="4160"/>
      </w:pPr>
      <w:r>
        <w:t>Příloha č. 8</w:t>
      </w:r>
    </w:p>
    <w:p w14:paraId="621C1122" w14:textId="77777777" w:rsidR="00DE6B39" w:rsidRDefault="006A219F">
      <w:pPr>
        <w:pStyle w:val="Zkladntext20"/>
        <w:shd w:val="clear" w:color="auto" w:fill="auto"/>
        <w:spacing w:after="393" w:line="200" w:lineRule="exact"/>
        <w:ind w:left="1960"/>
      </w:pPr>
      <w:r>
        <w:t>FORMULÁŘE KE KRITÉRIU „ODBORNÁ ÚROVEŇ"</w:t>
      </w:r>
    </w:p>
    <w:p w14:paraId="69CA3F2F" w14:textId="77777777" w:rsidR="00DE6B39" w:rsidRDefault="006A219F">
      <w:pPr>
        <w:pStyle w:val="Zkladntext20"/>
        <w:shd w:val="clear" w:color="auto" w:fill="auto"/>
        <w:spacing w:line="245" w:lineRule="exact"/>
        <w:ind w:left="380" w:right="820"/>
        <w:jc w:val="right"/>
      </w:pPr>
      <w:r>
        <w:t>Pro veřejnou zakázku: „Výběr projektanta a poskytování souvisejících činností k akci přístavba Středoevropského fóra Olomouc a související rekonstrukce stávající budovy Muzea umění</w:t>
      </w:r>
    </w:p>
    <w:p w14:paraId="0EE6D541" w14:textId="77777777" w:rsidR="00DE6B39" w:rsidRDefault="006A219F">
      <w:pPr>
        <w:pStyle w:val="Zkladntext20"/>
        <w:shd w:val="clear" w:color="auto" w:fill="auto"/>
        <w:spacing w:after="431" w:line="245" w:lineRule="exact"/>
        <w:ind w:left="4160"/>
      </w:pPr>
      <w:r>
        <w:t>Olomouc"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6706"/>
      </w:tblGrid>
      <w:tr w:rsidR="00DE6B39" w14:paraId="512AE623" w14:textId="77777777">
        <w:trPr>
          <w:trHeight w:val="456"/>
          <w:jc w:val="center"/>
        </w:trPr>
        <w:tc>
          <w:tcPr>
            <w:tcW w:w="9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FD6A9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Zadavatel</w:t>
            </w:r>
          </w:p>
        </w:tc>
      </w:tr>
      <w:tr w:rsidR="00DE6B39" w14:paraId="45F9660F" w14:textId="77777777">
        <w:trPr>
          <w:trHeight w:val="61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B743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Název: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26A6C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Muzeum umění Olomouc, státní příspěvková organizace</w:t>
            </w:r>
          </w:p>
        </w:tc>
      </w:tr>
      <w:tr w:rsidR="00DE6B39" w14:paraId="501A06CE" w14:textId="77777777">
        <w:trPr>
          <w:trHeight w:val="45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977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Sídlo: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6FCE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Denisova 824/47, 779 00 Olomouc</w:t>
            </w:r>
          </w:p>
        </w:tc>
      </w:tr>
      <w:tr w:rsidR="00DE6B39" w14:paraId="250540CD" w14:textId="77777777">
        <w:trPr>
          <w:trHeight w:val="45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3E5EE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IČO: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88DD1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750 79 950</w:t>
            </w:r>
          </w:p>
        </w:tc>
      </w:tr>
      <w:tr w:rsidR="00DE6B39" w14:paraId="20AAD340" w14:textId="77777777">
        <w:trPr>
          <w:trHeight w:val="744"/>
          <w:jc w:val="center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93C2F3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 xml:space="preserve">Projektový cíl 1) — Zajištění realizace projektu, navazujících schvalovacích procesů a zahájení výstavby v co </w:t>
            </w:r>
            <w:r>
              <w:t>nejkratším čase</w:t>
            </w:r>
          </w:p>
        </w:tc>
      </w:tr>
      <w:tr w:rsidR="00DE6B39" w14:paraId="1AD4BB5E" w14:textId="77777777">
        <w:trPr>
          <w:trHeight w:val="34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6F219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ind w:left="120"/>
            </w:pPr>
            <w:r>
              <w:t>Návrh nebo opatření k naplnění projektového cíle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9D98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Objednatel předpokládá od podpisu smlouvy po výběr generálního dodavatele stavby 30 měsíců. Našim přijatým opatřením k naplnění projektového cíle je v rámci projednávání stavebního řízení zpracovávat již Dokumentaci pro provádění stavby, tj. zpracování DPS bude zahájeno před vydáním stavebního povolení s ohledem na garantovanou kvalitu zpracování předchozího stupně PD. Dokážeme tak snížit počet měsíců na 24. Vzhledem k tomu, že máme přímé zkušenosti s vyřízením obdobných staveb v Olomouci na stavebním úřadu</w:t>
            </w:r>
            <w:r>
              <w:t xml:space="preserve">, včetně přímých kontaktů a korektních vztahů na stavebním úřadu, tak máme představu o rychlém vyřízení projektu SEFO. Během projektování Dokumentace pro společné povolení budeme </w:t>
            </w:r>
            <w:proofErr w:type="spellStart"/>
            <w:r>
              <w:t>předjednávat</w:t>
            </w:r>
            <w:proofErr w:type="spellEnd"/>
            <w:r>
              <w:t xml:space="preserve"> s dotčenými orgány jednotlivé profese. Plánovanou lhůtu 6 měsíců inženýrské činnosti dokážeme zkrátit na polovinu, tedy na 3 měsíce.</w:t>
            </w:r>
          </w:p>
        </w:tc>
      </w:tr>
      <w:tr w:rsidR="00DE6B39" w14:paraId="35F678AA" w14:textId="77777777">
        <w:trPr>
          <w:trHeight w:val="173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D565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ind w:left="120"/>
            </w:pPr>
            <w:r>
              <w:t>Dominantní informace — odůvodnění realizovatelnosti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B7223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Projekt SEFO je pro naši kancelář prioritní. Naše kapacita bude vyhrazena pouze tomuto projektu. Nicméně zcela zásadní je naše znalost vyřizování obdobného projektu občanské vybavenosti v Olomouci. Předpokládaných 30 měsíců na všechny projekční práce i vyřízení dokážeme zkrátit na 21 měsíců, což představuje zhruba</w:t>
            </w:r>
            <w:r>
              <w:rPr>
                <w:rStyle w:val="ZkladntextTun"/>
              </w:rPr>
              <w:t xml:space="preserve"> časovou úsporu 1/3 předpokladu Objednatele.</w:t>
            </w:r>
          </w:p>
        </w:tc>
      </w:tr>
      <w:tr w:rsidR="00DE6B39" w14:paraId="503C9AD1" w14:textId="77777777">
        <w:trPr>
          <w:trHeight w:val="347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E454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after="60" w:line="245" w:lineRule="exact"/>
              <w:ind w:left="120"/>
            </w:pPr>
            <w:r>
              <w:rPr>
                <w:rStyle w:val="Zkladntext21"/>
              </w:rPr>
              <w:t xml:space="preserve">Sdělení k prokázání </w:t>
            </w:r>
            <w:r>
              <w:rPr>
                <w:rStyle w:val="Zkladntext21"/>
              </w:rPr>
              <w:t>správnosti, pravdivosti a věrohodnosti dominantních informací;</w:t>
            </w:r>
          </w:p>
          <w:p w14:paraId="04674ACD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before="60" w:line="250" w:lineRule="exact"/>
              <w:ind w:left="120"/>
            </w:pPr>
            <w:r>
              <w:rPr>
                <w:rStyle w:val="Zkladntext21"/>
              </w:rPr>
              <w:t>Technické upřesnění návrhů a opatření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D5D9D" w14:textId="7D710DA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after="60" w:line="245" w:lineRule="exact"/>
              <w:jc w:val="both"/>
            </w:pPr>
            <w:r>
              <w:rPr>
                <w:rStyle w:val="Zkladntext1"/>
              </w:rPr>
              <w:t xml:space="preserve">S ohledem na projektované stavby v </w:t>
            </w:r>
            <w:proofErr w:type="gramStart"/>
            <w:r>
              <w:rPr>
                <w:rStyle w:val="Zkladntext1"/>
              </w:rPr>
              <w:t>Olomouci - Arcidiecézní</w:t>
            </w:r>
            <w:proofErr w:type="gramEnd"/>
            <w:r>
              <w:rPr>
                <w:rStyle w:val="Zkladntext1"/>
              </w:rPr>
              <w:t xml:space="preserve"> muzeum Olomouc a Úpravy objektů v areálu NKP Olomoucký hrad s kostelem sv. Václava, můžeme deklarovat naši zkušenost s projednáváním obdobných projektů na místně příslušném stavebním úřadu. Stavební povolení nám zajišťovalo studio PAB s.r.o., které sídlí v Olomouci a má kontakty na příslušném stavebním úřadě. S příslušnými úřady budeme komunikovat právě prostřednictvím studia PAB s.r.o., která má místní znalost a zkušenost s vyřízením obdobných projektů v Olomouci. Pro ověření této i</w:t>
            </w:r>
            <w:r>
              <w:rPr>
                <w:rStyle w:val="Zkladntext1"/>
              </w:rPr>
              <w:t xml:space="preserve">nformace je možné kontaktovat </w:t>
            </w:r>
            <w:proofErr w:type="spellStart"/>
            <w:r w:rsidR="00EA3845">
              <w:rPr>
                <w:rStyle w:val="Zkladntext1"/>
              </w:rPr>
              <w:t>xxx</w:t>
            </w:r>
            <w:proofErr w:type="spellEnd"/>
          </w:p>
          <w:p w14:paraId="5AECF9EB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line="245" w:lineRule="exact"/>
              <w:jc w:val="both"/>
            </w:pPr>
            <w:r>
              <w:rPr>
                <w:rStyle w:val="Zkladntext1"/>
              </w:rPr>
              <w:t>V rámci projektu Centrálně polytechnických dílen a galerie města Pardubic probíhalo souběžně projektování a projednání stavebního povolení s prací na prováděcí dokumentaci. Na tomto projektu se nám podařilo docílit</w:t>
            </w:r>
          </w:p>
        </w:tc>
      </w:tr>
    </w:tbl>
    <w:p w14:paraId="400C13BA" w14:textId="77777777" w:rsidR="00DE6B39" w:rsidRDefault="00DE6B3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696"/>
      </w:tblGrid>
      <w:tr w:rsidR="00DE6B39" w14:paraId="0C44F543" w14:textId="77777777">
        <w:trPr>
          <w:trHeight w:val="112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8B35" w14:textId="77777777" w:rsidR="00DE6B39" w:rsidRDefault="00DE6B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2326A" w14:textId="51CE0505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22"/>
              </w:rPr>
              <w:t xml:space="preserve">časové úspory oproti předpokládanému termínu. Pro ověření této informace je možné kontaktovat technického manažera stavby </w:t>
            </w:r>
            <w:proofErr w:type="spellStart"/>
            <w:r w:rsidR="00EA3845">
              <w:rPr>
                <w:rStyle w:val="Zkladntext22"/>
              </w:rPr>
              <w:t>xxx</w:t>
            </w:r>
            <w:proofErr w:type="spellEnd"/>
            <w:r w:rsidRPr="000E3C82">
              <w:rPr>
                <w:rStyle w:val="Zkladntext22"/>
              </w:rPr>
              <w:t xml:space="preserve">. </w:t>
            </w:r>
            <w:r>
              <w:rPr>
                <w:rStyle w:val="Zkladntext22"/>
              </w:rPr>
              <w:t>Dále je dokladem referenční list, který byl součástí naší nabídky, který přikládáme jako přílohu znovu.</w:t>
            </w:r>
          </w:p>
        </w:tc>
      </w:tr>
      <w:tr w:rsidR="00DE6B39" w14:paraId="28206DFF" w14:textId="77777777">
        <w:trPr>
          <w:trHeight w:val="744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1BC45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Projektový cíl 2) — Dosažení maximální udržitelnosti stavby a minimalizace nákladů životního cyklu</w:t>
            </w:r>
          </w:p>
        </w:tc>
      </w:tr>
      <w:tr w:rsidR="00DE6B39" w14:paraId="391AF660" w14:textId="77777777">
        <w:trPr>
          <w:trHeight w:val="1187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9BAF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jc w:val="both"/>
            </w:pPr>
            <w:r>
              <w:t>Návrh nebo opatření k naplnění projektového cíle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96CA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after="60" w:line="245" w:lineRule="exact"/>
              <w:jc w:val="both"/>
            </w:pPr>
            <w:r>
              <w:t xml:space="preserve">Celkovou energetickou náročnost budovy budeme realizovat v úrovni </w:t>
            </w:r>
            <w:r>
              <w:rPr>
                <w:rStyle w:val="ZkladntextTun0"/>
              </w:rPr>
              <w:t>pasivního standardu,</w:t>
            </w:r>
            <w:r>
              <w:t xml:space="preserve"> který u podobných budov odpovídá potřebě tepla na vytápění na úrovni 15 [kWh/m2.rok]. Oproti současným požadavkům na úrovni Referenční budovy, který je přibližně 35 [kWh/m2.rok] se jedná o zlepšení ve výši 57 %. Tomuto záměru bude odpovídat i zatřídění budovy podle energetické náročnosti. Na úrovni stavebních konstrukcí se uvažuje o třídě A. Běžný typický standard je přitom na úrovni B až C.</w:t>
            </w:r>
          </w:p>
          <w:p w14:paraId="434A93EE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after="60" w:line="245" w:lineRule="exact"/>
              <w:jc w:val="both"/>
            </w:pPr>
            <w:r>
              <w:rPr>
                <w:rStyle w:val="ZkladntextTun0"/>
              </w:rPr>
              <w:t>Obálka budovy:</w:t>
            </w:r>
            <w:r>
              <w:t xml:space="preserve"> cílí na</w:t>
            </w:r>
            <w:r>
              <w:rPr>
                <w:rStyle w:val="ZkladntextTun0"/>
              </w:rPr>
              <w:t xml:space="preserve"> pasivní standard,</w:t>
            </w:r>
            <w:r>
              <w:t xml:space="preserve"> což je velmi přísný požadavek na kvalitu obalových konstrukcí budovy. Součinitelé prostupu tepla U dle ČSN 73 0540-2 se proto uvažují na úrovni doporučených hodnot pro pasivní budovy Upas,20, které jsou oproti současně požadovaným Referenčním hodnotám UR v průměru lepší o 40-52 %. Například u neprůsvitných obalových konstrukcí obvodového pláště je požadovaná Referenční hodnota UR na úrovni 0,21 [W/m2.K], zatímco doporučené hodnoty pro pasivní budovy Upas,20 jsou 0,18 — 0,12 [W/m2.</w:t>
            </w:r>
            <w:r>
              <w:t>K]. Průsvitné výplně a dveře jsou uvažovány podobně. U oken a prosklených ploch jsou předpokládány výplně s parametry trojskel. Zde je Referenční hodnota UR na úrovni 1,0 [W/m2.K], zatímco doporučené hodnoty pro pasivní budovy Upas,20 jsou 0,80 - 0,60 [W/m2.K].</w:t>
            </w:r>
          </w:p>
          <w:p w14:paraId="1F19F56B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after="60" w:line="240" w:lineRule="exact"/>
              <w:jc w:val="both"/>
            </w:pPr>
            <w:r>
              <w:rPr>
                <w:rStyle w:val="ZkladntextTun0"/>
              </w:rPr>
              <w:t>Zdroje a využití obnovitelných zdrojů energie (OZE):</w:t>
            </w:r>
            <w:r>
              <w:t xml:space="preserve"> Naším cílem je garance maximálního využití OZE, zejména tepelných čerpadel.</w:t>
            </w:r>
          </w:p>
          <w:p w14:paraId="41E8C930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after="60" w:line="245" w:lineRule="exact"/>
              <w:jc w:val="both"/>
            </w:pPr>
            <w:r>
              <w:rPr>
                <w:rStyle w:val="ZkladntextTun0"/>
              </w:rPr>
              <w:t>Vytápění:</w:t>
            </w:r>
            <w:r>
              <w:t xml:space="preserve"> Čím je kvalitnější obálka budovy, tím je nižší požadavek na výkon zdroje tepla. Primární zdroj bude na principu maximálního využití </w:t>
            </w:r>
            <w:proofErr w:type="spellStart"/>
            <w:r>
              <w:t>nízkopotenciálního</w:t>
            </w:r>
            <w:proofErr w:type="spellEnd"/>
            <w:r>
              <w:t xml:space="preserve"> tepla. Uvažuje se realizace vrtného pole přímo pod budovou. Počet vrtů bude optimalizován na základě tepelné kapacity zkušebního vrtu. U tepelného čerpadla se předpokládá plynulé řízení výkonu. Systém vytápění bude nízkoteplotní. Koncové prvky budou podlahové systémy vytápění.</w:t>
            </w:r>
          </w:p>
          <w:p w14:paraId="1A7AFC93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after="60" w:line="245" w:lineRule="exact"/>
              <w:jc w:val="both"/>
            </w:pPr>
            <w:r>
              <w:rPr>
                <w:rStyle w:val="ZkladntextTun0"/>
              </w:rPr>
              <w:t>Větrání a vzduchotechnika (VZT):</w:t>
            </w:r>
            <w:r>
              <w:t xml:space="preserve"> předpokládá se energetický standard minimálně podle </w:t>
            </w:r>
            <w:proofErr w:type="spellStart"/>
            <w:r>
              <w:t>Ecodesign</w:t>
            </w:r>
            <w:proofErr w:type="spellEnd"/>
            <w:r>
              <w:t xml:space="preserve"> </w:t>
            </w:r>
            <w:proofErr w:type="spellStart"/>
            <w:r>
              <w:t>ErP</w:t>
            </w:r>
            <w:proofErr w:type="spellEnd"/>
            <w:r>
              <w:t xml:space="preserve"> 2018. Pro zpětné získávání tepla (ZZT — rekuperace) uvažujeme přednostně s využitím rotačních rekuperátorů s entalpickým přenosem vlhkosti. Vzhledem ke tvaru objektů doporučujeme a budeme cílit na maximální využití přirozeného větrání termickým vztlakem zejména v přechodových obdobích (duben, květen, září, říjen) s ohledem na možnosti vystavovaných exponátů. Stejný princip lze s výhodou využít pro noční vychlazování v letních měsících (</w:t>
            </w:r>
            <w:proofErr w:type="spellStart"/>
            <w:r>
              <w:t>freec</w:t>
            </w:r>
            <w:r>
              <w:t>ooling</w:t>
            </w:r>
            <w:proofErr w:type="spellEnd"/>
            <w:r>
              <w:t>). Zároveň se uvažuje s využitím tepla z odpadního vzduchu, které bude použito pro předehřev přívodního vzduchu.</w:t>
            </w:r>
          </w:p>
          <w:p w14:paraId="7B384779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60" w:line="245" w:lineRule="exact"/>
              <w:jc w:val="both"/>
            </w:pPr>
            <w:r>
              <w:rPr>
                <w:rStyle w:val="ZkladntextTun0"/>
              </w:rPr>
              <w:t>Chlazení:</w:t>
            </w:r>
            <w:r>
              <w:t xml:space="preserve"> Jako primární zdroj bude opět využita tepelná čerpadla a vrtné pole pod budovou s optimalizací regenerace vrtů, případně využití energie venkovního prostředí. Pro doplnění kapacity lze využít sekundární zdroje chlazení s kompresorovými jednotkami a venkovními chladiči. Koncové prvky chlazení budou stejné, jako prvky pro vytápění, tedy podlahové a stěnové systémy. S ohledem na výstavní prostory se uvažuje s dochlazováním vzduchem s vyústkami pod střechou.</w:t>
            </w:r>
          </w:p>
        </w:tc>
      </w:tr>
    </w:tbl>
    <w:p w14:paraId="5A6A9FCF" w14:textId="77777777" w:rsidR="00DE6B39" w:rsidRDefault="00DE6B3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672"/>
      </w:tblGrid>
      <w:tr w:rsidR="00DE6B39" w14:paraId="5C3B86F6" w14:textId="77777777">
        <w:trPr>
          <w:trHeight w:val="248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A75C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ind w:left="120"/>
            </w:pPr>
            <w:r>
              <w:lastRenderedPageBreak/>
              <w:t>Dominantní informace — odůvodnění realizovatelnosti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421F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 xml:space="preserve">Na základě našich zkušeností ze stavby občanské vybavenosti v krajském městě — galerie — o investičních nákladech v řádu sta milionů korun víme, že u budovy postavené v </w:t>
            </w:r>
            <w:r>
              <w:t>pasivním standardu je možné vhodnou kombinací zdrojů snížit provozní náklady na energie i</w:t>
            </w:r>
            <w:r>
              <w:rPr>
                <w:rStyle w:val="ZkladntextTun1"/>
              </w:rPr>
              <w:t xml:space="preserve"> o více než 30 % oproti stávající běžné výstavbě.</w:t>
            </w:r>
            <w:r>
              <w:t xml:space="preserve"> Námi navržená opatření umožní vytvořit budovu, která bude mít nejméně</w:t>
            </w:r>
            <w:r>
              <w:rPr>
                <w:rStyle w:val="ZkladntextTun1"/>
              </w:rPr>
              <w:t xml:space="preserve"> o 10 % nižší spotřebu</w:t>
            </w:r>
            <w:r>
              <w:t xml:space="preserve"> neobnovitelné energie, než je národní standard na budovy s téměř nulovou spotřebou energie. Tomu bude odpovídat i snížení provozních nákladů v rámci životního cyklu.</w:t>
            </w:r>
          </w:p>
        </w:tc>
      </w:tr>
      <w:tr w:rsidR="00DE6B39" w14:paraId="1B2078C4" w14:textId="77777777">
        <w:trPr>
          <w:trHeight w:val="37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7430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after="60" w:line="245" w:lineRule="exact"/>
              <w:ind w:left="120"/>
            </w:pPr>
            <w:r>
              <w:rPr>
                <w:rStyle w:val="Zkladntext23"/>
              </w:rPr>
              <w:t>Sdělení k prokázání správnosti, pravdivosti a věrohodnosti dominantních informací;</w:t>
            </w:r>
          </w:p>
          <w:p w14:paraId="36375A10" w14:textId="77777777" w:rsidR="00DE6B39" w:rsidRDefault="006A219F">
            <w:pPr>
              <w:pStyle w:val="Zkladntext20"/>
              <w:framePr w:wrap="notBeside" w:vAnchor="text" w:hAnchor="text" w:xAlign="center" w:y="1"/>
              <w:shd w:val="clear" w:color="auto" w:fill="auto"/>
              <w:spacing w:before="60" w:line="254" w:lineRule="exact"/>
              <w:ind w:left="120"/>
            </w:pPr>
            <w:r>
              <w:rPr>
                <w:rStyle w:val="Zkladntext23"/>
              </w:rPr>
              <w:t>Technické upřesnění návrhů a opatření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6DEC6" w14:textId="7124B2E8" w:rsidR="00DE6B39" w:rsidRDefault="006A219F">
            <w:pPr>
              <w:pStyle w:val="Zkladntext4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spacing w:after="180" w:line="245" w:lineRule="exact"/>
              <w:jc w:val="both"/>
            </w:pPr>
            <w:r>
              <w:rPr>
                <w:rStyle w:val="Zkladntext31"/>
              </w:rPr>
              <w:t xml:space="preserve">rámci projektu Galerie města Pardubic a Centrálně polytechnické dílny byla řešena udržitelnost stavby, která byla docílena doplněním tepelného čerpadla. Pro ověření této informace je možné kontaktovat technického manažera stavby </w:t>
            </w:r>
            <w:proofErr w:type="spellStart"/>
            <w:r w:rsidR="00EA3845">
              <w:rPr>
                <w:rStyle w:val="Zkladntext31"/>
              </w:rPr>
              <w:t>xxx</w:t>
            </w:r>
            <w:proofErr w:type="spellEnd"/>
            <w:r w:rsidRPr="000E3C82">
              <w:rPr>
                <w:rStyle w:val="Zkladntext31"/>
              </w:rPr>
              <w:t xml:space="preserve">. </w:t>
            </w:r>
            <w:r>
              <w:rPr>
                <w:rStyle w:val="Zkladntext31"/>
              </w:rPr>
              <w:t>Dále je dokladem referenční list, který byl součástí naší nabídky, který přikládáme jako přílohu znovu.</w:t>
            </w:r>
          </w:p>
          <w:p w14:paraId="451D05EE" w14:textId="77777777" w:rsidR="00DE6B39" w:rsidRDefault="006A219F">
            <w:pPr>
              <w:pStyle w:val="Zkladntext4"/>
              <w:framePr w:wrap="notBeside" w:vAnchor="text" w:hAnchor="text" w:xAlign="center" w:y="1"/>
              <w:shd w:val="clear" w:color="auto" w:fill="auto"/>
              <w:spacing w:before="180" w:line="245" w:lineRule="exact"/>
              <w:jc w:val="both"/>
            </w:pPr>
            <w:r>
              <w:rPr>
                <w:rStyle w:val="Zkladntext31"/>
              </w:rPr>
              <w:t xml:space="preserve">Po konzultaci s firmou </w:t>
            </w:r>
            <w:proofErr w:type="spellStart"/>
            <w:r>
              <w:rPr>
                <w:rStyle w:val="Zkladntext31"/>
              </w:rPr>
              <w:t>EkoWATT</w:t>
            </w:r>
            <w:proofErr w:type="spellEnd"/>
            <w:r>
              <w:rPr>
                <w:rStyle w:val="Zkladntext31"/>
              </w:rPr>
              <w:t xml:space="preserve"> CZ s.r.o, navrhujeme doplnit celý projekt o tepelné čerpadlo země-voda. Uvažuje se realizace vrtného pole přímo pod budovou, případně využití energie venkovního prostředí. Počet vrtů bude optimalizován na základě tepelné kapacity zkušebního vrtu.</w:t>
            </w:r>
          </w:p>
          <w:p w14:paraId="0579578D" w14:textId="77777777" w:rsidR="00DE6B39" w:rsidRDefault="006A219F">
            <w:pPr>
              <w:pStyle w:val="Zkladntext4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line="245" w:lineRule="exact"/>
              <w:jc w:val="both"/>
            </w:pPr>
            <w:r>
              <w:rPr>
                <w:rStyle w:val="Zkladntext31"/>
              </w:rPr>
              <w:t>případě využití energie prostředí bude počet tepelných čerpadel optimalizován na základě klimatické oblasti, požadované teploty v interiéru a teplotního spádu. Taková úprava bude vyžadovat projektovou přípravu i zvýšené náklady na realizaci vrtů tepelného čerpadla.</w:t>
            </w:r>
          </w:p>
        </w:tc>
      </w:tr>
    </w:tbl>
    <w:p w14:paraId="47C5C80D" w14:textId="77777777" w:rsidR="00DE6B39" w:rsidRDefault="00DE6B39">
      <w:pPr>
        <w:rPr>
          <w:sz w:val="2"/>
          <w:szCs w:val="2"/>
        </w:rPr>
      </w:pPr>
    </w:p>
    <w:sectPr w:rsidR="00DE6B39">
      <w:type w:val="continuous"/>
      <w:pgSz w:w="11905" w:h="16837"/>
      <w:pgMar w:top="1394" w:right="944" w:bottom="1440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2578" w14:textId="77777777" w:rsidR="00F41555" w:rsidRDefault="00F41555">
      <w:r>
        <w:separator/>
      </w:r>
    </w:p>
  </w:endnote>
  <w:endnote w:type="continuationSeparator" w:id="0">
    <w:p w14:paraId="51892868" w14:textId="77777777" w:rsidR="00F41555" w:rsidRDefault="00F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B6F3" w14:textId="77777777" w:rsidR="00F41555" w:rsidRDefault="00F41555"/>
  </w:footnote>
  <w:footnote w:type="continuationSeparator" w:id="0">
    <w:p w14:paraId="7F60C841" w14:textId="77777777" w:rsidR="00F41555" w:rsidRDefault="00F41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12C87"/>
    <w:multiLevelType w:val="multilevel"/>
    <w:tmpl w:val="BF12914A"/>
    <w:lvl w:ilvl="0">
      <w:start w:val="1"/>
      <w:numFmt w:val="bullet"/>
      <w:lvlText w:val="V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307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39"/>
    <w:rsid w:val="000E3C82"/>
    <w:rsid w:val="006A219F"/>
    <w:rsid w:val="00DE6B39"/>
    <w:rsid w:val="00EA3845"/>
    <w:rsid w:val="00F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594"/>
  <w15:docId w15:val="{9C66CF38-2B09-4029-9987-34B3611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">
    <w:name w:val="Základní text + 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">
    <w:name w:val="Základní text1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22">
    <w:name w:val="Základní text2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0">
    <w:name w:val="Základní text + 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Tun1">
    <w:name w:val="Základní text + 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3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1">
    <w:name w:val="Základní text3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50" w:lineRule="exact"/>
    </w:pPr>
    <w:rPr>
      <w:rFonts w:ascii="Garamond" w:eastAsia="Garamond" w:hAnsi="Garamond" w:cs="Garamond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6579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- 1. 2. P\370\355loha \350. 8 - Formul\341\370 ke krit\351riu odborn\341 \372rove\362)</vt:lpstr>
    </vt:vector>
  </TitlesOfParts>
  <Company>HAVEL &amp; PARTNERS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- 1. 2. P\370\355loha \350. 8 - Formul\341\370 ke krit\351riu odborn\341 \372rove\362)</dc:title>
  <dc:subject/>
  <dc:creator>H&amp;P</dc:creator>
  <cp:keywords/>
  <cp:lastModifiedBy>Kovaříková Jana</cp:lastModifiedBy>
  <cp:revision>2</cp:revision>
  <dcterms:created xsi:type="dcterms:W3CDTF">2024-01-22T10:00:00Z</dcterms:created>
  <dcterms:modified xsi:type="dcterms:W3CDTF">2024-01-22T10:00:00Z</dcterms:modified>
</cp:coreProperties>
</file>