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B329" w14:textId="77777777" w:rsidR="00BD6FE8" w:rsidRPr="00C74498" w:rsidRDefault="00BD6FE8" w:rsidP="00BD6FE8">
      <w:pPr>
        <w:spacing w:line="280" w:lineRule="atLeast"/>
        <w:jc w:val="center"/>
        <w:rPr>
          <w:rFonts w:ascii="Garamond" w:hAnsi="Garamond"/>
          <w:b/>
          <w:szCs w:val="22"/>
        </w:rPr>
      </w:pPr>
      <w:r w:rsidRPr="00C74498">
        <w:rPr>
          <w:rFonts w:ascii="Garamond" w:hAnsi="Garamond"/>
          <w:b/>
          <w:szCs w:val="22"/>
        </w:rPr>
        <w:t>Příloha č. 9</w:t>
      </w:r>
    </w:p>
    <w:p w14:paraId="5D40F061" w14:textId="77777777" w:rsidR="00BD6FE8" w:rsidRPr="00C74498" w:rsidRDefault="00BD6FE8" w:rsidP="00BD6FE8">
      <w:pPr>
        <w:tabs>
          <w:tab w:val="left" w:pos="1905"/>
        </w:tabs>
        <w:spacing w:before="240" w:after="480"/>
        <w:jc w:val="center"/>
        <w:rPr>
          <w:rFonts w:ascii="Garamond" w:hAnsi="Garamond"/>
          <w:b/>
          <w:bCs/>
          <w:szCs w:val="22"/>
        </w:rPr>
      </w:pPr>
      <w:r w:rsidRPr="00C74498">
        <w:rPr>
          <w:rFonts w:ascii="Garamond" w:hAnsi="Garamond"/>
          <w:b/>
          <w:bCs/>
          <w:szCs w:val="22"/>
        </w:rPr>
        <w:t>FORMULÁŘE KE KRITÉRIU „IDENTIFIKACE A ŘÍZENÍ RIZIK“</w:t>
      </w:r>
    </w:p>
    <w:p w14:paraId="1F5293D4" w14:textId="77777777" w:rsidR="00BD6FE8" w:rsidRPr="00C74498" w:rsidRDefault="00BD6FE8" w:rsidP="00BD6FE8">
      <w:pPr>
        <w:tabs>
          <w:tab w:val="left" w:pos="1905"/>
        </w:tabs>
        <w:spacing w:before="240" w:after="480"/>
        <w:jc w:val="center"/>
        <w:rPr>
          <w:rFonts w:ascii="Garamond" w:hAnsi="Garamond"/>
          <w:b/>
          <w:bCs/>
          <w:szCs w:val="22"/>
        </w:rPr>
      </w:pPr>
      <w:r w:rsidRPr="00C74498">
        <w:rPr>
          <w:rFonts w:ascii="Garamond" w:hAnsi="Garamond"/>
          <w:b/>
          <w:bCs/>
          <w:szCs w:val="22"/>
        </w:rPr>
        <w:t>Pro veřejnou zakázku: „</w:t>
      </w:r>
      <w:r w:rsidRPr="00C74498">
        <w:rPr>
          <w:rFonts w:ascii="Garamond" w:hAnsi="Garamond"/>
          <w:b/>
          <w:szCs w:val="22"/>
        </w:rPr>
        <w:t>Výběr projektanta a poskytování souvisejících činností k akci přístavba Středoevropského fóra Olomouc a související rekonstrukce stávající budovy Muzea umění Olomouc</w:t>
      </w:r>
      <w:r w:rsidRPr="00C74498">
        <w:rPr>
          <w:rFonts w:ascii="Garamond" w:hAnsi="Garamond"/>
          <w:b/>
          <w:bCs/>
          <w:szCs w:val="22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663"/>
      </w:tblGrid>
      <w:tr w:rsidR="00BD6FE8" w:rsidRPr="00C74498" w14:paraId="52EBEE7C" w14:textId="77777777" w:rsidTr="008D6F5A">
        <w:trPr>
          <w:trHeight w:val="348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3DFDF6A5" w14:textId="77777777" w:rsidR="00BD6FE8" w:rsidRPr="00C74498" w:rsidRDefault="00BD6FE8" w:rsidP="008D6F5A">
            <w:pPr>
              <w:spacing w:before="60" w:after="60" w:line="320" w:lineRule="atLeast"/>
              <w:jc w:val="left"/>
              <w:rPr>
                <w:rFonts w:ascii="Garamond" w:hAnsi="Garamond"/>
                <w:b/>
                <w:szCs w:val="22"/>
              </w:rPr>
            </w:pPr>
            <w:r w:rsidRPr="00C74498">
              <w:rPr>
                <w:rFonts w:ascii="Garamond" w:hAnsi="Garamond"/>
                <w:b/>
                <w:szCs w:val="22"/>
              </w:rPr>
              <w:t xml:space="preserve">Zadavatel </w:t>
            </w:r>
          </w:p>
        </w:tc>
      </w:tr>
      <w:tr w:rsidR="00BD6FE8" w:rsidRPr="00C74498" w14:paraId="60676B95" w14:textId="77777777" w:rsidTr="008D6F5A">
        <w:trPr>
          <w:trHeight w:val="33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028DD05" w14:textId="77777777" w:rsidR="00BD6FE8" w:rsidRPr="00C74498" w:rsidRDefault="00BD6FE8" w:rsidP="008D6F5A">
            <w:pPr>
              <w:spacing w:before="60" w:after="60" w:line="320" w:lineRule="atLeast"/>
              <w:jc w:val="left"/>
              <w:rPr>
                <w:rFonts w:ascii="Garamond" w:hAnsi="Garamond"/>
                <w:b/>
                <w:szCs w:val="22"/>
              </w:rPr>
            </w:pPr>
            <w:r w:rsidRPr="00C74498">
              <w:rPr>
                <w:rFonts w:ascii="Garamond" w:hAnsi="Garamond"/>
                <w:b/>
                <w:szCs w:val="22"/>
              </w:rPr>
              <w:t>Název:</w:t>
            </w:r>
          </w:p>
        </w:tc>
        <w:tc>
          <w:tcPr>
            <w:tcW w:w="6663" w:type="dxa"/>
            <w:vAlign w:val="center"/>
          </w:tcPr>
          <w:p w14:paraId="7AB3D7B6" w14:textId="77777777" w:rsidR="00BD6FE8" w:rsidRPr="00C74498" w:rsidRDefault="00BD6FE8" w:rsidP="008D6F5A">
            <w:pPr>
              <w:spacing w:after="240"/>
              <w:rPr>
                <w:rFonts w:ascii="Garamond" w:hAnsi="Garamond"/>
                <w:b/>
                <w:szCs w:val="22"/>
              </w:rPr>
            </w:pPr>
            <w:r w:rsidRPr="00C74498">
              <w:rPr>
                <w:rFonts w:ascii="Garamond" w:hAnsi="Garamond"/>
                <w:b/>
                <w:szCs w:val="22"/>
              </w:rPr>
              <w:t>Muzeum umění Olomouc, státní příspěvková organizace</w:t>
            </w:r>
          </w:p>
        </w:tc>
      </w:tr>
      <w:tr w:rsidR="00BD6FE8" w:rsidRPr="00C74498" w14:paraId="4EA71E21" w14:textId="77777777" w:rsidTr="008D6F5A">
        <w:trPr>
          <w:trHeight w:val="33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A9726BD" w14:textId="77777777" w:rsidR="00BD6FE8" w:rsidRPr="00C74498" w:rsidRDefault="00BD6FE8" w:rsidP="008D6F5A">
            <w:pPr>
              <w:spacing w:before="60" w:after="60" w:line="320" w:lineRule="atLeast"/>
              <w:jc w:val="left"/>
              <w:rPr>
                <w:rFonts w:ascii="Garamond" w:hAnsi="Garamond"/>
                <w:b/>
                <w:szCs w:val="22"/>
              </w:rPr>
            </w:pPr>
            <w:r w:rsidRPr="00C74498">
              <w:rPr>
                <w:rFonts w:ascii="Garamond" w:hAnsi="Garamond"/>
                <w:b/>
                <w:szCs w:val="22"/>
              </w:rPr>
              <w:t>Sídlo:</w:t>
            </w:r>
          </w:p>
        </w:tc>
        <w:tc>
          <w:tcPr>
            <w:tcW w:w="6663" w:type="dxa"/>
            <w:vAlign w:val="center"/>
          </w:tcPr>
          <w:p w14:paraId="13B62B48" w14:textId="77777777" w:rsidR="00BD6FE8" w:rsidRPr="00C74498" w:rsidRDefault="00BD6FE8" w:rsidP="008D6F5A">
            <w:pPr>
              <w:pStyle w:val="Normal1"/>
              <w:tabs>
                <w:tab w:val="left" w:pos="2552"/>
              </w:tabs>
              <w:spacing w:before="60" w:after="60"/>
              <w:ind w:left="0"/>
              <w:jc w:val="left"/>
              <w:rPr>
                <w:rFonts w:ascii="Garamond" w:hAnsi="Garamond"/>
                <w:szCs w:val="22"/>
              </w:rPr>
            </w:pPr>
            <w:r w:rsidRPr="00C74498">
              <w:rPr>
                <w:rFonts w:ascii="Garamond" w:hAnsi="Garamond"/>
                <w:szCs w:val="22"/>
              </w:rPr>
              <w:t>Denisova 824/47, 779 00 Olomouc</w:t>
            </w:r>
          </w:p>
        </w:tc>
      </w:tr>
      <w:tr w:rsidR="00BD6FE8" w:rsidRPr="00C74498" w14:paraId="614B9EE5" w14:textId="77777777" w:rsidTr="008D6F5A">
        <w:trPr>
          <w:trHeight w:val="34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C3BC1EF" w14:textId="77777777" w:rsidR="00BD6FE8" w:rsidRPr="00C74498" w:rsidRDefault="00BD6FE8" w:rsidP="008D6F5A">
            <w:pPr>
              <w:spacing w:before="60" w:after="60" w:line="320" w:lineRule="atLeast"/>
              <w:jc w:val="left"/>
              <w:rPr>
                <w:rFonts w:ascii="Garamond" w:hAnsi="Garamond"/>
                <w:b/>
                <w:szCs w:val="22"/>
              </w:rPr>
            </w:pPr>
            <w:r w:rsidRPr="00C74498">
              <w:rPr>
                <w:rFonts w:ascii="Garamond" w:hAnsi="Garamond"/>
                <w:b/>
                <w:szCs w:val="22"/>
              </w:rPr>
              <w:t>IČO:</w:t>
            </w:r>
          </w:p>
        </w:tc>
        <w:tc>
          <w:tcPr>
            <w:tcW w:w="6663" w:type="dxa"/>
            <w:vAlign w:val="center"/>
          </w:tcPr>
          <w:p w14:paraId="1B8BE7E3" w14:textId="77777777" w:rsidR="00BD6FE8" w:rsidRPr="00C74498" w:rsidRDefault="00BD6FE8" w:rsidP="008D6F5A">
            <w:pPr>
              <w:pStyle w:val="Tab"/>
              <w:ind w:left="-284" w:firstLine="284"/>
              <w:rPr>
                <w:rFonts w:ascii="Garamond" w:hAnsi="Garamond" w:cs="Times New Roman"/>
                <w:sz w:val="22"/>
              </w:rPr>
            </w:pPr>
            <w:r w:rsidRPr="00C74498">
              <w:rPr>
                <w:rFonts w:ascii="Garamond" w:hAnsi="Garamond"/>
                <w:sz w:val="22"/>
              </w:rPr>
              <w:t>750 79 950</w:t>
            </w:r>
            <w:r w:rsidRPr="00C74498">
              <w:rPr>
                <w:rFonts w:ascii="Garamond" w:hAnsi="Garamond" w:cs="Times New Roman"/>
                <w:sz w:val="22"/>
              </w:rPr>
              <w:tab/>
            </w:r>
          </w:p>
        </w:tc>
      </w:tr>
    </w:tbl>
    <w:p w14:paraId="2D1B9035" w14:textId="77777777" w:rsidR="00BD6FE8" w:rsidRPr="00C74498" w:rsidRDefault="00BD6FE8" w:rsidP="00BD6FE8">
      <w:pPr>
        <w:rPr>
          <w:rFonts w:ascii="Garamond" w:hAnsi="Garamond"/>
          <w:b/>
          <w:bCs/>
          <w:szCs w:val="22"/>
        </w:rPr>
      </w:pPr>
      <w:r w:rsidRPr="00C74498">
        <w:rPr>
          <w:rFonts w:ascii="Garamond" w:hAnsi="Garamond"/>
          <w:b/>
          <w:bCs/>
          <w:szCs w:val="22"/>
        </w:rPr>
        <w:t>Riziko č. 1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BD6FE8" w:rsidRPr="00C62706" w14:paraId="0655DE88" w14:textId="77777777" w:rsidTr="008D6F5A">
        <w:tc>
          <w:tcPr>
            <w:tcW w:w="2830" w:type="dxa"/>
            <w:shd w:val="clear" w:color="auto" w:fill="F2F2F2" w:themeFill="background1" w:themeFillShade="F2"/>
          </w:tcPr>
          <w:p w14:paraId="15781301" w14:textId="77777777" w:rsidR="00BD6FE8" w:rsidRPr="00C62706" w:rsidRDefault="00BD6FE8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Identifikace a stručný popis rizika</w:t>
            </w:r>
          </w:p>
        </w:tc>
        <w:tc>
          <w:tcPr>
            <w:tcW w:w="6663" w:type="dxa"/>
          </w:tcPr>
          <w:p w14:paraId="3A7DC75C" w14:textId="77777777" w:rsidR="00BD6FE8" w:rsidRPr="00C62706" w:rsidRDefault="00C62706" w:rsidP="00C62706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</w:t>
            </w:r>
            <w:r w:rsidR="00FF7B34" w:rsidRPr="00C62706">
              <w:rPr>
                <w:rFonts w:ascii="Garamond" w:hAnsi="Garamond"/>
                <w:sz w:val="22"/>
                <w:szCs w:val="22"/>
              </w:rPr>
              <w:t>ydání souhlasného stanoviska ke stavebnímu povolení od odboru památkové péče Magistrátu města Olomouce</w:t>
            </w:r>
          </w:p>
        </w:tc>
      </w:tr>
      <w:tr w:rsidR="00BD6FE8" w:rsidRPr="00C62706" w14:paraId="689E7053" w14:textId="77777777" w:rsidTr="008D6F5A">
        <w:tc>
          <w:tcPr>
            <w:tcW w:w="2830" w:type="dxa"/>
            <w:shd w:val="clear" w:color="auto" w:fill="F2F2F2" w:themeFill="background1" w:themeFillShade="F2"/>
          </w:tcPr>
          <w:p w14:paraId="2746AD2C" w14:textId="77777777" w:rsidR="00BD6FE8" w:rsidRPr="00C62706" w:rsidRDefault="00BD6FE8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Projektový/é cíl/e, ke kterému/</w:t>
            </w:r>
            <w:proofErr w:type="spellStart"/>
            <w:r w:rsidRPr="00C62706">
              <w:rPr>
                <w:rFonts w:ascii="Garamond" w:hAnsi="Garamond"/>
                <w:sz w:val="22"/>
                <w:szCs w:val="22"/>
              </w:rPr>
              <w:t>ým</w:t>
            </w:r>
            <w:proofErr w:type="spellEnd"/>
            <w:r w:rsidRPr="00C62706">
              <w:rPr>
                <w:rFonts w:ascii="Garamond" w:hAnsi="Garamond"/>
                <w:sz w:val="22"/>
                <w:szCs w:val="22"/>
              </w:rPr>
              <w:t xml:space="preserve"> se riziko vztahuje</w:t>
            </w:r>
          </w:p>
        </w:tc>
        <w:tc>
          <w:tcPr>
            <w:tcW w:w="6663" w:type="dxa"/>
          </w:tcPr>
          <w:p w14:paraId="5D6E3970" w14:textId="77777777" w:rsidR="00BD6FE8" w:rsidRPr="00C62706" w:rsidRDefault="00C62706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Projektový cíl 1) Zajištění realizace projektu, navazujících schvalovacích procesů a zahájení výstavby v co nejkratším čase – v</w:t>
            </w:r>
            <w:r w:rsidR="00FF7B34" w:rsidRPr="00C62706">
              <w:rPr>
                <w:rFonts w:ascii="Garamond" w:hAnsi="Garamond"/>
                <w:sz w:val="22"/>
                <w:szCs w:val="22"/>
              </w:rPr>
              <w:t>ydání stavebního povolení dle harmonogramu plnění</w:t>
            </w:r>
          </w:p>
        </w:tc>
      </w:tr>
      <w:tr w:rsidR="00BD6FE8" w:rsidRPr="00C62706" w14:paraId="51971C5A" w14:textId="77777777" w:rsidTr="008D6F5A">
        <w:tc>
          <w:tcPr>
            <w:tcW w:w="2830" w:type="dxa"/>
            <w:shd w:val="clear" w:color="auto" w:fill="F2F2F2" w:themeFill="background1" w:themeFillShade="F2"/>
          </w:tcPr>
          <w:p w14:paraId="21481CE9" w14:textId="77777777" w:rsidR="00BD6FE8" w:rsidRPr="00C62706" w:rsidRDefault="00BD6FE8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Odůvodnění, proč tuto skutečnost vnímá dodavatel jako riziko, vysvětlí okolnosti a povahu rizika</w:t>
            </w:r>
          </w:p>
        </w:tc>
        <w:tc>
          <w:tcPr>
            <w:tcW w:w="6663" w:type="dxa"/>
          </w:tcPr>
          <w:p w14:paraId="6689DAAD" w14:textId="77777777" w:rsidR="008D1591" w:rsidRPr="00C62706" w:rsidRDefault="00FF7B34" w:rsidP="00C62706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Vzhledem k tomu, že odbor památkové péče Magistrátu města Olomouce vydával zamítavá závazná stanoviska ke studii, lze předpokládat, že bude obdobně postupovat i při vydání souhlasného závazného stanoviska v rámci stavebního řízení. Nelze tedy přesně deklarovat termín souhlasného stanoviska, který bude ovlivňovat vydání stavebního povolení.</w:t>
            </w:r>
            <w:r w:rsidR="00F87A68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BD6FE8" w:rsidRPr="00C62706" w14:paraId="3B5EB78E" w14:textId="77777777" w:rsidTr="008D6F5A">
        <w:tc>
          <w:tcPr>
            <w:tcW w:w="2830" w:type="dxa"/>
            <w:shd w:val="clear" w:color="auto" w:fill="F2F2F2" w:themeFill="background1" w:themeFillShade="F2"/>
          </w:tcPr>
          <w:p w14:paraId="2D278C0D" w14:textId="77777777" w:rsidR="00BD6FE8" w:rsidRPr="00C62706" w:rsidRDefault="00BD6FE8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Návrh nebo opatření k omezení či eliminaci rizika</w:t>
            </w:r>
          </w:p>
        </w:tc>
        <w:tc>
          <w:tcPr>
            <w:tcW w:w="6663" w:type="dxa"/>
          </w:tcPr>
          <w:p w14:paraId="6134A304" w14:textId="77777777" w:rsidR="00BD6FE8" w:rsidRPr="00C62706" w:rsidRDefault="00F87A68" w:rsidP="0058014B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 základě našich zkušeností, které jsme projednávali s památkáři v Olomouci </w:t>
            </w:r>
            <w:r w:rsidR="00E16635">
              <w:rPr>
                <w:rFonts w:ascii="Garamond" w:hAnsi="Garamond"/>
                <w:sz w:val="22"/>
                <w:szCs w:val="22"/>
              </w:rPr>
              <w:t>na jiných akcích</w:t>
            </w:r>
            <w:r w:rsidR="00552BE1">
              <w:rPr>
                <w:rFonts w:ascii="Garamond" w:hAnsi="Garamond"/>
                <w:sz w:val="22"/>
                <w:szCs w:val="22"/>
              </w:rPr>
              <w:t>,</w:t>
            </w:r>
            <w:r w:rsidR="00E16635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dokážeme předejít situaci, kdy by</w:t>
            </w:r>
            <w:r w:rsidR="000F5B4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4721C" w:rsidRPr="00C62706">
              <w:rPr>
                <w:rFonts w:ascii="Garamond" w:hAnsi="Garamond"/>
                <w:sz w:val="22"/>
                <w:szCs w:val="22"/>
              </w:rPr>
              <w:t>odbor památkové péče Magistrátu města Olomouce vyd</w:t>
            </w:r>
            <w:r w:rsidR="00133515" w:rsidRPr="00C62706">
              <w:rPr>
                <w:rFonts w:ascii="Garamond" w:hAnsi="Garamond"/>
                <w:sz w:val="22"/>
                <w:szCs w:val="22"/>
              </w:rPr>
              <w:t>al zamítavé stanovisko</w:t>
            </w:r>
            <w:r>
              <w:rPr>
                <w:rFonts w:ascii="Garamond" w:hAnsi="Garamond"/>
                <w:sz w:val="22"/>
                <w:szCs w:val="22"/>
              </w:rPr>
              <w:t xml:space="preserve">. Zavazujeme se jednat s památkáři v průběhu příprav </w:t>
            </w:r>
            <w:r w:rsidR="0058014B" w:rsidRPr="0045289B">
              <w:rPr>
                <w:rFonts w:ascii="Garamond" w:hAnsi="Garamond"/>
                <w:sz w:val="22"/>
                <w:szCs w:val="22"/>
              </w:rPr>
              <w:t xml:space="preserve">Dokumentace pro společné povolení </w:t>
            </w:r>
            <w:r>
              <w:rPr>
                <w:rFonts w:ascii="Garamond" w:hAnsi="Garamond"/>
                <w:sz w:val="22"/>
                <w:szCs w:val="22"/>
              </w:rPr>
              <w:t>a připravovat variantní řešení pro úspěšné projednání</w:t>
            </w:r>
            <w:r w:rsidR="00B6060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E0DBD">
              <w:rPr>
                <w:rFonts w:ascii="Garamond" w:hAnsi="Garamond"/>
                <w:sz w:val="22"/>
                <w:szCs w:val="22"/>
              </w:rPr>
              <w:t>s cílem minimalizace zdržení při vydávání souhlasného stanoviska.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BD6FE8" w:rsidRPr="00C62706" w14:paraId="1BA59AF5" w14:textId="77777777" w:rsidTr="008D6F5A">
        <w:tc>
          <w:tcPr>
            <w:tcW w:w="2830" w:type="dxa"/>
            <w:shd w:val="clear" w:color="auto" w:fill="F2F2F2" w:themeFill="background1" w:themeFillShade="F2"/>
          </w:tcPr>
          <w:p w14:paraId="3BB49A07" w14:textId="77777777" w:rsidR="00BD6FE8" w:rsidRPr="00C62706" w:rsidRDefault="00BD6FE8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Dominantní informace – odůvodnění realizovatelnosti</w:t>
            </w:r>
          </w:p>
        </w:tc>
        <w:tc>
          <w:tcPr>
            <w:tcW w:w="6663" w:type="dxa"/>
          </w:tcPr>
          <w:p w14:paraId="1A85D769" w14:textId="77777777" w:rsidR="00BD6FE8" w:rsidRPr="00C62706" w:rsidRDefault="002F4750" w:rsidP="00F87A68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 xml:space="preserve">Vzhledem k tomu, že </w:t>
            </w:r>
            <w:r w:rsidR="00133515" w:rsidRPr="00C62706">
              <w:rPr>
                <w:rFonts w:ascii="Garamond" w:hAnsi="Garamond"/>
                <w:sz w:val="22"/>
                <w:szCs w:val="22"/>
              </w:rPr>
              <w:t xml:space="preserve">máme zkušenosti </w:t>
            </w:r>
            <w:r w:rsidR="002C3B80">
              <w:rPr>
                <w:rFonts w:ascii="Garamond" w:hAnsi="Garamond"/>
                <w:sz w:val="22"/>
                <w:szCs w:val="22"/>
              </w:rPr>
              <w:t>z</w:t>
            </w:r>
            <w:r w:rsidR="00133515" w:rsidRPr="00C6270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87A68" w:rsidRPr="00C62706">
              <w:rPr>
                <w:rFonts w:ascii="Garamond" w:hAnsi="Garamond"/>
                <w:sz w:val="22"/>
                <w:szCs w:val="22"/>
              </w:rPr>
              <w:t>jiný</w:t>
            </w:r>
            <w:r w:rsidR="00F87A68">
              <w:rPr>
                <w:rFonts w:ascii="Garamond" w:hAnsi="Garamond"/>
                <w:sz w:val="22"/>
                <w:szCs w:val="22"/>
              </w:rPr>
              <w:t>ch</w:t>
            </w:r>
            <w:r w:rsidR="00F87A68" w:rsidRPr="00C6270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33515" w:rsidRPr="00C62706">
              <w:rPr>
                <w:rFonts w:ascii="Garamond" w:hAnsi="Garamond"/>
                <w:sz w:val="22"/>
                <w:szCs w:val="22"/>
              </w:rPr>
              <w:t>projekt</w:t>
            </w:r>
            <w:r w:rsidR="00F87A68">
              <w:rPr>
                <w:rFonts w:ascii="Garamond" w:hAnsi="Garamond"/>
                <w:sz w:val="22"/>
                <w:szCs w:val="22"/>
              </w:rPr>
              <w:t>ů občanské vybavenosti</w:t>
            </w:r>
            <w:r w:rsidR="00133515" w:rsidRPr="00C62706">
              <w:rPr>
                <w:rFonts w:ascii="Garamond" w:hAnsi="Garamond"/>
                <w:sz w:val="22"/>
                <w:szCs w:val="22"/>
              </w:rPr>
              <w:t xml:space="preserve">, které </w:t>
            </w:r>
            <w:r w:rsidR="00F87A68">
              <w:rPr>
                <w:rFonts w:ascii="Garamond" w:hAnsi="Garamond"/>
                <w:sz w:val="22"/>
                <w:szCs w:val="22"/>
              </w:rPr>
              <w:t>jsme</w:t>
            </w:r>
            <w:r w:rsidR="00F87A68" w:rsidRPr="00C6270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33515" w:rsidRPr="00C62706">
              <w:rPr>
                <w:rFonts w:ascii="Garamond" w:hAnsi="Garamond"/>
                <w:sz w:val="22"/>
                <w:szCs w:val="22"/>
              </w:rPr>
              <w:t>projednávali s odborem památkové péče Magistrátu města Olomouce, tak dokážeme</w:t>
            </w:r>
            <w:r w:rsidRPr="00C6270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87A68" w:rsidRPr="000126F8">
              <w:rPr>
                <w:rFonts w:ascii="Garamond" w:hAnsi="Garamond"/>
                <w:b/>
                <w:sz w:val="22"/>
                <w:szCs w:val="22"/>
              </w:rPr>
              <w:t>zajistit rozhodnutí v termínu</w:t>
            </w:r>
            <w:r w:rsidR="00F87A68">
              <w:rPr>
                <w:rFonts w:ascii="Garamond" w:hAnsi="Garamond"/>
                <w:sz w:val="22"/>
                <w:szCs w:val="22"/>
              </w:rPr>
              <w:t xml:space="preserve">, který neohrozí </w:t>
            </w:r>
            <w:r w:rsidR="000126F8">
              <w:rPr>
                <w:rFonts w:ascii="Garamond" w:hAnsi="Garamond"/>
                <w:sz w:val="22"/>
                <w:szCs w:val="22"/>
              </w:rPr>
              <w:t xml:space="preserve">termín vydání stavebního povolení. </w:t>
            </w:r>
          </w:p>
        </w:tc>
      </w:tr>
    </w:tbl>
    <w:p w14:paraId="3B366B3E" w14:textId="77777777" w:rsidR="00BD6FE8" w:rsidRPr="00C62706" w:rsidRDefault="00BD6FE8" w:rsidP="00C62706">
      <w:pPr>
        <w:rPr>
          <w:rFonts w:ascii="Garamond" w:hAnsi="Garamond"/>
          <w:b/>
          <w:bCs/>
          <w:szCs w:val="22"/>
        </w:rPr>
      </w:pPr>
    </w:p>
    <w:p w14:paraId="31BCF2E1" w14:textId="77777777" w:rsidR="00BD6FE8" w:rsidRPr="00C62706" w:rsidRDefault="00BD6FE8" w:rsidP="00C62706">
      <w:pPr>
        <w:rPr>
          <w:rFonts w:ascii="Garamond" w:hAnsi="Garamond"/>
          <w:b/>
          <w:bCs/>
          <w:szCs w:val="22"/>
        </w:rPr>
      </w:pPr>
      <w:r w:rsidRPr="00C62706">
        <w:rPr>
          <w:rFonts w:ascii="Garamond" w:hAnsi="Garamond"/>
          <w:b/>
          <w:bCs/>
          <w:szCs w:val="22"/>
        </w:rPr>
        <w:t>Riziko č. 2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BD6FE8" w:rsidRPr="00C62706" w14:paraId="459107CF" w14:textId="77777777" w:rsidTr="008D6F5A">
        <w:tc>
          <w:tcPr>
            <w:tcW w:w="2830" w:type="dxa"/>
            <w:shd w:val="clear" w:color="auto" w:fill="F2F2F2" w:themeFill="background1" w:themeFillShade="F2"/>
          </w:tcPr>
          <w:p w14:paraId="38BE74E9" w14:textId="77777777" w:rsidR="00BD6FE8" w:rsidRPr="00C62706" w:rsidRDefault="00BD6FE8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Identifikace a stručný popis rizika</w:t>
            </w:r>
          </w:p>
        </w:tc>
        <w:tc>
          <w:tcPr>
            <w:tcW w:w="6663" w:type="dxa"/>
          </w:tcPr>
          <w:p w14:paraId="7D97D9F2" w14:textId="77777777" w:rsidR="00BD6FE8" w:rsidRPr="00C62706" w:rsidRDefault="008D6F5A" w:rsidP="00C62706">
            <w:pPr>
              <w:tabs>
                <w:tab w:val="left" w:pos="975"/>
              </w:tabs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Energetická koncepce</w:t>
            </w:r>
            <w:r w:rsidR="006A047C">
              <w:rPr>
                <w:rFonts w:ascii="Garamond" w:hAnsi="Garamond"/>
                <w:sz w:val="22"/>
                <w:szCs w:val="22"/>
              </w:rPr>
              <w:t>, konkrétně projednání tepelného čerpadla v podobě vrtů</w:t>
            </w:r>
            <w:r w:rsidR="000126F8">
              <w:rPr>
                <w:rFonts w:ascii="Garamond" w:hAnsi="Garamond"/>
                <w:sz w:val="22"/>
                <w:szCs w:val="22"/>
              </w:rPr>
              <w:t xml:space="preserve"> a </w:t>
            </w:r>
            <w:r w:rsidR="00D966D5">
              <w:rPr>
                <w:rFonts w:ascii="Garamond" w:hAnsi="Garamond"/>
                <w:sz w:val="22"/>
                <w:szCs w:val="22"/>
              </w:rPr>
              <w:t xml:space="preserve">s tím </w:t>
            </w:r>
            <w:r w:rsidR="000126F8">
              <w:rPr>
                <w:rFonts w:ascii="Garamond" w:hAnsi="Garamond"/>
                <w:sz w:val="22"/>
                <w:szCs w:val="22"/>
              </w:rPr>
              <w:t xml:space="preserve">související riziko protažení stavebního řízení </w:t>
            </w:r>
          </w:p>
        </w:tc>
      </w:tr>
      <w:tr w:rsidR="00BD6FE8" w:rsidRPr="00C62706" w14:paraId="2F7FCA59" w14:textId="77777777" w:rsidTr="008D6F5A">
        <w:tc>
          <w:tcPr>
            <w:tcW w:w="2830" w:type="dxa"/>
            <w:shd w:val="clear" w:color="auto" w:fill="F2F2F2" w:themeFill="background1" w:themeFillShade="F2"/>
          </w:tcPr>
          <w:p w14:paraId="67E56371" w14:textId="77777777" w:rsidR="00BD6FE8" w:rsidRPr="00C62706" w:rsidRDefault="00BD6FE8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Projektový/é cíl/e, ke kterému/</w:t>
            </w:r>
            <w:proofErr w:type="spellStart"/>
            <w:r w:rsidRPr="00C62706">
              <w:rPr>
                <w:rFonts w:ascii="Garamond" w:hAnsi="Garamond"/>
                <w:sz w:val="22"/>
                <w:szCs w:val="22"/>
              </w:rPr>
              <w:t>ým</w:t>
            </w:r>
            <w:proofErr w:type="spellEnd"/>
            <w:r w:rsidRPr="00C62706">
              <w:rPr>
                <w:rFonts w:ascii="Garamond" w:hAnsi="Garamond"/>
                <w:sz w:val="22"/>
                <w:szCs w:val="22"/>
              </w:rPr>
              <w:t xml:space="preserve"> se riziko vztahuje</w:t>
            </w:r>
          </w:p>
        </w:tc>
        <w:tc>
          <w:tcPr>
            <w:tcW w:w="6663" w:type="dxa"/>
          </w:tcPr>
          <w:p w14:paraId="6624DEAF" w14:textId="77777777" w:rsidR="00BD6FE8" w:rsidRPr="00C62706" w:rsidRDefault="00C62706" w:rsidP="00C6270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 xml:space="preserve">Projektový cíl 1) Zajištění realizace projektu, navazujících schvalovacích procesů a zahájení výstavby v co nejkratším čase – </w:t>
            </w:r>
            <w:r>
              <w:rPr>
                <w:rFonts w:ascii="Garamond" w:hAnsi="Garamond"/>
                <w:sz w:val="22"/>
                <w:szCs w:val="22"/>
              </w:rPr>
              <w:t>v</w:t>
            </w:r>
            <w:r w:rsidR="008D6F5A" w:rsidRPr="00C62706">
              <w:rPr>
                <w:rFonts w:ascii="Garamond" w:hAnsi="Garamond"/>
                <w:sz w:val="22"/>
                <w:szCs w:val="22"/>
              </w:rPr>
              <w:t>ydání stavebního povolení dle harmonogramu plnění</w:t>
            </w:r>
          </w:p>
        </w:tc>
      </w:tr>
      <w:tr w:rsidR="00BD6FE8" w:rsidRPr="00C62706" w14:paraId="4043787F" w14:textId="77777777" w:rsidTr="008D6F5A">
        <w:tc>
          <w:tcPr>
            <w:tcW w:w="2830" w:type="dxa"/>
            <w:shd w:val="clear" w:color="auto" w:fill="F2F2F2" w:themeFill="background1" w:themeFillShade="F2"/>
          </w:tcPr>
          <w:p w14:paraId="54828BF3" w14:textId="77777777" w:rsidR="00BD6FE8" w:rsidRPr="00C62706" w:rsidRDefault="00BD6FE8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 xml:space="preserve">Odůvodnění, proč tuto </w:t>
            </w:r>
            <w:r w:rsidRPr="00C62706">
              <w:rPr>
                <w:rFonts w:ascii="Garamond" w:hAnsi="Garamond"/>
                <w:sz w:val="22"/>
                <w:szCs w:val="22"/>
              </w:rPr>
              <w:lastRenderedPageBreak/>
              <w:t>skutečnost vnímá dodavatel jako riziko, vysvětlí okolnosti a povahu rizika</w:t>
            </w:r>
          </w:p>
        </w:tc>
        <w:tc>
          <w:tcPr>
            <w:tcW w:w="6663" w:type="dxa"/>
          </w:tcPr>
          <w:p w14:paraId="2F3FDE64" w14:textId="77777777" w:rsidR="00BD6FE8" w:rsidRPr="00C62706" w:rsidRDefault="00BF2872" w:rsidP="00283F73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Naším cílem je navrhnout budovu</w:t>
            </w:r>
            <w:r w:rsidR="006916A7" w:rsidRPr="00C62706">
              <w:rPr>
                <w:rFonts w:ascii="Garamond" w:hAnsi="Garamond"/>
                <w:sz w:val="22"/>
                <w:szCs w:val="22"/>
              </w:rPr>
              <w:t xml:space="preserve"> v úrovni </w:t>
            </w:r>
            <w:r w:rsidR="006916A7" w:rsidRPr="00C62706">
              <w:rPr>
                <w:rFonts w:ascii="Garamond" w:hAnsi="Garamond"/>
                <w:bCs/>
                <w:sz w:val="22"/>
                <w:szCs w:val="22"/>
              </w:rPr>
              <w:t>pasivního standardu</w:t>
            </w:r>
            <w:r w:rsidR="006916A7" w:rsidRPr="00C62706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B14FD8">
              <w:rPr>
                <w:rFonts w:ascii="Garamond" w:hAnsi="Garamond"/>
                <w:sz w:val="22"/>
                <w:szCs w:val="22"/>
              </w:rPr>
              <w:t xml:space="preserve">Zcela zásadní je pro dosažení tohoto cíle realizace tepelného čerpadla v podobě </w:t>
            </w:r>
            <w:r w:rsidR="006916A7" w:rsidRPr="00C62706">
              <w:rPr>
                <w:rFonts w:ascii="Garamond" w:hAnsi="Garamond"/>
                <w:sz w:val="22"/>
                <w:szCs w:val="22"/>
              </w:rPr>
              <w:lastRenderedPageBreak/>
              <w:t xml:space="preserve">vrtného pole přímo pod budovou. </w:t>
            </w:r>
            <w:r w:rsidR="0053476E" w:rsidRPr="00C62706">
              <w:rPr>
                <w:rFonts w:ascii="Garamond" w:hAnsi="Garamond"/>
                <w:sz w:val="22"/>
                <w:szCs w:val="22"/>
              </w:rPr>
              <w:t xml:space="preserve">Taková úprava </w:t>
            </w:r>
            <w:r w:rsidR="00B14FD8" w:rsidRPr="00C62706">
              <w:rPr>
                <w:rFonts w:ascii="Garamond" w:hAnsi="Garamond"/>
                <w:sz w:val="22"/>
                <w:szCs w:val="22"/>
              </w:rPr>
              <w:t>vyžad</w:t>
            </w:r>
            <w:r w:rsidR="00B14FD8">
              <w:rPr>
                <w:rFonts w:ascii="Garamond" w:hAnsi="Garamond"/>
                <w:sz w:val="22"/>
                <w:szCs w:val="22"/>
              </w:rPr>
              <w:t>uje</w:t>
            </w:r>
            <w:r w:rsidR="00B14FD8" w:rsidRPr="00C6270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53476E" w:rsidRPr="00C62706">
              <w:rPr>
                <w:rFonts w:ascii="Garamond" w:hAnsi="Garamond"/>
                <w:sz w:val="22"/>
                <w:szCs w:val="22"/>
              </w:rPr>
              <w:t>projektovou přípravu</w:t>
            </w:r>
            <w:r w:rsidR="00D70BB2">
              <w:rPr>
                <w:rFonts w:ascii="Garamond" w:hAnsi="Garamond"/>
                <w:sz w:val="22"/>
                <w:szCs w:val="22"/>
              </w:rPr>
              <w:t xml:space="preserve"> a vydání stavebního povolení </w:t>
            </w:r>
            <w:r w:rsidR="0053476E" w:rsidRPr="00C62706">
              <w:rPr>
                <w:rFonts w:ascii="Garamond" w:hAnsi="Garamond"/>
                <w:sz w:val="22"/>
                <w:szCs w:val="22"/>
              </w:rPr>
              <w:t xml:space="preserve">na realizaci </w:t>
            </w:r>
            <w:r w:rsidR="002C3B80">
              <w:rPr>
                <w:rFonts w:ascii="Garamond" w:hAnsi="Garamond"/>
                <w:sz w:val="22"/>
                <w:szCs w:val="22"/>
              </w:rPr>
              <w:t xml:space="preserve">samotných </w:t>
            </w:r>
            <w:r w:rsidR="0053476E" w:rsidRPr="00C62706">
              <w:rPr>
                <w:rFonts w:ascii="Garamond" w:hAnsi="Garamond"/>
                <w:sz w:val="22"/>
                <w:szCs w:val="22"/>
              </w:rPr>
              <w:t>vrtů tepelného čerpadla.</w:t>
            </w:r>
            <w:r w:rsidR="002C3B80">
              <w:rPr>
                <w:rFonts w:ascii="Garamond" w:hAnsi="Garamond"/>
                <w:sz w:val="22"/>
                <w:szCs w:val="22"/>
              </w:rPr>
              <w:t xml:space="preserve"> Při standardním řízení se doba stavebního řízení oddálí</w:t>
            </w:r>
            <w:r w:rsidR="000A76BD">
              <w:rPr>
                <w:rFonts w:ascii="Garamond" w:hAnsi="Garamond"/>
                <w:sz w:val="22"/>
                <w:szCs w:val="22"/>
              </w:rPr>
              <w:t xml:space="preserve"> až</w:t>
            </w:r>
            <w:r w:rsidR="002C3B80">
              <w:rPr>
                <w:rFonts w:ascii="Garamond" w:hAnsi="Garamond"/>
                <w:sz w:val="22"/>
                <w:szCs w:val="22"/>
              </w:rPr>
              <w:t xml:space="preserve"> po vyřízení souhlasného stanoviska k </w:t>
            </w:r>
            <w:r w:rsidR="00283F73">
              <w:rPr>
                <w:rFonts w:ascii="Garamond" w:hAnsi="Garamond"/>
                <w:sz w:val="22"/>
                <w:szCs w:val="22"/>
              </w:rPr>
              <w:t>realizaci</w:t>
            </w:r>
            <w:r w:rsidR="002C3B80">
              <w:rPr>
                <w:rFonts w:ascii="Garamond" w:hAnsi="Garamond"/>
                <w:sz w:val="22"/>
                <w:szCs w:val="22"/>
              </w:rPr>
              <w:t xml:space="preserve"> vrtů.</w:t>
            </w:r>
          </w:p>
        </w:tc>
      </w:tr>
      <w:tr w:rsidR="00BD6FE8" w:rsidRPr="00C62706" w14:paraId="0A55E682" w14:textId="77777777" w:rsidTr="008D6F5A">
        <w:tc>
          <w:tcPr>
            <w:tcW w:w="2830" w:type="dxa"/>
            <w:shd w:val="clear" w:color="auto" w:fill="F2F2F2" w:themeFill="background1" w:themeFillShade="F2"/>
          </w:tcPr>
          <w:p w14:paraId="777275A0" w14:textId="77777777" w:rsidR="00BD6FE8" w:rsidRPr="00C62706" w:rsidRDefault="00BD6FE8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lastRenderedPageBreak/>
              <w:t>Návrh nebo opatření k omezení či eliminaci rizika</w:t>
            </w:r>
          </w:p>
        </w:tc>
        <w:tc>
          <w:tcPr>
            <w:tcW w:w="6663" w:type="dxa"/>
          </w:tcPr>
          <w:p w14:paraId="7D1784FD" w14:textId="77777777" w:rsidR="008D6F5A" w:rsidRPr="00C62706" w:rsidRDefault="00E55567" w:rsidP="008B019D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 xml:space="preserve">Bude nutné řešit </w:t>
            </w:r>
            <w:r w:rsidR="008B019D" w:rsidRPr="00C62706">
              <w:rPr>
                <w:rFonts w:ascii="Garamond" w:hAnsi="Garamond"/>
                <w:sz w:val="22"/>
                <w:szCs w:val="22"/>
              </w:rPr>
              <w:t xml:space="preserve">projektovou část </w:t>
            </w:r>
            <w:r w:rsidR="008B019D">
              <w:rPr>
                <w:rFonts w:ascii="Garamond" w:hAnsi="Garamond"/>
                <w:sz w:val="22"/>
                <w:szCs w:val="22"/>
              </w:rPr>
              <w:t xml:space="preserve">i </w:t>
            </w:r>
            <w:r w:rsidR="000A76BD">
              <w:rPr>
                <w:rFonts w:ascii="Garamond" w:hAnsi="Garamond"/>
                <w:sz w:val="22"/>
                <w:szCs w:val="22"/>
              </w:rPr>
              <w:t xml:space="preserve">schvalování </w:t>
            </w:r>
            <w:r w:rsidRPr="00C62706">
              <w:rPr>
                <w:rFonts w:ascii="Garamond" w:hAnsi="Garamond"/>
                <w:sz w:val="22"/>
                <w:szCs w:val="22"/>
              </w:rPr>
              <w:t xml:space="preserve">vrtů tepelného čerpadla samostatně. Tím se vyhneme protažení stavebního řízení u samotného objektu SEFO.   </w:t>
            </w:r>
          </w:p>
        </w:tc>
      </w:tr>
      <w:tr w:rsidR="00BD6FE8" w:rsidRPr="00C62706" w14:paraId="6CF1BAC4" w14:textId="77777777" w:rsidTr="008D6F5A">
        <w:tc>
          <w:tcPr>
            <w:tcW w:w="2830" w:type="dxa"/>
            <w:shd w:val="clear" w:color="auto" w:fill="F2F2F2" w:themeFill="background1" w:themeFillShade="F2"/>
          </w:tcPr>
          <w:p w14:paraId="1C78C1CD" w14:textId="77777777" w:rsidR="00BD6FE8" w:rsidRPr="00C62706" w:rsidRDefault="00BD6FE8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Dominantní informace – odůvodnění realizovatelnosti</w:t>
            </w:r>
          </w:p>
        </w:tc>
        <w:tc>
          <w:tcPr>
            <w:tcW w:w="6663" w:type="dxa"/>
          </w:tcPr>
          <w:p w14:paraId="5FAF8E44" w14:textId="77777777" w:rsidR="00BD6FE8" w:rsidRPr="00C62706" w:rsidRDefault="00552BE1" w:rsidP="000038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 rámci</w:t>
            </w:r>
            <w:r w:rsidR="00D37237" w:rsidRPr="00C62706">
              <w:rPr>
                <w:rFonts w:ascii="Garamond" w:hAnsi="Garamond"/>
                <w:sz w:val="22"/>
                <w:szCs w:val="22"/>
              </w:rPr>
              <w:t xml:space="preserve"> realizac</w:t>
            </w:r>
            <w:r w:rsidR="00B14FD8">
              <w:rPr>
                <w:rFonts w:ascii="Garamond" w:hAnsi="Garamond"/>
                <w:sz w:val="22"/>
                <w:szCs w:val="22"/>
              </w:rPr>
              <w:t>e stavby občanské vybavenosti v krajském městě o</w:t>
            </w:r>
            <w:r>
              <w:rPr>
                <w:rFonts w:ascii="Garamond" w:hAnsi="Garamond"/>
                <w:sz w:val="22"/>
                <w:szCs w:val="22"/>
              </w:rPr>
              <w:t> </w:t>
            </w:r>
            <w:r w:rsidR="00B14FD8">
              <w:rPr>
                <w:rFonts w:ascii="Garamond" w:hAnsi="Garamond"/>
                <w:sz w:val="22"/>
                <w:szCs w:val="22"/>
              </w:rPr>
              <w:t>investičních nákladech v řádu sta milionů koru</w:t>
            </w:r>
            <w:r w:rsidR="000A76BD">
              <w:rPr>
                <w:rFonts w:ascii="Garamond" w:hAnsi="Garamond"/>
                <w:sz w:val="22"/>
                <w:szCs w:val="22"/>
              </w:rPr>
              <w:t>n</w:t>
            </w:r>
            <w:r w:rsidR="00B14FD8">
              <w:rPr>
                <w:rFonts w:ascii="Garamond" w:hAnsi="Garamond"/>
                <w:sz w:val="22"/>
                <w:szCs w:val="22"/>
              </w:rPr>
              <w:t xml:space="preserve"> jsme </w:t>
            </w:r>
            <w:r w:rsidR="000A76BD">
              <w:rPr>
                <w:rFonts w:ascii="Garamond" w:hAnsi="Garamond"/>
                <w:sz w:val="22"/>
                <w:szCs w:val="22"/>
              </w:rPr>
              <w:t xml:space="preserve">oddělili </w:t>
            </w:r>
            <w:r w:rsidR="00D37237" w:rsidRPr="00C62706">
              <w:rPr>
                <w:rFonts w:ascii="Garamond" w:hAnsi="Garamond"/>
                <w:sz w:val="22"/>
                <w:szCs w:val="22"/>
              </w:rPr>
              <w:t xml:space="preserve">stavební řízení </w:t>
            </w:r>
            <w:r w:rsidR="000A76BD">
              <w:rPr>
                <w:rFonts w:ascii="Garamond" w:hAnsi="Garamond"/>
                <w:sz w:val="22"/>
                <w:szCs w:val="22"/>
              </w:rPr>
              <w:t xml:space="preserve">a povolení vrtů </w:t>
            </w:r>
            <w:r w:rsidR="00B63AB5">
              <w:rPr>
                <w:rFonts w:ascii="Garamond" w:hAnsi="Garamond"/>
                <w:sz w:val="22"/>
                <w:szCs w:val="22"/>
              </w:rPr>
              <w:t>tepelného čerpadla do</w:t>
            </w:r>
            <w:r w:rsidR="000A76BD">
              <w:rPr>
                <w:rFonts w:ascii="Garamond" w:hAnsi="Garamond"/>
                <w:sz w:val="22"/>
                <w:szCs w:val="22"/>
              </w:rPr>
              <w:t xml:space="preserve"> samostatn</w:t>
            </w:r>
            <w:r w:rsidR="00DA663F">
              <w:rPr>
                <w:rFonts w:ascii="Garamond" w:hAnsi="Garamond"/>
                <w:sz w:val="22"/>
                <w:szCs w:val="22"/>
              </w:rPr>
              <w:t>ých</w:t>
            </w:r>
            <w:r w:rsidR="000A76BD">
              <w:rPr>
                <w:rFonts w:ascii="Garamond" w:hAnsi="Garamond"/>
                <w:sz w:val="22"/>
                <w:szCs w:val="22"/>
              </w:rPr>
              <w:t xml:space="preserve"> část</w:t>
            </w:r>
            <w:r w:rsidR="00DA663F">
              <w:rPr>
                <w:rFonts w:ascii="Garamond" w:hAnsi="Garamond"/>
                <w:sz w:val="22"/>
                <w:szCs w:val="22"/>
              </w:rPr>
              <w:t>í</w:t>
            </w:r>
            <w:r w:rsidR="000A76BD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B63AB5">
              <w:rPr>
                <w:rFonts w:ascii="Garamond" w:hAnsi="Garamond"/>
                <w:sz w:val="22"/>
                <w:szCs w:val="22"/>
              </w:rPr>
              <w:t xml:space="preserve">Stavební řízení na samotnou stavbu probíhalo </w:t>
            </w:r>
            <w:r>
              <w:rPr>
                <w:rFonts w:ascii="Garamond" w:hAnsi="Garamond"/>
                <w:sz w:val="22"/>
                <w:szCs w:val="22"/>
              </w:rPr>
              <w:t>samostatně – souběžně</w:t>
            </w:r>
            <w:r w:rsidR="00B63AB5">
              <w:rPr>
                <w:rFonts w:ascii="Garamond" w:hAnsi="Garamond"/>
                <w:sz w:val="22"/>
                <w:szCs w:val="22"/>
              </w:rPr>
              <w:t xml:space="preserve"> s vyřízením povolení na vrty tepelného čerpadla. </w:t>
            </w:r>
            <w:r w:rsidR="00D37237" w:rsidRPr="00C62706">
              <w:rPr>
                <w:rFonts w:ascii="Garamond" w:hAnsi="Garamond"/>
                <w:sz w:val="22"/>
                <w:szCs w:val="22"/>
              </w:rPr>
              <w:t xml:space="preserve">Obě akce </w:t>
            </w:r>
            <w:r w:rsidR="0000383F">
              <w:rPr>
                <w:rFonts w:ascii="Garamond" w:hAnsi="Garamond"/>
                <w:sz w:val="22"/>
                <w:szCs w:val="22"/>
              </w:rPr>
              <w:t xml:space="preserve">tedy </w:t>
            </w:r>
            <w:r w:rsidR="00D37237" w:rsidRPr="00C62706">
              <w:rPr>
                <w:rFonts w:ascii="Garamond" w:hAnsi="Garamond"/>
                <w:sz w:val="22"/>
                <w:szCs w:val="22"/>
              </w:rPr>
              <w:t>mohou probíhat souběžně a je t</w:t>
            </w:r>
            <w:r w:rsidR="00B94A96" w:rsidRPr="00C62706">
              <w:rPr>
                <w:rFonts w:ascii="Garamond" w:hAnsi="Garamond"/>
                <w:sz w:val="22"/>
                <w:szCs w:val="22"/>
              </w:rPr>
              <w:t>ak</w:t>
            </w:r>
            <w:r w:rsidR="00D37237" w:rsidRPr="00C62706">
              <w:rPr>
                <w:rFonts w:ascii="Garamond" w:hAnsi="Garamond"/>
                <w:sz w:val="22"/>
                <w:szCs w:val="22"/>
              </w:rPr>
              <w:t xml:space="preserve"> jisté, že realizace vrtů proběhne před </w:t>
            </w:r>
            <w:r w:rsidR="0000383F">
              <w:rPr>
                <w:rFonts w:ascii="Garamond" w:hAnsi="Garamond"/>
                <w:sz w:val="22"/>
                <w:szCs w:val="22"/>
              </w:rPr>
              <w:t xml:space="preserve">začátkem </w:t>
            </w:r>
            <w:r w:rsidR="00D37237" w:rsidRPr="00C62706">
              <w:rPr>
                <w:rFonts w:ascii="Garamond" w:hAnsi="Garamond"/>
                <w:sz w:val="22"/>
                <w:szCs w:val="22"/>
              </w:rPr>
              <w:t>realizac</w:t>
            </w:r>
            <w:r w:rsidR="0000383F">
              <w:rPr>
                <w:rFonts w:ascii="Garamond" w:hAnsi="Garamond"/>
                <w:sz w:val="22"/>
                <w:szCs w:val="22"/>
              </w:rPr>
              <w:t xml:space="preserve">e </w:t>
            </w:r>
            <w:r w:rsidR="00B94A96" w:rsidRPr="00C62706">
              <w:rPr>
                <w:rFonts w:ascii="Garamond" w:hAnsi="Garamond"/>
                <w:sz w:val="22"/>
                <w:szCs w:val="22"/>
              </w:rPr>
              <w:t xml:space="preserve">samotné stavby. </w:t>
            </w:r>
            <w:r w:rsidR="00B94A96" w:rsidRPr="00ED236B">
              <w:rPr>
                <w:rFonts w:ascii="Garamond" w:hAnsi="Garamond"/>
                <w:b/>
                <w:sz w:val="22"/>
                <w:szCs w:val="22"/>
              </w:rPr>
              <w:t>Rozdělením zajistíme plynulý průběh stavebního povolení dle harmonogramu plnění a naplníme také naše kritérium k</w:t>
            </w:r>
            <w:r>
              <w:rPr>
                <w:rFonts w:ascii="Garamond" w:hAnsi="Garamond"/>
                <w:b/>
                <w:sz w:val="22"/>
                <w:szCs w:val="22"/>
              </w:rPr>
              <w:t> </w:t>
            </w:r>
            <w:r w:rsidR="00B94A96" w:rsidRPr="00ED236B">
              <w:rPr>
                <w:rFonts w:ascii="Garamond" w:hAnsi="Garamond"/>
                <w:b/>
                <w:sz w:val="22"/>
                <w:szCs w:val="22"/>
              </w:rPr>
              <w:t>realizaci stavby v pasivním standardu.</w:t>
            </w:r>
            <w:r w:rsidR="00ED236B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37237" w:rsidRPr="00C62706">
              <w:rPr>
                <w:rFonts w:ascii="Garamond" w:hAnsi="Garamond"/>
                <w:sz w:val="22"/>
                <w:szCs w:val="22"/>
              </w:rPr>
              <w:t xml:space="preserve">    </w:t>
            </w:r>
          </w:p>
        </w:tc>
      </w:tr>
    </w:tbl>
    <w:p w14:paraId="1096D8E8" w14:textId="77777777" w:rsidR="00BD6FE8" w:rsidRPr="00C62706" w:rsidRDefault="00BD6FE8" w:rsidP="00C62706">
      <w:pPr>
        <w:rPr>
          <w:rFonts w:ascii="Garamond" w:hAnsi="Garamond"/>
          <w:b/>
          <w:bCs/>
          <w:szCs w:val="22"/>
        </w:rPr>
      </w:pPr>
    </w:p>
    <w:p w14:paraId="060BFEBF" w14:textId="77777777" w:rsidR="00BD6FE8" w:rsidRPr="00C62706" w:rsidRDefault="00BD6FE8" w:rsidP="00C62706">
      <w:pPr>
        <w:rPr>
          <w:rFonts w:ascii="Garamond" w:hAnsi="Garamond"/>
          <w:b/>
          <w:bCs/>
          <w:szCs w:val="22"/>
        </w:rPr>
      </w:pPr>
      <w:r w:rsidRPr="00C62706">
        <w:rPr>
          <w:rFonts w:ascii="Garamond" w:hAnsi="Garamond"/>
          <w:b/>
          <w:bCs/>
          <w:szCs w:val="22"/>
        </w:rPr>
        <w:t>Riziko č. 3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BD6FE8" w:rsidRPr="00C62706" w14:paraId="103D22F2" w14:textId="77777777" w:rsidTr="008D6F5A">
        <w:tc>
          <w:tcPr>
            <w:tcW w:w="2830" w:type="dxa"/>
            <w:shd w:val="clear" w:color="auto" w:fill="F2F2F2" w:themeFill="background1" w:themeFillShade="F2"/>
          </w:tcPr>
          <w:p w14:paraId="15389D49" w14:textId="77777777" w:rsidR="00BD6FE8" w:rsidRPr="00C62706" w:rsidRDefault="00BD6FE8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Identifikace a stručný popis rizika</w:t>
            </w:r>
          </w:p>
        </w:tc>
        <w:tc>
          <w:tcPr>
            <w:tcW w:w="6663" w:type="dxa"/>
          </w:tcPr>
          <w:p w14:paraId="37F6C054" w14:textId="77777777" w:rsidR="00BD6FE8" w:rsidRPr="00C62706" w:rsidRDefault="00B14FD8" w:rsidP="00B14FD8">
            <w:pPr>
              <w:tabs>
                <w:tab w:val="left" w:pos="975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Realizace </w:t>
            </w:r>
            <w:r w:rsidR="005C33E3">
              <w:rPr>
                <w:rFonts w:ascii="Garamond" w:hAnsi="Garamond"/>
                <w:sz w:val="22"/>
                <w:szCs w:val="22"/>
              </w:rPr>
              <w:t xml:space="preserve">atypické </w:t>
            </w:r>
            <w:r>
              <w:rPr>
                <w:rFonts w:ascii="Garamond" w:hAnsi="Garamond"/>
                <w:sz w:val="22"/>
                <w:szCs w:val="22"/>
              </w:rPr>
              <w:t xml:space="preserve">fasády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r</w:t>
            </w:r>
            <w:r w:rsidR="008D6F5A" w:rsidRPr="00C62706">
              <w:rPr>
                <w:rFonts w:ascii="Garamond" w:hAnsi="Garamond"/>
                <w:sz w:val="22"/>
                <w:szCs w:val="22"/>
              </w:rPr>
              <w:t>oboticky</w:t>
            </w:r>
            <w:proofErr w:type="spellEnd"/>
            <w:r w:rsidR="008D6F5A" w:rsidRPr="00C6270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8D6F5A" w:rsidRPr="00C62706">
              <w:rPr>
                <w:rFonts w:ascii="Garamond" w:hAnsi="Garamond"/>
                <w:sz w:val="22"/>
                <w:szCs w:val="22"/>
              </w:rPr>
              <w:t>3D</w:t>
            </w:r>
            <w:proofErr w:type="gramEnd"/>
            <w:r w:rsidR="008D6F5A" w:rsidRPr="00C62706">
              <w:rPr>
                <w:rFonts w:ascii="Garamond" w:hAnsi="Garamond"/>
                <w:sz w:val="22"/>
                <w:szCs w:val="22"/>
              </w:rPr>
              <w:t xml:space="preserve"> betonový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  <w:r w:rsidR="008D6F5A" w:rsidRPr="00C62706">
              <w:rPr>
                <w:rFonts w:ascii="Garamond" w:hAnsi="Garamond"/>
                <w:sz w:val="22"/>
                <w:szCs w:val="22"/>
              </w:rPr>
              <w:t xml:space="preserve"> tisk</w:t>
            </w:r>
            <w:r>
              <w:rPr>
                <w:rFonts w:ascii="Garamond" w:hAnsi="Garamond"/>
                <w:sz w:val="22"/>
                <w:szCs w:val="22"/>
              </w:rPr>
              <w:t>em</w:t>
            </w:r>
            <w:r w:rsidR="008D6F5A" w:rsidRPr="00C62706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BD6FE8" w:rsidRPr="00C62706" w14:paraId="45CB3115" w14:textId="77777777" w:rsidTr="008D6F5A">
        <w:tc>
          <w:tcPr>
            <w:tcW w:w="2830" w:type="dxa"/>
            <w:shd w:val="clear" w:color="auto" w:fill="F2F2F2" w:themeFill="background1" w:themeFillShade="F2"/>
          </w:tcPr>
          <w:p w14:paraId="14725BE2" w14:textId="77777777" w:rsidR="00BD6FE8" w:rsidRPr="00C62706" w:rsidRDefault="00BD6FE8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Projektový/é cíl/e, ke kterému/</w:t>
            </w:r>
            <w:proofErr w:type="spellStart"/>
            <w:r w:rsidRPr="00C62706">
              <w:rPr>
                <w:rFonts w:ascii="Garamond" w:hAnsi="Garamond"/>
                <w:sz w:val="22"/>
                <w:szCs w:val="22"/>
              </w:rPr>
              <w:t>ým</w:t>
            </w:r>
            <w:proofErr w:type="spellEnd"/>
            <w:r w:rsidRPr="00C62706">
              <w:rPr>
                <w:rFonts w:ascii="Garamond" w:hAnsi="Garamond"/>
                <w:sz w:val="22"/>
                <w:szCs w:val="22"/>
              </w:rPr>
              <w:t xml:space="preserve"> se riziko vztahuje</w:t>
            </w:r>
          </w:p>
        </w:tc>
        <w:tc>
          <w:tcPr>
            <w:tcW w:w="6663" w:type="dxa"/>
          </w:tcPr>
          <w:p w14:paraId="023BA8E6" w14:textId="77777777" w:rsidR="00BD6FE8" w:rsidRPr="00C62706" w:rsidRDefault="00D144BA" w:rsidP="00C6270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 xml:space="preserve">Projektový cíl 1) Zajištění realizace projektu, navazujících schvalovacích procesů a zahájení výstavby v co nejkratším čase – </w:t>
            </w:r>
            <w:r w:rsidR="00BF7CFF">
              <w:rPr>
                <w:rFonts w:ascii="Garamond" w:hAnsi="Garamond"/>
                <w:sz w:val="22"/>
                <w:szCs w:val="22"/>
              </w:rPr>
              <w:t>D</w:t>
            </w:r>
            <w:r w:rsidR="00D601A8" w:rsidRPr="00C62706">
              <w:rPr>
                <w:rFonts w:ascii="Garamond" w:hAnsi="Garamond"/>
                <w:sz w:val="22"/>
                <w:szCs w:val="22"/>
              </w:rPr>
              <w:t xml:space="preserve">okumentace pro výběr dodavatele </w:t>
            </w:r>
          </w:p>
        </w:tc>
      </w:tr>
      <w:tr w:rsidR="00BD6FE8" w:rsidRPr="00C62706" w14:paraId="104DCDC9" w14:textId="77777777" w:rsidTr="008D6F5A">
        <w:tc>
          <w:tcPr>
            <w:tcW w:w="2830" w:type="dxa"/>
            <w:shd w:val="clear" w:color="auto" w:fill="F2F2F2" w:themeFill="background1" w:themeFillShade="F2"/>
          </w:tcPr>
          <w:p w14:paraId="1F26CEF2" w14:textId="77777777" w:rsidR="00BD6FE8" w:rsidRPr="00C62706" w:rsidRDefault="00BD6FE8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Odůvodnění, proč tuto skutečnost vnímá dodavatel jako riziko, vysvětlí okolnosti a povahu rizika</w:t>
            </w:r>
          </w:p>
        </w:tc>
        <w:tc>
          <w:tcPr>
            <w:tcW w:w="6663" w:type="dxa"/>
          </w:tcPr>
          <w:p w14:paraId="2EDDDC01" w14:textId="77777777" w:rsidR="00BD6FE8" w:rsidRPr="00C62706" w:rsidRDefault="008D6F5A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V</w:t>
            </w:r>
            <w:r w:rsidR="00AD0A11" w:rsidRPr="00C62706">
              <w:rPr>
                <w:rFonts w:ascii="Garamond" w:hAnsi="Garamond"/>
                <w:sz w:val="22"/>
                <w:szCs w:val="22"/>
              </w:rPr>
              <w:t>e studii</w:t>
            </w:r>
            <w:r w:rsidRPr="00C6270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D0A11" w:rsidRPr="00C62706">
              <w:rPr>
                <w:rFonts w:ascii="Garamond" w:hAnsi="Garamond"/>
                <w:sz w:val="22"/>
                <w:szCs w:val="22"/>
              </w:rPr>
              <w:t xml:space="preserve">je prezentováno </w:t>
            </w:r>
            <w:r w:rsidRPr="00C62706">
              <w:rPr>
                <w:rFonts w:ascii="Garamond" w:hAnsi="Garamond"/>
                <w:sz w:val="22"/>
                <w:szCs w:val="22"/>
              </w:rPr>
              <w:t xml:space="preserve">vzorkování povrchu </w:t>
            </w:r>
            <w:proofErr w:type="gramStart"/>
            <w:r w:rsidRPr="00C62706">
              <w:rPr>
                <w:rFonts w:ascii="Garamond" w:hAnsi="Garamond"/>
                <w:sz w:val="22"/>
                <w:szCs w:val="22"/>
              </w:rPr>
              <w:t>3D</w:t>
            </w:r>
            <w:proofErr w:type="gramEnd"/>
            <w:r w:rsidRPr="00C62706">
              <w:rPr>
                <w:rFonts w:ascii="Garamond" w:hAnsi="Garamond"/>
                <w:sz w:val="22"/>
                <w:szCs w:val="22"/>
              </w:rPr>
              <w:t xml:space="preserve"> tištěné stěny z UHCP (Ul</w:t>
            </w:r>
            <w:r w:rsidR="00AD0A11" w:rsidRPr="00C62706">
              <w:rPr>
                <w:rFonts w:ascii="Garamond" w:hAnsi="Garamond"/>
                <w:sz w:val="22"/>
                <w:szCs w:val="22"/>
              </w:rPr>
              <w:t>tra-</w:t>
            </w:r>
            <w:proofErr w:type="spellStart"/>
            <w:r w:rsidR="00AD0A11" w:rsidRPr="00C62706">
              <w:rPr>
                <w:rFonts w:ascii="Garamond" w:hAnsi="Garamond"/>
                <w:sz w:val="22"/>
                <w:szCs w:val="22"/>
              </w:rPr>
              <w:t>High</w:t>
            </w:r>
            <w:proofErr w:type="spellEnd"/>
            <w:r w:rsidR="00AD0A11" w:rsidRPr="00C62706">
              <w:rPr>
                <w:rFonts w:ascii="Garamond" w:hAnsi="Garamond"/>
                <w:sz w:val="22"/>
                <w:szCs w:val="22"/>
              </w:rPr>
              <w:t xml:space="preserve"> Performance </w:t>
            </w:r>
            <w:proofErr w:type="spellStart"/>
            <w:r w:rsidR="00AD0A11" w:rsidRPr="00C62706">
              <w:rPr>
                <w:rFonts w:ascii="Garamond" w:hAnsi="Garamond"/>
                <w:sz w:val="22"/>
                <w:szCs w:val="22"/>
              </w:rPr>
              <w:t>Concrete</w:t>
            </w:r>
            <w:proofErr w:type="spellEnd"/>
            <w:r w:rsidR="00AD0A11" w:rsidRPr="00C62706">
              <w:rPr>
                <w:rFonts w:ascii="Garamond" w:hAnsi="Garamond"/>
                <w:sz w:val="22"/>
                <w:szCs w:val="22"/>
              </w:rPr>
              <w:t>) s konstatováním, že t</w:t>
            </w:r>
            <w:r w:rsidRPr="00C62706">
              <w:rPr>
                <w:rFonts w:ascii="Garamond" w:hAnsi="Garamond"/>
                <w:sz w:val="22"/>
                <w:szCs w:val="22"/>
              </w:rPr>
              <w:t>yto vzorky nepředst</w:t>
            </w:r>
            <w:r w:rsidR="00AD0A11" w:rsidRPr="00C62706">
              <w:rPr>
                <w:rFonts w:ascii="Garamond" w:hAnsi="Garamond"/>
                <w:sz w:val="22"/>
                <w:szCs w:val="22"/>
              </w:rPr>
              <w:t>avují finální řešení</w:t>
            </w:r>
            <w:r w:rsidRPr="00C62706">
              <w:rPr>
                <w:rFonts w:ascii="Garamond" w:hAnsi="Garamond"/>
                <w:sz w:val="22"/>
                <w:szCs w:val="22"/>
              </w:rPr>
              <w:t xml:space="preserve">. Pro </w:t>
            </w:r>
            <w:r w:rsidR="00D144BA">
              <w:rPr>
                <w:rFonts w:ascii="Garamond" w:hAnsi="Garamond"/>
                <w:sz w:val="22"/>
                <w:szCs w:val="22"/>
              </w:rPr>
              <w:t>zadávací</w:t>
            </w:r>
            <w:r w:rsidR="00D144BA" w:rsidRPr="00C6270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C62706">
              <w:rPr>
                <w:rFonts w:ascii="Garamond" w:hAnsi="Garamond"/>
                <w:sz w:val="22"/>
                <w:szCs w:val="22"/>
              </w:rPr>
              <w:t>řízení na generálního dodavatele</w:t>
            </w:r>
            <w:r w:rsidR="00D144BA">
              <w:rPr>
                <w:rFonts w:ascii="Garamond" w:hAnsi="Garamond"/>
                <w:sz w:val="22"/>
                <w:szCs w:val="22"/>
              </w:rPr>
              <w:t xml:space="preserve"> stavby</w:t>
            </w:r>
            <w:r w:rsidRPr="00C62706">
              <w:rPr>
                <w:rFonts w:ascii="Garamond" w:hAnsi="Garamond"/>
                <w:sz w:val="22"/>
                <w:szCs w:val="22"/>
              </w:rPr>
              <w:t xml:space="preserve"> bude nutné přesně specifikovat povrch, barevnost </w:t>
            </w:r>
            <w:r w:rsidR="00AD0A11" w:rsidRPr="00C62706">
              <w:rPr>
                <w:rFonts w:ascii="Garamond" w:hAnsi="Garamond"/>
                <w:sz w:val="22"/>
                <w:szCs w:val="22"/>
              </w:rPr>
              <w:t xml:space="preserve">i texturu pohledových stěn, aby se </w:t>
            </w:r>
            <w:r w:rsidR="00D144BA">
              <w:rPr>
                <w:rFonts w:ascii="Garamond" w:hAnsi="Garamond"/>
                <w:sz w:val="22"/>
                <w:szCs w:val="22"/>
              </w:rPr>
              <w:t xml:space="preserve">absolutně </w:t>
            </w:r>
            <w:r w:rsidR="00AD0A11" w:rsidRPr="00C62706">
              <w:rPr>
                <w:rFonts w:ascii="Garamond" w:hAnsi="Garamond"/>
                <w:sz w:val="22"/>
                <w:szCs w:val="22"/>
              </w:rPr>
              <w:t>zamezilo</w:t>
            </w:r>
            <w:r w:rsidR="00D144BA">
              <w:rPr>
                <w:rFonts w:ascii="Garamond" w:hAnsi="Garamond"/>
                <w:sz w:val="22"/>
                <w:szCs w:val="22"/>
              </w:rPr>
              <w:t xml:space="preserve"> odchýlení od projektu a</w:t>
            </w:r>
            <w:r w:rsidR="00552BE1">
              <w:rPr>
                <w:rFonts w:ascii="Garamond" w:hAnsi="Garamond"/>
                <w:sz w:val="22"/>
                <w:szCs w:val="22"/>
              </w:rPr>
              <w:t> </w:t>
            </w:r>
            <w:r w:rsidRPr="00C62706">
              <w:rPr>
                <w:rFonts w:ascii="Garamond" w:hAnsi="Garamond"/>
                <w:sz w:val="22"/>
                <w:szCs w:val="22"/>
              </w:rPr>
              <w:t>vzniku možných víceprací.</w:t>
            </w:r>
            <w:r w:rsidR="00D601A8" w:rsidRPr="00C62706">
              <w:rPr>
                <w:rFonts w:ascii="Garamond" w:hAnsi="Garamond"/>
                <w:sz w:val="22"/>
                <w:szCs w:val="22"/>
              </w:rPr>
              <w:t xml:space="preserve"> Textura nelze definovat jen v </w:t>
            </w:r>
            <w:r w:rsidR="00A01869">
              <w:rPr>
                <w:rFonts w:ascii="Garamond" w:hAnsi="Garamond"/>
                <w:sz w:val="22"/>
                <w:szCs w:val="22"/>
              </w:rPr>
              <w:t>D</w:t>
            </w:r>
            <w:r w:rsidR="00D601A8" w:rsidRPr="00C62706">
              <w:rPr>
                <w:rFonts w:ascii="Garamond" w:hAnsi="Garamond"/>
                <w:sz w:val="22"/>
                <w:szCs w:val="22"/>
              </w:rPr>
              <w:t xml:space="preserve">okumentaci pro </w:t>
            </w:r>
            <w:r w:rsidR="009B7856" w:rsidRPr="00C62706">
              <w:rPr>
                <w:rFonts w:ascii="Garamond" w:hAnsi="Garamond"/>
                <w:sz w:val="22"/>
                <w:szCs w:val="22"/>
              </w:rPr>
              <w:t>výběr dodavatele</w:t>
            </w:r>
            <w:r w:rsidR="00D601A8" w:rsidRPr="00C62706">
              <w:rPr>
                <w:rFonts w:ascii="Garamond" w:hAnsi="Garamond"/>
                <w:sz w:val="22"/>
                <w:szCs w:val="22"/>
              </w:rPr>
              <w:t xml:space="preserve">, jelikož se v tomto případě jedná o hledání výtvarného řešení, které má odpovídat mimořádné koncepci objektu SEFO.  </w:t>
            </w:r>
          </w:p>
        </w:tc>
      </w:tr>
      <w:tr w:rsidR="00BD6FE8" w:rsidRPr="00C62706" w14:paraId="6C10464A" w14:textId="77777777" w:rsidTr="008D6F5A">
        <w:tc>
          <w:tcPr>
            <w:tcW w:w="2830" w:type="dxa"/>
            <w:shd w:val="clear" w:color="auto" w:fill="F2F2F2" w:themeFill="background1" w:themeFillShade="F2"/>
          </w:tcPr>
          <w:p w14:paraId="13DC4D12" w14:textId="77777777" w:rsidR="00BD6FE8" w:rsidRPr="00C62706" w:rsidRDefault="00BD6FE8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Návrh nebo opatření k omezení či eliminaci rizika</w:t>
            </w:r>
          </w:p>
        </w:tc>
        <w:tc>
          <w:tcPr>
            <w:tcW w:w="6663" w:type="dxa"/>
          </w:tcPr>
          <w:p w14:paraId="05857619" w14:textId="77777777" w:rsidR="00BD6FE8" w:rsidRPr="00C62706" w:rsidRDefault="008D6F5A" w:rsidP="00CB5610">
            <w:pPr>
              <w:spacing w:before="0" w:after="0"/>
              <w:rPr>
                <w:rFonts w:ascii="Garamond" w:hAnsi="Garamond"/>
                <w:b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 xml:space="preserve">Struktura i barevnost se musí vyřešit na </w:t>
            </w:r>
            <w:r w:rsidR="00004008" w:rsidRPr="00C62706">
              <w:rPr>
                <w:rFonts w:ascii="Garamond" w:hAnsi="Garamond"/>
                <w:sz w:val="22"/>
                <w:szCs w:val="22"/>
              </w:rPr>
              <w:t>fyzických</w:t>
            </w:r>
            <w:r w:rsidRPr="00C62706">
              <w:rPr>
                <w:rFonts w:ascii="Garamond" w:hAnsi="Garamond"/>
                <w:sz w:val="22"/>
                <w:szCs w:val="22"/>
              </w:rPr>
              <w:t xml:space="preserve"> vzorcích. Schválený vzorek bude součástí </w:t>
            </w:r>
            <w:r w:rsidR="00DA663F">
              <w:rPr>
                <w:rFonts w:ascii="Garamond" w:hAnsi="Garamond"/>
                <w:sz w:val="22"/>
                <w:szCs w:val="22"/>
              </w:rPr>
              <w:t>D</w:t>
            </w:r>
            <w:r w:rsidRPr="00C62706">
              <w:rPr>
                <w:rFonts w:ascii="Garamond" w:hAnsi="Garamond"/>
                <w:sz w:val="22"/>
                <w:szCs w:val="22"/>
              </w:rPr>
              <w:t>okumentace pro výběr</w:t>
            </w:r>
            <w:r w:rsidR="00D144BA">
              <w:rPr>
                <w:rFonts w:ascii="Garamond" w:hAnsi="Garamond"/>
                <w:sz w:val="22"/>
                <w:szCs w:val="22"/>
              </w:rPr>
              <w:t xml:space="preserve"> generálního</w:t>
            </w:r>
            <w:r w:rsidRPr="00C62706">
              <w:rPr>
                <w:rFonts w:ascii="Garamond" w:hAnsi="Garamond"/>
                <w:sz w:val="22"/>
                <w:szCs w:val="22"/>
              </w:rPr>
              <w:t xml:space="preserve"> dodavatele</w:t>
            </w:r>
            <w:r w:rsidR="00D144BA">
              <w:rPr>
                <w:rFonts w:ascii="Garamond" w:hAnsi="Garamond"/>
                <w:sz w:val="22"/>
                <w:szCs w:val="22"/>
              </w:rPr>
              <w:t xml:space="preserve"> stavby</w:t>
            </w:r>
            <w:r w:rsidRPr="00C62706">
              <w:rPr>
                <w:rFonts w:ascii="Garamond" w:hAnsi="Garamond"/>
                <w:sz w:val="22"/>
                <w:szCs w:val="22"/>
              </w:rPr>
              <w:t>.</w:t>
            </w:r>
            <w:r w:rsidR="00A941E4" w:rsidRPr="00C62706">
              <w:rPr>
                <w:rFonts w:ascii="Garamond" w:hAnsi="Garamond"/>
                <w:sz w:val="22"/>
                <w:szCs w:val="22"/>
              </w:rPr>
              <w:t xml:space="preserve"> Při samotné realizaci tak nemůže vybraný generální dodavatel vznášet požadavky na vícepráce, jelikož přesně </w:t>
            </w:r>
            <w:r w:rsidR="00CB5610">
              <w:rPr>
                <w:rFonts w:ascii="Garamond" w:hAnsi="Garamond"/>
                <w:sz w:val="22"/>
                <w:szCs w:val="22"/>
              </w:rPr>
              <w:t xml:space="preserve">znal </w:t>
            </w:r>
            <w:r w:rsidR="00A941E4" w:rsidRPr="00C62706">
              <w:rPr>
                <w:rFonts w:ascii="Garamond" w:hAnsi="Garamond"/>
                <w:sz w:val="22"/>
                <w:szCs w:val="22"/>
              </w:rPr>
              <w:t>požadav</w:t>
            </w:r>
            <w:r w:rsidR="00CB5610">
              <w:rPr>
                <w:rFonts w:ascii="Garamond" w:hAnsi="Garamond"/>
                <w:sz w:val="22"/>
                <w:szCs w:val="22"/>
              </w:rPr>
              <w:t>ky</w:t>
            </w:r>
            <w:r w:rsidR="00A941E4" w:rsidRPr="00C62706">
              <w:rPr>
                <w:rFonts w:ascii="Garamond" w:hAnsi="Garamond"/>
                <w:sz w:val="22"/>
                <w:szCs w:val="22"/>
              </w:rPr>
              <w:t xml:space="preserve"> na daný prvek</w:t>
            </w:r>
            <w:r w:rsidR="00CB5610">
              <w:rPr>
                <w:rFonts w:ascii="Garamond" w:hAnsi="Garamond"/>
                <w:sz w:val="22"/>
                <w:szCs w:val="22"/>
              </w:rPr>
              <w:t>, definovaný vzorkem</w:t>
            </w:r>
            <w:r w:rsidR="00A941E4" w:rsidRPr="00C62706">
              <w:rPr>
                <w:rFonts w:ascii="Garamond" w:hAnsi="Garamond"/>
                <w:sz w:val="22"/>
                <w:szCs w:val="22"/>
              </w:rPr>
              <w:t>. Takové opatření přinese investorovi záruku na splnění termínu realizace samotné stavby a zároveň nedojde k navýšení finanční</w:t>
            </w:r>
            <w:r w:rsidR="00CB5610">
              <w:rPr>
                <w:rFonts w:ascii="Garamond" w:hAnsi="Garamond"/>
                <w:sz w:val="22"/>
                <w:szCs w:val="22"/>
              </w:rPr>
              <w:t>ch</w:t>
            </w:r>
            <w:r w:rsidR="00A941E4" w:rsidRPr="00C62706">
              <w:rPr>
                <w:rFonts w:ascii="Garamond" w:hAnsi="Garamond"/>
                <w:sz w:val="22"/>
                <w:szCs w:val="22"/>
              </w:rPr>
              <w:t xml:space="preserve"> nákladů.  </w:t>
            </w:r>
          </w:p>
        </w:tc>
      </w:tr>
      <w:tr w:rsidR="00BD6FE8" w:rsidRPr="00C74498" w14:paraId="07777A7D" w14:textId="77777777" w:rsidTr="008D6F5A">
        <w:tc>
          <w:tcPr>
            <w:tcW w:w="2830" w:type="dxa"/>
            <w:shd w:val="clear" w:color="auto" w:fill="F2F2F2" w:themeFill="background1" w:themeFillShade="F2"/>
          </w:tcPr>
          <w:p w14:paraId="47658157" w14:textId="77777777" w:rsidR="00BD6FE8" w:rsidRPr="00C62706" w:rsidRDefault="00BD6FE8" w:rsidP="00C62706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>Dominantní informace – odůvodnění realizovatelnosti</w:t>
            </w:r>
          </w:p>
        </w:tc>
        <w:tc>
          <w:tcPr>
            <w:tcW w:w="6663" w:type="dxa"/>
          </w:tcPr>
          <w:p w14:paraId="1C1FB535" w14:textId="77777777" w:rsidR="00BD6FE8" w:rsidRPr="00C62706" w:rsidRDefault="003C4D41" w:rsidP="00016067">
            <w:pPr>
              <w:rPr>
                <w:rFonts w:ascii="Garamond" w:hAnsi="Garamond"/>
                <w:sz w:val="22"/>
                <w:szCs w:val="22"/>
              </w:rPr>
            </w:pPr>
            <w:r w:rsidRPr="00C62706">
              <w:rPr>
                <w:rFonts w:ascii="Garamond" w:hAnsi="Garamond"/>
                <w:sz w:val="22"/>
                <w:szCs w:val="22"/>
              </w:rPr>
              <w:t xml:space="preserve">Na základě našich zkušeností </w:t>
            </w:r>
            <w:r w:rsidR="00E1395E">
              <w:rPr>
                <w:rFonts w:ascii="Garamond" w:hAnsi="Garamond"/>
                <w:sz w:val="22"/>
                <w:szCs w:val="22"/>
              </w:rPr>
              <w:t xml:space="preserve">ze staveb občanské vybavenosti v různých městech </w:t>
            </w:r>
            <w:r w:rsidR="00CB5610">
              <w:rPr>
                <w:rFonts w:ascii="Garamond" w:hAnsi="Garamond"/>
                <w:sz w:val="22"/>
                <w:szCs w:val="22"/>
              </w:rPr>
              <w:t xml:space="preserve">v ČR </w:t>
            </w:r>
            <w:r w:rsidR="00920542">
              <w:rPr>
                <w:rFonts w:ascii="Garamond" w:hAnsi="Garamond"/>
                <w:sz w:val="22"/>
                <w:szCs w:val="22"/>
              </w:rPr>
              <w:t xml:space="preserve">o investičních nákladech v řádu sta milionů korun víme, že je nutné </w:t>
            </w:r>
            <w:r w:rsidR="00D601A8" w:rsidRPr="00C62706">
              <w:rPr>
                <w:rFonts w:ascii="Garamond" w:hAnsi="Garamond"/>
                <w:sz w:val="22"/>
                <w:szCs w:val="22"/>
              </w:rPr>
              <w:t>zakomponov</w:t>
            </w:r>
            <w:r w:rsidR="00920542">
              <w:rPr>
                <w:rFonts w:ascii="Garamond" w:hAnsi="Garamond"/>
                <w:sz w:val="22"/>
                <w:szCs w:val="22"/>
              </w:rPr>
              <w:t>at</w:t>
            </w:r>
            <w:r w:rsidR="00D601A8" w:rsidRPr="00C62706">
              <w:rPr>
                <w:rFonts w:ascii="Garamond" w:hAnsi="Garamond"/>
                <w:sz w:val="22"/>
                <w:szCs w:val="22"/>
              </w:rPr>
              <w:t xml:space="preserve"> fyzický </w:t>
            </w:r>
            <w:r w:rsidR="00920542" w:rsidRPr="00C62706">
              <w:rPr>
                <w:rFonts w:ascii="Garamond" w:hAnsi="Garamond"/>
                <w:sz w:val="22"/>
                <w:szCs w:val="22"/>
              </w:rPr>
              <w:t>vzor</w:t>
            </w:r>
            <w:r w:rsidR="00920542">
              <w:rPr>
                <w:rFonts w:ascii="Garamond" w:hAnsi="Garamond"/>
                <w:sz w:val="22"/>
                <w:szCs w:val="22"/>
              </w:rPr>
              <w:t>ek</w:t>
            </w:r>
            <w:r w:rsidR="00920542" w:rsidRPr="00C6270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601A8" w:rsidRPr="00C62706">
              <w:rPr>
                <w:rFonts w:ascii="Garamond" w:hAnsi="Garamond"/>
                <w:sz w:val="22"/>
                <w:szCs w:val="22"/>
              </w:rPr>
              <w:t xml:space="preserve">do </w:t>
            </w:r>
            <w:r w:rsidR="00552BE1">
              <w:rPr>
                <w:rFonts w:ascii="Garamond" w:hAnsi="Garamond"/>
                <w:sz w:val="22"/>
                <w:szCs w:val="22"/>
              </w:rPr>
              <w:t>D</w:t>
            </w:r>
            <w:r w:rsidR="00D601A8" w:rsidRPr="00C62706">
              <w:rPr>
                <w:rFonts w:ascii="Garamond" w:hAnsi="Garamond"/>
                <w:sz w:val="22"/>
                <w:szCs w:val="22"/>
              </w:rPr>
              <w:t>okumentace pro výběr doda</w:t>
            </w:r>
            <w:r w:rsidRPr="00C62706">
              <w:rPr>
                <w:rFonts w:ascii="Garamond" w:hAnsi="Garamond"/>
                <w:sz w:val="22"/>
                <w:szCs w:val="22"/>
              </w:rPr>
              <w:t xml:space="preserve">vatele. </w:t>
            </w:r>
            <w:r w:rsidR="00A941E4" w:rsidRPr="003B6E01">
              <w:rPr>
                <w:rFonts w:ascii="Garamond" w:hAnsi="Garamond"/>
                <w:b/>
                <w:sz w:val="22"/>
                <w:szCs w:val="22"/>
              </w:rPr>
              <w:t xml:space="preserve">Tímto opatřením se nám na všech realizovaných </w:t>
            </w:r>
            <w:r w:rsidR="00016067">
              <w:rPr>
                <w:rFonts w:ascii="Garamond" w:hAnsi="Garamond"/>
                <w:b/>
                <w:sz w:val="22"/>
                <w:szCs w:val="22"/>
              </w:rPr>
              <w:t>stavbách</w:t>
            </w:r>
            <w:r w:rsidR="00016067" w:rsidRPr="003B6E0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A941E4" w:rsidRPr="003B6E01">
              <w:rPr>
                <w:rFonts w:ascii="Garamond" w:hAnsi="Garamond"/>
                <w:b/>
                <w:sz w:val="22"/>
                <w:szCs w:val="22"/>
              </w:rPr>
              <w:t xml:space="preserve">podařilo eliminovat úplně vícepráce </w:t>
            </w:r>
            <w:r w:rsidR="003B6E01" w:rsidRPr="003B6E01">
              <w:rPr>
                <w:rFonts w:ascii="Garamond" w:hAnsi="Garamond"/>
                <w:b/>
                <w:sz w:val="22"/>
                <w:szCs w:val="22"/>
              </w:rPr>
              <w:t xml:space="preserve">na </w:t>
            </w:r>
            <w:r w:rsidR="00A941E4" w:rsidRPr="003B6E01">
              <w:rPr>
                <w:rFonts w:ascii="Garamond" w:hAnsi="Garamond"/>
                <w:b/>
                <w:sz w:val="22"/>
                <w:szCs w:val="22"/>
              </w:rPr>
              <w:t>takto atypick</w:t>
            </w:r>
            <w:r w:rsidR="001B5971">
              <w:rPr>
                <w:rFonts w:ascii="Garamond" w:hAnsi="Garamond"/>
                <w:b/>
                <w:sz w:val="22"/>
                <w:szCs w:val="22"/>
              </w:rPr>
              <w:t>y</w:t>
            </w:r>
            <w:r w:rsidR="00A941E4" w:rsidRPr="003B6E01">
              <w:rPr>
                <w:rFonts w:ascii="Garamond" w:hAnsi="Garamond"/>
                <w:b/>
                <w:sz w:val="22"/>
                <w:szCs w:val="22"/>
              </w:rPr>
              <w:t xml:space="preserve"> ztvárněn</w:t>
            </w:r>
            <w:r w:rsidR="00CD11E7">
              <w:rPr>
                <w:rFonts w:ascii="Garamond" w:hAnsi="Garamond"/>
                <w:b/>
                <w:sz w:val="22"/>
                <w:szCs w:val="22"/>
              </w:rPr>
              <w:t>ých</w:t>
            </w:r>
            <w:r w:rsidR="00A941E4" w:rsidRPr="003B6E01">
              <w:rPr>
                <w:rFonts w:ascii="Garamond" w:hAnsi="Garamond"/>
                <w:b/>
                <w:sz w:val="22"/>
                <w:szCs w:val="22"/>
              </w:rPr>
              <w:t xml:space="preserve"> fasád</w:t>
            </w:r>
            <w:r w:rsidR="00CD11E7">
              <w:rPr>
                <w:rFonts w:ascii="Garamond" w:hAnsi="Garamond"/>
                <w:b/>
                <w:sz w:val="22"/>
                <w:szCs w:val="22"/>
              </w:rPr>
              <w:t>ách</w:t>
            </w:r>
            <w:r w:rsidR="00A941E4" w:rsidRPr="003B6E01">
              <w:rPr>
                <w:rFonts w:ascii="Garamond" w:hAnsi="Garamond"/>
                <w:b/>
                <w:sz w:val="22"/>
                <w:szCs w:val="22"/>
              </w:rPr>
              <w:t>.</w:t>
            </w:r>
            <w:r w:rsidR="00A941E4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14:paraId="0DA2C4C9" w14:textId="77777777" w:rsidR="008A693C" w:rsidRDefault="00BD6FE8">
      <w:r w:rsidRPr="00C74498">
        <w:rPr>
          <w:rFonts w:ascii="Garamond" w:hAnsi="Garamond"/>
          <w:i/>
          <w:iCs/>
          <w:szCs w:val="22"/>
        </w:rPr>
        <w:t xml:space="preserve">Poznámky (lze odstranit): viz čl. 9.4 zadávací dokumentace. Rozsah popisů souhrnně ve vztahu ke všem projektovým cílům nesmí přesáhnout </w:t>
      </w:r>
      <w:r>
        <w:rPr>
          <w:rFonts w:ascii="Garamond" w:hAnsi="Garamond"/>
          <w:i/>
          <w:iCs/>
          <w:szCs w:val="22"/>
        </w:rPr>
        <w:t>4</w:t>
      </w:r>
      <w:r w:rsidRPr="00C74498">
        <w:rPr>
          <w:rFonts w:ascii="Garamond" w:hAnsi="Garamond"/>
          <w:i/>
          <w:iCs/>
          <w:szCs w:val="22"/>
        </w:rPr>
        <w:t xml:space="preserve"> normostrany (</w:t>
      </w:r>
      <w:r>
        <w:rPr>
          <w:rFonts w:ascii="Garamond" w:hAnsi="Garamond"/>
          <w:i/>
          <w:iCs/>
          <w:szCs w:val="22"/>
        </w:rPr>
        <w:t>72</w:t>
      </w:r>
      <w:r w:rsidRPr="00C74498">
        <w:rPr>
          <w:rFonts w:ascii="Garamond" w:hAnsi="Garamond"/>
          <w:i/>
          <w:iCs/>
          <w:szCs w:val="22"/>
        </w:rPr>
        <w:t>00 znaků včetně mezer), nabídka nad tento rozsah nebude předmětem hodnocení. Přípustný je pouze text. Obrázky, grafy, schémata apod. nebudou předmětem hodnocení.</w:t>
      </w:r>
    </w:p>
    <w:sectPr w:rsidR="008A693C" w:rsidSect="009C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F3C"/>
    <w:multiLevelType w:val="multilevel"/>
    <w:tmpl w:val="D39205A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501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E8"/>
    <w:rsid w:val="0000383F"/>
    <w:rsid w:val="00004008"/>
    <w:rsid w:val="000126F8"/>
    <w:rsid w:val="00016067"/>
    <w:rsid w:val="0004721C"/>
    <w:rsid w:val="000A76BD"/>
    <w:rsid w:val="000B7987"/>
    <w:rsid w:val="000F5B46"/>
    <w:rsid w:val="00133515"/>
    <w:rsid w:val="001B5971"/>
    <w:rsid w:val="00283F73"/>
    <w:rsid w:val="002C3B80"/>
    <w:rsid w:val="002E5E5B"/>
    <w:rsid w:val="002F4750"/>
    <w:rsid w:val="00321019"/>
    <w:rsid w:val="003A6689"/>
    <w:rsid w:val="003B6E01"/>
    <w:rsid w:val="003C4D41"/>
    <w:rsid w:val="00452358"/>
    <w:rsid w:val="004B5ED2"/>
    <w:rsid w:val="004E34DF"/>
    <w:rsid w:val="00504E16"/>
    <w:rsid w:val="0053476E"/>
    <w:rsid w:val="00552BE1"/>
    <w:rsid w:val="00566E00"/>
    <w:rsid w:val="005774C5"/>
    <w:rsid w:val="0058014B"/>
    <w:rsid w:val="005951C8"/>
    <w:rsid w:val="005C33E3"/>
    <w:rsid w:val="006916A7"/>
    <w:rsid w:val="006A047C"/>
    <w:rsid w:val="006E6631"/>
    <w:rsid w:val="0077520E"/>
    <w:rsid w:val="008214AE"/>
    <w:rsid w:val="00822E9D"/>
    <w:rsid w:val="00826F95"/>
    <w:rsid w:val="008A693C"/>
    <w:rsid w:val="008B019D"/>
    <w:rsid w:val="008D1591"/>
    <w:rsid w:val="008D6F5A"/>
    <w:rsid w:val="00906585"/>
    <w:rsid w:val="00920542"/>
    <w:rsid w:val="009B7856"/>
    <w:rsid w:val="009C18EA"/>
    <w:rsid w:val="00A01869"/>
    <w:rsid w:val="00A3157C"/>
    <w:rsid w:val="00A35B10"/>
    <w:rsid w:val="00A57B7D"/>
    <w:rsid w:val="00A90E4E"/>
    <w:rsid w:val="00A941E4"/>
    <w:rsid w:val="00AD0A11"/>
    <w:rsid w:val="00AD1AA3"/>
    <w:rsid w:val="00AE0DBD"/>
    <w:rsid w:val="00B14FD8"/>
    <w:rsid w:val="00B31759"/>
    <w:rsid w:val="00B526A8"/>
    <w:rsid w:val="00B6060F"/>
    <w:rsid w:val="00B63AB5"/>
    <w:rsid w:val="00B94A96"/>
    <w:rsid w:val="00BD4478"/>
    <w:rsid w:val="00BD6FE8"/>
    <w:rsid w:val="00BF2872"/>
    <w:rsid w:val="00BF47CD"/>
    <w:rsid w:val="00BF7CFF"/>
    <w:rsid w:val="00C17EF5"/>
    <w:rsid w:val="00C62706"/>
    <w:rsid w:val="00CB5610"/>
    <w:rsid w:val="00CD11E7"/>
    <w:rsid w:val="00D144BA"/>
    <w:rsid w:val="00D37237"/>
    <w:rsid w:val="00D56F32"/>
    <w:rsid w:val="00D601A8"/>
    <w:rsid w:val="00D70BB2"/>
    <w:rsid w:val="00D966D5"/>
    <w:rsid w:val="00DA663F"/>
    <w:rsid w:val="00DD7CD3"/>
    <w:rsid w:val="00DE009A"/>
    <w:rsid w:val="00E07E24"/>
    <w:rsid w:val="00E1395E"/>
    <w:rsid w:val="00E16635"/>
    <w:rsid w:val="00E45006"/>
    <w:rsid w:val="00E55567"/>
    <w:rsid w:val="00ED236B"/>
    <w:rsid w:val="00F87A68"/>
    <w:rsid w:val="00FD2638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A295"/>
  <w15:docId w15:val="{5B877C15-5925-4D85-A7B5-A1D693BE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FE8"/>
    <w:pPr>
      <w:suppressAutoHyphens/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DD7CD3"/>
    <w:pPr>
      <w:numPr>
        <w:numId w:val="1"/>
      </w:numPr>
    </w:pPr>
  </w:style>
  <w:style w:type="paragraph" w:customStyle="1" w:styleId="Normal1">
    <w:name w:val="Normal 1"/>
    <w:basedOn w:val="Normln"/>
    <w:rsid w:val="00BD6FE8"/>
    <w:pPr>
      <w:ind w:left="880"/>
    </w:pPr>
  </w:style>
  <w:style w:type="table" w:styleId="Mkatabulky">
    <w:name w:val="Table Grid"/>
    <w:basedOn w:val="Normlntabulka"/>
    <w:uiPriority w:val="39"/>
    <w:rsid w:val="00BD6F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">
    <w:name w:val="Tab."/>
    <w:basedOn w:val="Normln"/>
    <w:link w:val="TabChar"/>
    <w:uiPriority w:val="7"/>
    <w:qFormat/>
    <w:rsid w:val="00BD6FE8"/>
    <w:pPr>
      <w:suppressAutoHyphens w:val="0"/>
      <w:spacing w:before="0" w:after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7"/>
    <w:rsid w:val="00BD6FE8"/>
    <w:rPr>
      <w:rFonts w:ascii="Arial" w:hAnsi="Arial"/>
      <w:kern w:val="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62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270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2706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706"/>
    <w:rPr>
      <w:rFonts w:ascii="Times New Roman" w:eastAsia="SimSun" w:hAnsi="Times New Roman" w:cs="Times New Roman"/>
      <w:b/>
      <w:bCs/>
      <w:kern w:val="0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62706"/>
    <w:pPr>
      <w:spacing w:after="0" w:line="240" w:lineRule="auto"/>
    </w:pPr>
    <w:rPr>
      <w:rFonts w:ascii="Times New Roman" w:eastAsia="SimSun" w:hAnsi="Times New Roman" w:cs="Times New Roman"/>
      <w:kern w:val="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58"/>
    <w:rPr>
      <w:rFonts w:ascii="Tahoma" w:eastAsia="SimSu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7" ma:contentTypeDescription="Vytvoří nový dokument" ma:contentTypeScope="" ma:versionID="0c0923b9905fee685308e7b199be9dc7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364c4a7ffd4ff6b2a2eaf874dde2122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D5EAF-93DF-422B-983A-53DE383CA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7a5feb10-646c-4d0a-80b1-8c09b104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06502-02B8-4687-889F-45FC70A72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858</Words>
  <Characters>5063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</dc:creator>
  <cp:keywords/>
  <dc:description/>
  <cp:lastModifiedBy>Kovaříková Jana</cp:lastModifiedBy>
  <cp:revision>2</cp:revision>
  <cp:lastPrinted>2023-07-30T17:41:00Z</cp:lastPrinted>
  <dcterms:created xsi:type="dcterms:W3CDTF">2024-01-22T08:18:00Z</dcterms:created>
  <dcterms:modified xsi:type="dcterms:W3CDTF">2024-01-22T08:18:00Z</dcterms:modified>
</cp:coreProperties>
</file>