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2E4" w14:textId="77777777" w:rsidR="003042C3" w:rsidRDefault="003042C3" w:rsidP="003042C3">
      <w:pPr>
        <w:pStyle w:val="Zpat"/>
        <w:keepLines/>
        <w:spacing w:after="0"/>
        <w:jc w:val="center"/>
        <w:rPr>
          <w:rFonts w:ascii="Garamond" w:hAnsi="Garamond" w:cs="Arial"/>
          <w:b/>
          <w:bCs/>
          <w:caps/>
          <w:kern w:val="28"/>
          <w:sz w:val="22"/>
          <w:szCs w:val="32"/>
        </w:rPr>
      </w:pPr>
      <w:r w:rsidRPr="003255B3">
        <w:rPr>
          <w:rFonts w:ascii="Garamond" w:hAnsi="Garamond" w:cs="Arial"/>
          <w:b/>
          <w:bCs/>
          <w:caps/>
          <w:kern w:val="28"/>
          <w:sz w:val="22"/>
          <w:szCs w:val="32"/>
        </w:rPr>
        <w:t>Příloha č. 5</w:t>
      </w:r>
    </w:p>
    <w:p w14:paraId="174D5AE4" w14:textId="77777777" w:rsidR="003042C3" w:rsidRDefault="003042C3" w:rsidP="003042C3">
      <w:pPr>
        <w:pStyle w:val="Zpat"/>
        <w:keepLines/>
        <w:spacing w:after="0"/>
        <w:jc w:val="center"/>
        <w:rPr>
          <w:rFonts w:ascii="Garamond" w:hAnsi="Garamond" w:cs="Arial"/>
          <w:b/>
          <w:bCs/>
          <w:caps/>
          <w:kern w:val="28"/>
          <w:sz w:val="22"/>
          <w:szCs w:val="32"/>
        </w:rPr>
      </w:pPr>
      <w:r w:rsidRPr="003255B3">
        <w:rPr>
          <w:rFonts w:ascii="Garamond" w:hAnsi="Garamond" w:cs="Arial"/>
          <w:b/>
          <w:bCs/>
          <w:caps/>
          <w:kern w:val="28"/>
          <w:sz w:val="22"/>
          <w:szCs w:val="32"/>
        </w:rPr>
        <w:t>Seznam dokumentů předaných Objednatelem Zhotoviteli</w:t>
      </w:r>
    </w:p>
    <w:p w14:paraId="0DA489F0" w14:textId="77777777" w:rsidR="003042C3" w:rsidRDefault="003042C3" w:rsidP="003042C3">
      <w:pPr>
        <w:pStyle w:val="Zpat"/>
        <w:keepLines/>
        <w:spacing w:after="0"/>
        <w:rPr>
          <w:rFonts w:ascii="Garamond" w:hAnsi="Garamond" w:cs="Arial"/>
          <w:b/>
          <w:bCs/>
          <w:caps/>
          <w:kern w:val="28"/>
          <w:sz w:val="22"/>
          <w:szCs w:val="32"/>
        </w:rPr>
      </w:pPr>
    </w:p>
    <w:p w14:paraId="7C4C7CFF" w14:textId="77777777" w:rsidR="003042C3" w:rsidRPr="002C0EA0" w:rsidRDefault="003042C3" w:rsidP="003042C3">
      <w:pPr>
        <w:pStyle w:val="Zpat"/>
        <w:keepLines/>
        <w:numPr>
          <w:ilvl w:val="0"/>
          <w:numId w:val="2"/>
        </w:numPr>
        <w:rPr>
          <w:rFonts w:ascii="Garamond" w:hAnsi="Garamond"/>
          <w:iCs/>
          <w:sz w:val="22"/>
          <w:szCs w:val="22"/>
        </w:rPr>
      </w:pPr>
      <w:r w:rsidRPr="002C0EA0">
        <w:rPr>
          <w:rFonts w:ascii="Garamond" w:hAnsi="Garamond"/>
          <w:iCs/>
          <w:sz w:val="22"/>
          <w:szCs w:val="22"/>
        </w:rPr>
        <w:t>Příloha č. 1 – Specifikace požadavků Objednatele na Projektovou dokumentaci a inženýrské činnosti</w:t>
      </w:r>
    </w:p>
    <w:p w14:paraId="1D644769" w14:textId="77777777" w:rsidR="003042C3" w:rsidRPr="002C0EA0" w:rsidRDefault="003042C3" w:rsidP="003042C3">
      <w:pPr>
        <w:pStyle w:val="Zpat"/>
        <w:keepLines/>
        <w:numPr>
          <w:ilvl w:val="0"/>
          <w:numId w:val="2"/>
        </w:numPr>
        <w:rPr>
          <w:rFonts w:ascii="Garamond" w:hAnsi="Garamond"/>
          <w:iCs/>
          <w:sz w:val="22"/>
          <w:szCs w:val="22"/>
        </w:rPr>
      </w:pPr>
      <w:r w:rsidRPr="002C0EA0">
        <w:rPr>
          <w:rFonts w:ascii="Garamond" w:hAnsi="Garamond"/>
          <w:iCs/>
          <w:sz w:val="22"/>
          <w:szCs w:val="22"/>
        </w:rPr>
        <w:t xml:space="preserve">Příloha č. 2 – Stavebně-technické přílohy </w:t>
      </w:r>
    </w:p>
    <w:p w14:paraId="2B145BE4" w14:textId="77777777" w:rsidR="003042C3" w:rsidRPr="002C0EA0" w:rsidRDefault="003042C3" w:rsidP="003042C3">
      <w:pPr>
        <w:pStyle w:val="Zpat"/>
        <w:keepLines/>
        <w:numPr>
          <w:ilvl w:val="0"/>
          <w:numId w:val="1"/>
        </w:numPr>
        <w:ind w:left="1843"/>
        <w:rPr>
          <w:rFonts w:ascii="Garamond" w:hAnsi="Garamond"/>
          <w:iCs/>
          <w:sz w:val="22"/>
          <w:szCs w:val="22"/>
        </w:rPr>
      </w:pPr>
      <w:r w:rsidRPr="002C0EA0">
        <w:rPr>
          <w:rFonts w:ascii="Garamond" w:hAnsi="Garamond"/>
          <w:iCs/>
          <w:sz w:val="22"/>
          <w:szCs w:val="22"/>
        </w:rPr>
        <w:t>Rozhodnutí Krajského úřadu Olomouckého kraje, ze dne 28. 11. 2022, č.j. KUOK 121583/2022</w:t>
      </w:r>
      <w:r>
        <w:rPr>
          <w:rFonts w:ascii="Garamond" w:hAnsi="Garamond"/>
          <w:iCs/>
          <w:sz w:val="22"/>
          <w:szCs w:val="22"/>
        </w:rPr>
        <w:t>;</w:t>
      </w:r>
    </w:p>
    <w:p w14:paraId="4715FE03" w14:textId="77777777" w:rsidR="003042C3" w:rsidRPr="002C0EA0" w:rsidRDefault="003042C3" w:rsidP="003042C3">
      <w:pPr>
        <w:pStyle w:val="Zpat"/>
        <w:keepLines/>
        <w:numPr>
          <w:ilvl w:val="0"/>
          <w:numId w:val="1"/>
        </w:numPr>
        <w:ind w:left="1843"/>
        <w:rPr>
          <w:rFonts w:ascii="Garamond" w:hAnsi="Garamond"/>
          <w:iCs/>
          <w:sz w:val="22"/>
          <w:szCs w:val="22"/>
        </w:rPr>
      </w:pPr>
      <w:r w:rsidRPr="002C0EA0">
        <w:rPr>
          <w:rFonts w:ascii="Garamond" w:hAnsi="Garamond"/>
          <w:iCs/>
          <w:sz w:val="22"/>
          <w:szCs w:val="22"/>
        </w:rPr>
        <w:t>Nálezová zpráva z archeologického výzkumu (Olomouc, Denisova Ulice), provedeného ve dnech 1. 4. 2015 – 31. 7. 2016, číslo akce: NPU012/15</w:t>
      </w:r>
      <w:r>
        <w:rPr>
          <w:rFonts w:ascii="Garamond" w:hAnsi="Garamond"/>
          <w:iCs/>
          <w:sz w:val="22"/>
          <w:szCs w:val="22"/>
        </w:rPr>
        <w:t>;</w:t>
      </w:r>
    </w:p>
    <w:p w14:paraId="31BE9E2B" w14:textId="77777777" w:rsidR="003042C3" w:rsidRPr="002C0EA0" w:rsidRDefault="003042C3" w:rsidP="003042C3">
      <w:pPr>
        <w:pStyle w:val="Zpat"/>
        <w:keepLines/>
        <w:numPr>
          <w:ilvl w:val="0"/>
          <w:numId w:val="1"/>
        </w:numPr>
        <w:ind w:left="1843"/>
        <w:rPr>
          <w:rFonts w:ascii="Garamond" w:hAnsi="Garamond"/>
          <w:iCs/>
          <w:sz w:val="22"/>
          <w:szCs w:val="22"/>
        </w:rPr>
      </w:pPr>
      <w:r w:rsidRPr="002C0EA0">
        <w:rPr>
          <w:rFonts w:ascii="Garamond" w:hAnsi="Garamond"/>
          <w:iCs/>
          <w:sz w:val="22"/>
          <w:szCs w:val="22"/>
        </w:rPr>
        <w:t>Technická zpráva – Výškové zaměření profilu budovy č.p. 291, Ul. Denisova, ze dne 21. 5. 2009</w:t>
      </w:r>
      <w:r>
        <w:rPr>
          <w:rFonts w:ascii="Garamond" w:hAnsi="Garamond"/>
          <w:iCs/>
          <w:sz w:val="22"/>
          <w:szCs w:val="22"/>
        </w:rPr>
        <w:t>;</w:t>
      </w:r>
    </w:p>
    <w:p w14:paraId="78C6B2BB" w14:textId="77777777" w:rsidR="003042C3" w:rsidRPr="002C0EA0" w:rsidRDefault="003042C3" w:rsidP="003042C3">
      <w:pPr>
        <w:pStyle w:val="Zpat"/>
        <w:keepLines/>
        <w:numPr>
          <w:ilvl w:val="0"/>
          <w:numId w:val="1"/>
        </w:numPr>
        <w:ind w:left="1843"/>
        <w:rPr>
          <w:rFonts w:ascii="Garamond" w:hAnsi="Garamond"/>
          <w:iCs/>
          <w:sz w:val="22"/>
          <w:szCs w:val="22"/>
        </w:rPr>
      </w:pPr>
      <w:r w:rsidRPr="002C0EA0">
        <w:rPr>
          <w:rFonts w:ascii="Garamond" w:hAnsi="Garamond"/>
          <w:iCs/>
          <w:sz w:val="22"/>
          <w:szCs w:val="22"/>
        </w:rPr>
        <w:t xml:space="preserve">Zaměření budovy, stavební proluka </w:t>
      </w:r>
      <w:r>
        <w:rPr>
          <w:rFonts w:ascii="Garamond" w:hAnsi="Garamond"/>
          <w:iCs/>
          <w:sz w:val="22"/>
          <w:szCs w:val="22"/>
        </w:rPr>
        <w:t xml:space="preserve">a souřadnice </w:t>
      </w:r>
      <w:r w:rsidRPr="002C0EA0">
        <w:rPr>
          <w:rFonts w:ascii="Garamond" w:hAnsi="Garamond"/>
          <w:iCs/>
          <w:sz w:val="22"/>
          <w:szCs w:val="22"/>
        </w:rPr>
        <w:t>(05/2007)</w:t>
      </w:r>
      <w:r>
        <w:rPr>
          <w:rFonts w:ascii="Garamond" w:hAnsi="Garamond"/>
          <w:iCs/>
          <w:sz w:val="22"/>
          <w:szCs w:val="22"/>
        </w:rPr>
        <w:t>;</w:t>
      </w:r>
    </w:p>
    <w:p w14:paraId="79C3AB56" w14:textId="77777777" w:rsidR="003042C3" w:rsidRPr="002C0EA0" w:rsidRDefault="003042C3" w:rsidP="003042C3">
      <w:pPr>
        <w:pStyle w:val="Zpat"/>
        <w:keepLines/>
        <w:numPr>
          <w:ilvl w:val="0"/>
          <w:numId w:val="1"/>
        </w:numPr>
        <w:ind w:left="1843"/>
        <w:rPr>
          <w:rFonts w:ascii="Garamond" w:hAnsi="Garamond"/>
          <w:iCs/>
          <w:sz w:val="22"/>
          <w:szCs w:val="22"/>
        </w:rPr>
      </w:pPr>
      <w:r w:rsidRPr="002C0EA0">
        <w:rPr>
          <w:rFonts w:ascii="Garamond" w:hAnsi="Garamond"/>
          <w:iCs/>
          <w:sz w:val="22"/>
          <w:szCs w:val="22"/>
        </w:rPr>
        <w:t xml:space="preserve">Závěrečná zpráva o výsledcích podrobného geotechnického průzkumu pro založení novostavby budovy „Středoevropské fórum Olomouc (SEFO)“ na parcelách č. 254, 455, 456, 457, 458 a 459 v k. </w:t>
      </w:r>
      <w:proofErr w:type="spellStart"/>
      <w:r w:rsidRPr="002C0EA0">
        <w:rPr>
          <w:rFonts w:ascii="Garamond" w:hAnsi="Garamond"/>
          <w:iCs/>
          <w:sz w:val="22"/>
          <w:szCs w:val="22"/>
        </w:rPr>
        <w:t>ú.</w:t>
      </w:r>
      <w:proofErr w:type="spellEnd"/>
      <w:r w:rsidRPr="002C0EA0">
        <w:rPr>
          <w:rFonts w:ascii="Garamond" w:hAnsi="Garamond"/>
          <w:iCs/>
          <w:sz w:val="22"/>
          <w:szCs w:val="22"/>
        </w:rPr>
        <w:t xml:space="preserve"> Olomouc-město, obec Olomouc, ze dne 27. 9. 2021</w:t>
      </w:r>
    </w:p>
    <w:p w14:paraId="629108BD" w14:textId="77777777" w:rsidR="003042C3" w:rsidRPr="002C0EA0" w:rsidRDefault="003042C3" w:rsidP="003042C3">
      <w:pPr>
        <w:pStyle w:val="Zpat"/>
        <w:keepLines/>
        <w:numPr>
          <w:ilvl w:val="0"/>
          <w:numId w:val="1"/>
        </w:numPr>
        <w:ind w:left="1843"/>
        <w:rPr>
          <w:rFonts w:ascii="Garamond" w:hAnsi="Garamond"/>
          <w:iCs/>
          <w:sz w:val="22"/>
          <w:szCs w:val="22"/>
        </w:rPr>
      </w:pPr>
      <w:r w:rsidRPr="002C0EA0">
        <w:rPr>
          <w:rFonts w:ascii="Garamond" w:hAnsi="Garamond"/>
          <w:iCs/>
          <w:sz w:val="22"/>
          <w:szCs w:val="22"/>
        </w:rPr>
        <w:t>Územně plánovací informace – Magistrát města Olomouce, ze dne 8.2.2023, č. j. SMOL/030337/2023/ODUR/UUP/Sob</w:t>
      </w:r>
    </w:p>
    <w:p w14:paraId="7109164B" w14:textId="77777777" w:rsidR="003042C3" w:rsidRPr="002C0EA0" w:rsidRDefault="003042C3" w:rsidP="003042C3">
      <w:pPr>
        <w:pStyle w:val="Zpat"/>
        <w:keepLines/>
        <w:numPr>
          <w:ilvl w:val="0"/>
          <w:numId w:val="1"/>
        </w:numPr>
        <w:ind w:left="1843"/>
        <w:rPr>
          <w:rFonts w:ascii="Garamond" w:hAnsi="Garamond"/>
          <w:iCs/>
          <w:sz w:val="22"/>
          <w:szCs w:val="22"/>
        </w:rPr>
      </w:pPr>
      <w:r w:rsidRPr="002C0EA0">
        <w:rPr>
          <w:rFonts w:ascii="Garamond" w:hAnsi="Garamond"/>
          <w:iCs/>
          <w:sz w:val="22"/>
          <w:szCs w:val="22"/>
        </w:rPr>
        <w:t>Stavebně historický průzkum úseku městských hradeb v Olomouci za stavební prolukou muzea umění v Denisově ulici, Olomouc 2022</w:t>
      </w:r>
      <w:r>
        <w:rPr>
          <w:rFonts w:ascii="Garamond" w:hAnsi="Garamond"/>
          <w:iCs/>
          <w:sz w:val="22"/>
          <w:szCs w:val="22"/>
        </w:rPr>
        <w:t>;</w:t>
      </w:r>
    </w:p>
    <w:p w14:paraId="04A94112" w14:textId="77777777" w:rsidR="003042C3" w:rsidRPr="002C0EA0" w:rsidRDefault="003042C3" w:rsidP="003042C3">
      <w:pPr>
        <w:pStyle w:val="Zpat"/>
        <w:keepLines/>
        <w:numPr>
          <w:ilvl w:val="0"/>
          <w:numId w:val="1"/>
        </w:numPr>
        <w:ind w:left="1843"/>
        <w:rPr>
          <w:rFonts w:ascii="Garamond" w:hAnsi="Garamond"/>
          <w:iCs/>
          <w:sz w:val="22"/>
          <w:szCs w:val="22"/>
        </w:rPr>
      </w:pPr>
      <w:r w:rsidRPr="002C0EA0">
        <w:rPr>
          <w:rFonts w:ascii="Garamond" w:hAnsi="Garamond"/>
          <w:iCs/>
          <w:sz w:val="22"/>
          <w:szCs w:val="22"/>
        </w:rPr>
        <w:t xml:space="preserve">Středoevropské </w:t>
      </w:r>
      <w:proofErr w:type="spellStart"/>
      <w:r w:rsidRPr="002C0EA0">
        <w:rPr>
          <w:rFonts w:ascii="Garamond" w:hAnsi="Garamond"/>
          <w:iCs/>
          <w:sz w:val="22"/>
          <w:szCs w:val="22"/>
        </w:rPr>
        <w:t>forum</w:t>
      </w:r>
      <w:proofErr w:type="spellEnd"/>
      <w:r w:rsidRPr="002C0EA0">
        <w:rPr>
          <w:rFonts w:ascii="Garamond" w:hAnsi="Garamond"/>
          <w:iCs/>
          <w:sz w:val="22"/>
          <w:szCs w:val="22"/>
        </w:rPr>
        <w:t xml:space="preserve"> Olomouc, Šépka architekti – Příprava a dopracování podkladů pro zadání výběrového řízení „Projektová dokumentace SEFO“ (10/2022</w:t>
      </w:r>
      <w:r>
        <w:rPr>
          <w:rFonts w:ascii="Garamond" w:hAnsi="Garamond"/>
          <w:iCs/>
          <w:sz w:val="22"/>
          <w:szCs w:val="22"/>
        </w:rPr>
        <w:t>;</w:t>
      </w:r>
      <w:r w:rsidRPr="002C0EA0">
        <w:rPr>
          <w:rFonts w:ascii="Garamond" w:hAnsi="Garamond"/>
          <w:iCs/>
          <w:sz w:val="22"/>
          <w:szCs w:val="22"/>
        </w:rPr>
        <w:t>)</w:t>
      </w:r>
    </w:p>
    <w:p w14:paraId="6C3212E6" w14:textId="77777777" w:rsidR="003042C3" w:rsidRDefault="003042C3" w:rsidP="003042C3">
      <w:pPr>
        <w:pStyle w:val="Zpat"/>
        <w:keepLines/>
        <w:numPr>
          <w:ilvl w:val="0"/>
          <w:numId w:val="1"/>
        </w:numPr>
        <w:ind w:left="1843"/>
        <w:rPr>
          <w:rFonts w:ascii="Garamond" w:hAnsi="Garamond"/>
          <w:iCs/>
          <w:sz w:val="22"/>
          <w:szCs w:val="22"/>
        </w:rPr>
      </w:pPr>
      <w:r w:rsidRPr="002C0EA0">
        <w:rPr>
          <w:rFonts w:ascii="Garamond" w:hAnsi="Garamond"/>
          <w:iCs/>
          <w:sz w:val="22"/>
          <w:szCs w:val="22"/>
        </w:rPr>
        <w:t xml:space="preserve">Středoevropské </w:t>
      </w:r>
      <w:proofErr w:type="spellStart"/>
      <w:r w:rsidRPr="002C0EA0">
        <w:rPr>
          <w:rFonts w:ascii="Garamond" w:hAnsi="Garamond"/>
          <w:iCs/>
          <w:sz w:val="22"/>
          <w:szCs w:val="22"/>
        </w:rPr>
        <w:t>forum</w:t>
      </w:r>
      <w:proofErr w:type="spellEnd"/>
      <w:r w:rsidRPr="002C0EA0">
        <w:rPr>
          <w:rFonts w:ascii="Garamond" w:hAnsi="Garamond"/>
          <w:iCs/>
          <w:sz w:val="22"/>
          <w:szCs w:val="22"/>
        </w:rPr>
        <w:t xml:space="preserve"> Olomouc, </w:t>
      </w:r>
      <w:bookmarkStart w:id="0" w:name="_Hlk155346298"/>
      <w:r w:rsidRPr="002C0EA0">
        <w:rPr>
          <w:rFonts w:ascii="Garamond" w:hAnsi="Garamond"/>
          <w:iCs/>
          <w:sz w:val="22"/>
          <w:szCs w:val="22"/>
        </w:rPr>
        <w:t xml:space="preserve">Šépka architekti </w:t>
      </w:r>
      <w:bookmarkEnd w:id="0"/>
      <w:r w:rsidRPr="002C0EA0">
        <w:rPr>
          <w:rFonts w:ascii="Garamond" w:hAnsi="Garamond"/>
          <w:iCs/>
          <w:sz w:val="22"/>
          <w:szCs w:val="22"/>
        </w:rPr>
        <w:t>– Zapracování připomínek z Rozhodnutí KUOK vydané 28.11.2022 a podmínky Územně plánovací informace ze dne 30.1.2023 pro zadání výběrového řízení „Projektová dokumentace SEFO” (4/2023)</w:t>
      </w:r>
      <w:r>
        <w:rPr>
          <w:rFonts w:ascii="Garamond" w:hAnsi="Garamond"/>
          <w:iCs/>
          <w:sz w:val="22"/>
          <w:szCs w:val="22"/>
        </w:rPr>
        <w:t>;</w:t>
      </w:r>
    </w:p>
    <w:p w14:paraId="580BE6B5" w14:textId="77777777" w:rsidR="003042C3" w:rsidRPr="002C0EA0" w:rsidRDefault="003042C3" w:rsidP="003042C3">
      <w:pPr>
        <w:pStyle w:val="Zpat"/>
        <w:keepLines/>
        <w:numPr>
          <w:ilvl w:val="0"/>
          <w:numId w:val="1"/>
        </w:numPr>
        <w:ind w:left="1843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Dokument </w:t>
      </w:r>
      <w:r w:rsidRPr="002C0EA0">
        <w:rPr>
          <w:rFonts w:ascii="Garamond" w:hAnsi="Garamond"/>
          <w:iCs/>
          <w:sz w:val="22"/>
          <w:szCs w:val="22"/>
        </w:rPr>
        <w:t>SEFO_2023-úprava-FINAL_DWG.dwg</w:t>
      </w:r>
      <w:r>
        <w:rPr>
          <w:rFonts w:ascii="Garamond" w:hAnsi="Garamond"/>
          <w:iCs/>
          <w:sz w:val="22"/>
          <w:szCs w:val="22"/>
        </w:rPr>
        <w:t xml:space="preserve">. </w:t>
      </w:r>
    </w:p>
    <w:p w14:paraId="5B9E8FFC" w14:textId="77777777" w:rsidR="003042C3" w:rsidRPr="002C0EA0" w:rsidRDefault="003042C3" w:rsidP="003042C3">
      <w:pPr>
        <w:pStyle w:val="Odstavecseseznamem"/>
        <w:keepLines/>
        <w:numPr>
          <w:ilvl w:val="0"/>
          <w:numId w:val="3"/>
        </w:numPr>
        <w:spacing w:after="120"/>
        <w:ind w:left="1276"/>
        <w:contextualSpacing w:val="0"/>
        <w:rPr>
          <w:rFonts w:ascii="Garamond" w:hAnsi="Garamond"/>
          <w:iCs/>
          <w:sz w:val="22"/>
          <w:szCs w:val="22"/>
        </w:rPr>
      </w:pPr>
      <w:r w:rsidRPr="002C0EA0">
        <w:rPr>
          <w:rFonts w:ascii="Garamond" w:hAnsi="Garamond"/>
          <w:iCs/>
          <w:sz w:val="22"/>
          <w:szCs w:val="22"/>
        </w:rPr>
        <w:t>Příloha č. 3 – Harmonogram plnění</w:t>
      </w:r>
    </w:p>
    <w:p w14:paraId="6D069567" w14:textId="77777777" w:rsidR="003042C3" w:rsidRPr="002C0EA0" w:rsidRDefault="003042C3" w:rsidP="003042C3">
      <w:pPr>
        <w:pStyle w:val="Odstavecseseznamem"/>
        <w:keepLines/>
        <w:numPr>
          <w:ilvl w:val="0"/>
          <w:numId w:val="3"/>
        </w:numPr>
        <w:spacing w:after="120"/>
        <w:ind w:left="1276"/>
        <w:contextualSpacing w:val="0"/>
        <w:rPr>
          <w:rFonts w:ascii="Garamond" w:hAnsi="Garamond"/>
          <w:iCs/>
          <w:sz w:val="22"/>
          <w:szCs w:val="22"/>
        </w:rPr>
      </w:pPr>
      <w:r w:rsidRPr="002C0EA0">
        <w:rPr>
          <w:rFonts w:ascii="Garamond" w:hAnsi="Garamond"/>
          <w:iCs/>
          <w:sz w:val="22"/>
          <w:szCs w:val="22"/>
        </w:rPr>
        <w:t>Příloha č. 4a – Realizační tým Zhotovitele</w:t>
      </w:r>
    </w:p>
    <w:p w14:paraId="309E8EF9" w14:textId="77777777" w:rsidR="003042C3" w:rsidRPr="002C0EA0" w:rsidRDefault="003042C3" w:rsidP="003042C3">
      <w:pPr>
        <w:pStyle w:val="Odstavecseseznamem"/>
        <w:keepLines/>
        <w:numPr>
          <w:ilvl w:val="0"/>
          <w:numId w:val="3"/>
        </w:numPr>
        <w:spacing w:after="120"/>
        <w:ind w:left="1276"/>
        <w:contextualSpacing w:val="0"/>
        <w:rPr>
          <w:rFonts w:ascii="Garamond" w:hAnsi="Garamond"/>
          <w:iCs/>
          <w:sz w:val="22"/>
          <w:szCs w:val="22"/>
        </w:rPr>
      </w:pPr>
      <w:r w:rsidRPr="002C0EA0">
        <w:rPr>
          <w:rFonts w:ascii="Garamond" w:hAnsi="Garamond"/>
          <w:iCs/>
          <w:sz w:val="22"/>
          <w:szCs w:val="22"/>
        </w:rPr>
        <w:t>Příloha č. 4b – Doplněný realizační tým Zhotovitele</w:t>
      </w:r>
    </w:p>
    <w:p w14:paraId="4DDFB85A" w14:textId="77777777" w:rsidR="003042C3" w:rsidRPr="002C0EA0" w:rsidRDefault="003042C3" w:rsidP="003042C3">
      <w:pPr>
        <w:pStyle w:val="Odstavecseseznamem"/>
        <w:keepLines/>
        <w:numPr>
          <w:ilvl w:val="0"/>
          <w:numId w:val="3"/>
        </w:numPr>
        <w:spacing w:after="120"/>
        <w:ind w:left="1276"/>
        <w:contextualSpacing w:val="0"/>
        <w:rPr>
          <w:rFonts w:ascii="Garamond" w:hAnsi="Garamond"/>
          <w:iCs/>
          <w:sz w:val="22"/>
          <w:szCs w:val="22"/>
        </w:rPr>
      </w:pPr>
      <w:r w:rsidRPr="002C0EA0">
        <w:rPr>
          <w:rFonts w:ascii="Garamond" w:hAnsi="Garamond"/>
          <w:iCs/>
          <w:sz w:val="22"/>
          <w:szCs w:val="22"/>
        </w:rPr>
        <w:t>Příloha č. 6 – Seznam poddodavatelů</w:t>
      </w:r>
    </w:p>
    <w:p w14:paraId="1AB042FE" w14:textId="77777777" w:rsidR="003042C3" w:rsidRPr="002C0EA0" w:rsidRDefault="003042C3" w:rsidP="003042C3">
      <w:pPr>
        <w:pStyle w:val="Odstavecseseznamem"/>
        <w:keepLines/>
        <w:numPr>
          <w:ilvl w:val="0"/>
          <w:numId w:val="3"/>
        </w:numPr>
        <w:spacing w:after="120"/>
        <w:ind w:left="1276"/>
        <w:contextualSpacing w:val="0"/>
        <w:rPr>
          <w:rFonts w:ascii="Garamond" w:hAnsi="Garamond"/>
          <w:iCs/>
          <w:sz w:val="22"/>
          <w:szCs w:val="22"/>
        </w:rPr>
      </w:pPr>
      <w:r w:rsidRPr="002C0EA0">
        <w:rPr>
          <w:rFonts w:ascii="Garamond" w:hAnsi="Garamond"/>
          <w:iCs/>
          <w:sz w:val="22"/>
          <w:szCs w:val="22"/>
        </w:rPr>
        <w:t xml:space="preserve">Příloha č. 7 – Dohoda o mlčenlivosti k dokumentaci EZS, EPS a CCTV </w:t>
      </w:r>
    </w:p>
    <w:p w14:paraId="7706CC22" w14:textId="77777777" w:rsidR="003042C3" w:rsidRPr="002C0EA0" w:rsidRDefault="003042C3" w:rsidP="003042C3">
      <w:pPr>
        <w:pStyle w:val="Odstavecseseznamem"/>
        <w:keepLines/>
        <w:numPr>
          <w:ilvl w:val="0"/>
          <w:numId w:val="3"/>
        </w:numPr>
        <w:spacing w:after="120"/>
        <w:ind w:left="1276"/>
        <w:contextualSpacing w:val="0"/>
        <w:rPr>
          <w:rFonts w:ascii="Garamond" w:hAnsi="Garamond"/>
          <w:iCs/>
          <w:sz w:val="22"/>
          <w:szCs w:val="22"/>
        </w:rPr>
      </w:pPr>
      <w:r w:rsidRPr="002C0EA0">
        <w:rPr>
          <w:rFonts w:ascii="Garamond" w:hAnsi="Garamond"/>
          <w:iCs/>
          <w:sz w:val="22"/>
          <w:szCs w:val="22"/>
        </w:rPr>
        <w:t>Příloha č. 8 – Formulář ke kritériu „Odborná úroveň“</w:t>
      </w:r>
    </w:p>
    <w:p w14:paraId="5AD22797" w14:textId="77777777" w:rsidR="003042C3" w:rsidRPr="002C0EA0" w:rsidRDefault="003042C3" w:rsidP="003042C3">
      <w:pPr>
        <w:pStyle w:val="Odstavecseseznamem"/>
        <w:keepLines/>
        <w:numPr>
          <w:ilvl w:val="0"/>
          <w:numId w:val="3"/>
        </w:numPr>
        <w:spacing w:after="120"/>
        <w:ind w:left="1276"/>
        <w:contextualSpacing w:val="0"/>
        <w:rPr>
          <w:rFonts w:ascii="Garamond" w:hAnsi="Garamond"/>
          <w:iCs/>
          <w:sz w:val="22"/>
          <w:szCs w:val="22"/>
        </w:rPr>
      </w:pPr>
      <w:r w:rsidRPr="002C0EA0">
        <w:rPr>
          <w:rFonts w:ascii="Garamond" w:hAnsi="Garamond"/>
          <w:iCs/>
          <w:sz w:val="22"/>
          <w:szCs w:val="22"/>
        </w:rPr>
        <w:t>Příloha č. 9 – Formulář ke kritériu „Identifikace a řízení rizik“</w:t>
      </w:r>
    </w:p>
    <w:p w14:paraId="4B45B3C8" w14:textId="77777777" w:rsidR="003042C3" w:rsidRPr="002C0EA0" w:rsidRDefault="003042C3" w:rsidP="003042C3">
      <w:pPr>
        <w:pStyle w:val="Odstavecseseznamem"/>
        <w:keepLines/>
        <w:numPr>
          <w:ilvl w:val="0"/>
          <w:numId w:val="3"/>
        </w:numPr>
        <w:spacing w:after="120"/>
        <w:ind w:left="1276"/>
        <w:contextualSpacing w:val="0"/>
        <w:rPr>
          <w:rFonts w:ascii="Garamond" w:hAnsi="Garamond"/>
          <w:iCs/>
          <w:sz w:val="22"/>
          <w:szCs w:val="22"/>
        </w:rPr>
      </w:pPr>
      <w:r w:rsidRPr="002C0EA0">
        <w:rPr>
          <w:rFonts w:ascii="Garamond" w:hAnsi="Garamond"/>
          <w:iCs/>
          <w:sz w:val="22"/>
          <w:szCs w:val="22"/>
        </w:rPr>
        <w:t>Příloha č. 10 – Technické upřesnění návrhů a opatření pro naplnění projektových cílů v rámci kritéria „Odborná úroveň</w:t>
      </w:r>
    </w:p>
    <w:p w14:paraId="4C0ED706" w14:textId="77777777" w:rsidR="003042C3" w:rsidRPr="002C0EA0" w:rsidRDefault="003042C3" w:rsidP="003042C3">
      <w:pPr>
        <w:pStyle w:val="Odstavecseseznamem"/>
        <w:keepLines/>
        <w:spacing w:after="120"/>
        <w:ind w:left="1843" w:hanging="283"/>
        <w:contextualSpacing w:val="0"/>
        <w:rPr>
          <w:rFonts w:ascii="Garamond" w:hAnsi="Garamond"/>
          <w:iCs/>
          <w:sz w:val="22"/>
          <w:szCs w:val="22"/>
        </w:rPr>
      </w:pPr>
      <w:r w:rsidRPr="002C0EA0">
        <w:rPr>
          <w:rFonts w:ascii="Garamond" w:hAnsi="Garamond"/>
          <w:iCs/>
          <w:sz w:val="22"/>
          <w:szCs w:val="22"/>
        </w:rPr>
        <w:t>-</w:t>
      </w:r>
      <w:r>
        <w:rPr>
          <w:rFonts w:ascii="Garamond" w:hAnsi="Garamond"/>
          <w:iCs/>
          <w:sz w:val="22"/>
          <w:szCs w:val="22"/>
        </w:rPr>
        <w:t xml:space="preserve"> </w:t>
      </w:r>
      <w:r>
        <w:rPr>
          <w:rFonts w:ascii="Garamond" w:hAnsi="Garamond"/>
          <w:iCs/>
          <w:sz w:val="22"/>
          <w:szCs w:val="22"/>
        </w:rPr>
        <w:tab/>
      </w:r>
      <w:r w:rsidRPr="002C0EA0">
        <w:rPr>
          <w:rFonts w:ascii="Garamond" w:hAnsi="Garamond"/>
          <w:iCs/>
          <w:sz w:val="22"/>
          <w:szCs w:val="22"/>
        </w:rPr>
        <w:t>Příloha 10_1A soupis činností, které nejsou předmětem plnění ze dne 23. 10. 2023;</w:t>
      </w:r>
    </w:p>
    <w:p w14:paraId="705BD313" w14:textId="77777777" w:rsidR="003042C3" w:rsidRDefault="003042C3" w:rsidP="003042C3">
      <w:pPr>
        <w:pStyle w:val="Odstavecseseznamem"/>
        <w:keepLines/>
        <w:spacing w:after="120"/>
        <w:ind w:left="1843" w:hanging="283"/>
        <w:contextualSpacing w:val="0"/>
        <w:rPr>
          <w:rFonts w:ascii="Garamond" w:hAnsi="Garamond"/>
          <w:iCs/>
          <w:sz w:val="22"/>
          <w:szCs w:val="22"/>
        </w:rPr>
      </w:pPr>
      <w:r w:rsidRPr="002C0EA0">
        <w:rPr>
          <w:rFonts w:ascii="Garamond" w:hAnsi="Garamond"/>
          <w:iCs/>
          <w:sz w:val="22"/>
          <w:szCs w:val="22"/>
        </w:rPr>
        <w:t xml:space="preserve">- </w:t>
      </w:r>
      <w:r>
        <w:rPr>
          <w:rFonts w:ascii="Garamond" w:hAnsi="Garamond"/>
          <w:iCs/>
          <w:sz w:val="22"/>
          <w:szCs w:val="22"/>
        </w:rPr>
        <w:tab/>
      </w:r>
      <w:r w:rsidRPr="002C0EA0">
        <w:rPr>
          <w:rFonts w:ascii="Garamond" w:hAnsi="Garamond"/>
          <w:iCs/>
          <w:sz w:val="22"/>
          <w:szCs w:val="22"/>
        </w:rPr>
        <w:t xml:space="preserve">Potvrzení společnosti </w:t>
      </w:r>
      <w:proofErr w:type="spellStart"/>
      <w:r w:rsidRPr="002C0EA0">
        <w:rPr>
          <w:rFonts w:ascii="Garamond" w:hAnsi="Garamond"/>
          <w:iCs/>
          <w:sz w:val="22"/>
          <w:szCs w:val="22"/>
        </w:rPr>
        <w:t>EkoWATT</w:t>
      </w:r>
      <w:proofErr w:type="spellEnd"/>
      <w:r w:rsidRPr="002C0EA0">
        <w:rPr>
          <w:rFonts w:ascii="Garamond" w:hAnsi="Garamond"/>
          <w:iCs/>
          <w:sz w:val="22"/>
          <w:szCs w:val="22"/>
        </w:rPr>
        <w:t xml:space="preserve"> CZ</w:t>
      </w:r>
      <w:r>
        <w:rPr>
          <w:rFonts w:ascii="Garamond" w:hAnsi="Garamond"/>
          <w:iCs/>
          <w:sz w:val="22"/>
          <w:szCs w:val="22"/>
        </w:rPr>
        <w:t xml:space="preserve"> ze dne 19. 10. 2023;</w:t>
      </w:r>
    </w:p>
    <w:p w14:paraId="0DBD6E33" w14:textId="77777777" w:rsidR="003042C3" w:rsidRPr="002C0EA0" w:rsidRDefault="003042C3" w:rsidP="003042C3">
      <w:pPr>
        <w:pStyle w:val="Odstavecseseznamem"/>
        <w:keepLines/>
        <w:numPr>
          <w:ilvl w:val="0"/>
          <w:numId w:val="3"/>
        </w:numPr>
        <w:spacing w:after="120"/>
        <w:ind w:left="1276"/>
        <w:contextualSpacing w:val="0"/>
        <w:rPr>
          <w:rFonts w:ascii="Garamond" w:hAnsi="Garamond"/>
          <w:iCs/>
          <w:sz w:val="22"/>
          <w:szCs w:val="22"/>
        </w:rPr>
      </w:pPr>
      <w:r w:rsidRPr="003042C3">
        <w:rPr>
          <w:rFonts w:ascii="Garamond" w:hAnsi="Garamond"/>
          <w:iCs/>
          <w:sz w:val="22"/>
          <w:szCs w:val="22"/>
        </w:rPr>
        <w:t>Příloha č. 11 – Technické upřesnění návrhů a opatření pro řízení rizik v rámci kritéria „Identifikace a řízení rizik“</w:t>
      </w:r>
    </w:p>
    <w:sectPr w:rsidR="003042C3" w:rsidRPr="002C0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2430B"/>
    <w:multiLevelType w:val="hybridMultilevel"/>
    <w:tmpl w:val="98266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45089"/>
    <w:multiLevelType w:val="hybridMultilevel"/>
    <w:tmpl w:val="E11449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673E5B"/>
    <w:multiLevelType w:val="hybridMultilevel"/>
    <w:tmpl w:val="D59A2240"/>
    <w:lvl w:ilvl="0" w:tplc="1F404716">
      <w:start w:val="1"/>
      <w:numFmt w:val="bullet"/>
      <w:lvlText w:val="-"/>
      <w:lvlJc w:val="left"/>
      <w:pPr>
        <w:ind w:left="1281" w:hanging="360"/>
      </w:pPr>
      <w:rPr>
        <w:rFonts w:ascii="Microsoft Himalaya" w:hAnsi="Microsoft Himalaya" w:hint="default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num w:numId="1" w16cid:durableId="1453670415">
    <w:abstractNumId w:val="2"/>
  </w:num>
  <w:num w:numId="2" w16cid:durableId="2098626509">
    <w:abstractNumId w:val="1"/>
  </w:num>
  <w:num w:numId="3" w16cid:durableId="45386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C3"/>
    <w:rsid w:val="003042C3"/>
    <w:rsid w:val="00350B69"/>
    <w:rsid w:val="00E3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6B5A"/>
  <w15:chartTrackingRefBased/>
  <w15:docId w15:val="{153E4039-E47B-4F99-B2B5-07AD45A3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3042C3"/>
    <w:pPr>
      <w:tabs>
        <w:tab w:val="center" w:pos="4703"/>
        <w:tab w:val="right" w:pos="9406"/>
      </w:tabs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 w:val="20"/>
      <w:szCs w:val="24"/>
      <w14:ligatures w14:val="none"/>
    </w:rPr>
  </w:style>
  <w:style w:type="character" w:customStyle="1" w:styleId="ZpatChar">
    <w:name w:val="Zápatí Char"/>
    <w:basedOn w:val="Standardnpsmoodstavce"/>
    <w:link w:val="Zpat"/>
    <w:semiHidden/>
    <w:rsid w:val="003042C3"/>
    <w:rPr>
      <w:rFonts w:ascii="Times New Roman" w:eastAsia="SimSun" w:hAnsi="Times New Roman" w:cs="Times New Roman"/>
      <w:kern w:val="0"/>
      <w:sz w:val="20"/>
      <w:szCs w:val="24"/>
      <w14:ligatures w14:val="none"/>
    </w:r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qFormat/>
    <w:rsid w:val="003042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locked/>
    <w:rsid w:val="003042C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1894</Characters>
  <Application>Microsoft Office Word</Application>
  <DocSecurity>4</DocSecurity>
  <Lines>15</Lines>
  <Paragraphs>4</Paragraphs>
  <ScaleCrop>false</ScaleCrop>
  <Company>HAVEL &amp; PARTNERS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Kovaříková Jana</cp:lastModifiedBy>
  <cp:revision>2</cp:revision>
  <dcterms:created xsi:type="dcterms:W3CDTF">2024-01-22T08:06:00Z</dcterms:created>
  <dcterms:modified xsi:type="dcterms:W3CDTF">2024-01-22T08:06:00Z</dcterms:modified>
</cp:coreProperties>
</file>