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2E4" w14:textId="77777777" w:rsidR="003042C3" w:rsidRDefault="003042C3" w:rsidP="003042C3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3255B3">
        <w:rPr>
          <w:rFonts w:ascii="Garamond" w:hAnsi="Garamond" w:cs="Arial"/>
          <w:b/>
          <w:bCs/>
          <w:caps/>
          <w:kern w:val="28"/>
          <w:sz w:val="22"/>
          <w:szCs w:val="32"/>
        </w:rPr>
        <w:t>Příloha č. 5</w:t>
      </w:r>
    </w:p>
    <w:p w14:paraId="174D5AE4" w14:textId="77777777" w:rsidR="003042C3" w:rsidRDefault="003042C3" w:rsidP="003042C3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3255B3">
        <w:rPr>
          <w:rFonts w:ascii="Garamond" w:hAnsi="Garamond" w:cs="Arial"/>
          <w:b/>
          <w:bCs/>
          <w:caps/>
          <w:kern w:val="28"/>
          <w:sz w:val="22"/>
          <w:szCs w:val="32"/>
        </w:rPr>
        <w:t>Seznam dokumentů předaných Objednatelem Zhotoviteli</w:t>
      </w:r>
    </w:p>
    <w:p w14:paraId="0DA489F0" w14:textId="77777777" w:rsidR="003042C3" w:rsidRDefault="003042C3" w:rsidP="003042C3">
      <w:pPr>
        <w:pStyle w:val="Zpat"/>
        <w:keepLines/>
        <w:spacing w:after="0"/>
        <w:rPr>
          <w:rFonts w:ascii="Garamond" w:hAnsi="Garamond" w:cs="Arial"/>
          <w:b/>
          <w:bCs/>
          <w:caps/>
          <w:kern w:val="28"/>
          <w:sz w:val="22"/>
          <w:szCs w:val="32"/>
        </w:rPr>
      </w:pPr>
    </w:p>
    <w:p w14:paraId="7C4C7CFF" w14:textId="77777777" w:rsidR="003042C3" w:rsidRPr="002C0EA0" w:rsidRDefault="003042C3" w:rsidP="003042C3">
      <w:pPr>
        <w:pStyle w:val="Zpat"/>
        <w:keepLines/>
        <w:numPr>
          <w:ilvl w:val="0"/>
          <w:numId w:val="2"/>
        </w:numPr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1 – Specifikace požadavků Objednatele na Projektovou dokumentaci a inženýrské činnosti</w:t>
      </w:r>
    </w:p>
    <w:p w14:paraId="1D644769" w14:textId="77777777" w:rsidR="003042C3" w:rsidRPr="002C0EA0" w:rsidRDefault="003042C3" w:rsidP="003042C3">
      <w:pPr>
        <w:pStyle w:val="Zpat"/>
        <w:keepLines/>
        <w:numPr>
          <w:ilvl w:val="0"/>
          <w:numId w:val="2"/>
        </w:numPr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 xml:space="preserve">Příloha č. 2 – Stavebně-technické přílohy </w:t>
      </w:r>
    </w:p>
    <w:p w14:paraId="2B145BE4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Rozhodnutí Krajského úřadu Olomouckého kraje, ze dne 28. 11. 2022, č.j. KUOK 121583/2022</w:t>
      </w:r>
      <w:r>
        <w:rPr>
          <w:rFonts w:ascii="Garamond" w:hAnsi="Garamond"/>
          <w:iCs/>
          <w:sz w:val="22"/>
          <w:szCs w:val="22"/>
        </w:rPr>
        <w:t>;</w:t>
      </w:r>
    </w:p>
    <w:p w14:paraId="4715FE03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Nálezová zpráva z archeologického výzkumu (Olomouc, Denisova Ulice), provedeného ve dnech 1. 4. 2015 – 31. 7. 2016, číslo akce: NPU012/15</w:t>
      </w:r>
      <w:r>
        <w:rPr>
          <w:rFonts w:ascii="Garamond" w:hAnsi="Garamond"/>
          <w:iCs/>
          <w:sz w:val="22"/>
          <w:szCs w:val="22"/>
        </w:rPr>
        <w:t>;</w:t>
      </w:r>
    </w:p>
    <w:p w14:paraId="31BE9E2B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Technická zpráva – Výškové zaměření profilu budovy č.p. 291, Ul. Denisova, ze dne 21. 5. 2009</w:t>
      </w:r>
      <w:r>
        <w:rPr>
          <w:rFonts w:ascii="Garamond" w:hAnsi="Garamond"/>
          <w:iCs/>
          <w:sz w:val="22"/>
          <w:szCs w:val="22"/>
        </w:rPr>
        <w:t>;</w:t>
      </w:r>
    </w:p>
    <w:p w14:paraId="78C6B2BB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 xml:space="preserve">Zaměření budovy, stavební proluka </w:t>
      </w:r>
      <w:r>
        <w:rPr>
          <w:rFonts w:ascii="Garamond" w:hAnsi="Garamond"/>
          <w:iCs/>
          <w:sz w:val="22"/>
          <w:szCs w:val="22"/>
        </w:rPr>
        <w:t xml:space="preserve">a souřadnice </w:t>
      </w:r>
      <w:r w:rsidRPr="002C0EA0">
        <w:rPr>
          <w:rFonts w:ascii="Garamond" w:hAnsi="Garamond"/>
          <w:iCs/>
          <w:sz w:val="22"/>
          <w:szCs w:val="22"/>
        </w:rPr>
        <w:t>(05/2007)</w:t>
      </w:r>
      <w:r>
        <w:rPr>
          <w:rFonts w:ascii="Garamond" w:hAnsi="Garamond"/>
          <w:iCs/>
          <w:sz w:val="22"/>
          <w:szCs w:val="22"/>
        </w:rPr>
        <w:t>;</w:t>
      </w:r>
    </w:p>
    <w:p w14:paraId="79C3AB56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 xml:space="preserve">Závěrečná zpráva o výsledcích podrobného geotechnického průzkumu pro založení novostavby budovy „Středoevropské fórum Olomouc (SEFO)“ na parcelách č. 254, 455, 456, 457, 458 a 459 v k. </w:t>
      </w:r>
      <w:proofErr w:type="spellStart"/>
      <w:r w:rsidRPr="002C0EA0">
        <w:rPr>
          <w:rFonts w:ascii="Garamond" w:hAnsi="Garamond"/>
          <w:iCs/>
          <w:sz w:val="22"/>
          <w:szCs w:val="22"/>
        </w:rPr>
        <w:t>ú.</w:t>
      </w:r>
      <w:proofErr w:type="spellEnd"/>
      <w:r w:rsidRPr="002C0EA0">
        <w:rPr>
          <w:rFonts w:ascii="Garamond" w:hAnsi="Garamond"/>
          <w:iCs/>
          <w:sz w:val="22"/>
          <w:szCs w:val="22"/>
        </w:rPr>
        <w:t xml:space="preserve"> Olomouc-město, obec Olomouc, ze dne 27. 9. 2021</w:t>
      </w:r>
    </w:p>
    <w:p w14:paraId="629108BD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Územně plánovací informace – Magistrát města Olomouce, ze dne 8.2.2023, č. j. SMOL/030337/2023/ODUR/UUP/Sob</w:t>
      </w:r>
    </w:p>
    <w:p w14:paraId="7109164B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Stavebně historický průzkum úseku městských hradeb v Olomouci za stavební prolukou muzea umění v Denisově ulici, Olomouc 2022</w:t>
      </w:r>
      <w:r>
        <w:rPr>
          <w:rFonts w:ascii="Garamond" w:hAnsi="Garamond"/>
          <w:iCs/>
          <w:sz w:val="22"/>
          <w:szCs w:val="22"/>
        </w:rPr>
        <w:t>;</w:t>
      </w:r>
    </w:p>
    <w:p w14:paraId="04A94112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 xml:space="preserve">Středoevropské </w:t>
      </w:r>
      <w:proofErr w:type="spellStart"/>
      <w:r w:rsidRPr="002C0EA0">
        <w:rPr>
          <w:rFonts w:ascii="Garamond" w:hAnsi="Garamond"/>
          <w:iCs/>
          <w:sz w:val="22"/>
          <w:szCs w:val="22"/>
        </w:rPr>
        <w:t>forum</w:t>
      </w:r>
      <w:proofErr w:type="spellEnd"/>
      <w:r w:rsidRPr="002C0EA0">
        <w:rPr>
          <w:rFonts w:ascii="Garamond" w:hAnsi="Garamond"/>
          <w:iCs/>
          <w:sz w:val="22"/>
          <w:szCs w:val="22"/>
        </w:rPr>
        <w:t xml:space="preserve"> Olomouc, Šépka architekti – Příprava a dopracování podkladů pro zadání výběrového řízení „Projektová dokumentace SEFO“ (10/2022</w:t>
      </w:r>
      <w:r>
        <w:rPr>
          <w:rFonts w:ascii="Garamond" w:hAnsi="Garamond"/>
          <w:iCs/>
          <w:sz w:val="22"/>
          <w:szCs w:val="22"/>
        </w:rPr>
        <w:t>;</w:t>
      </w:r>
      <w:r w:rsidRPr="002C0EA0">
        <w:rPr>
          <w:rFonts w:ascii="Garamond" w:hAnsi="Garamond"/>
          <w:iCs/>
          <w:sz w:val="22"/>
          <w:szCs w:val="22"/>
        </w:rPr>
        <w:t>)</w:t>
      </w:r>
    </w:p>
    <w:p w14:paraId="6C3212E6" w14:textId="77777777" w:rsidR="003042C3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 xml:space="preserve">Středoevropské </w:t>
      </w:r>
      <w:proofErr w:type="spellStart"/>
      <w:r w:rsidRPr="002C0EA0">
        <w:rPr>
          <w:rFonts w:ascii="Garamond" w:hAnsi="Garamond"/>
          <w:iCs/>
          <w:sz w:val="22"/>
          <w:szCs w:val="22"/>
        </w:rPr>
        <w:t>forum</w:t>
      </w:r>
      <w:proofErr w:type="spellEnd"/>
      <w:r w:rsidRPr="002C0EA0">
        <w:rPr>
          <w:rFonts w:ascii="Garamond" w:hAnsi="Garamond"/>
          <w:iCs/>
          <w:sz w:val="22"/>
          <w:szCs w:val="22"/>
        </w:rPr>
        <w:t xml:space="preserve"> Olomouc, </w:t>
      </w:r>
      <w:bookmarkStart w:id="0" w:name="_Hlk155346298"/>
      <w:r w:rsidRPr="002C0EA0">
        <w:rPr>
          <w:rFonts w:ascii="Garamond" w:hAnsi="Garamond"/>
          <w:iCs/>
          <w:sz w:val="22"/>
          <w:szCs w:val="22"/>
        </w:rPr>
        <w:t xml:space="preserve">Šépka architekti </w:t>
      </w:r>
      <w:bookmarkEnd w:id="0"/>
      <w:r w:rsidRPr="002C0EA0">
        <w:rPr>
          <w:rFonts w:ascii="Garamond" w:hAnsi="Garamond"/>
          <w:iCs/>
          <w:sz w:val="22"/>
          <w:szCs w:val="22"/>
        </w:rPr>
        <w:t>– Zapracování připomínek z Rozhodnutí KUOK vydané 28.11.2022 a podmínky Územně plánovací informace ze dne 30.1.2023 pro zadání výběrového řízení „Projektová dokumentace SEFO” (4/2023)</w:t>
      </w:r>
      <w:r>
        <w:rPr>
          <w:rFonts w:ascii="Garamond" w:hAnsi="Garamond"/>
          <w:iCs/>
          <w:sz w:val="22"/>
          <w:szCs w:val="22"/>
        </w:rPr>
        <w:t>;</w:t>
      </w:r>
    </w:p>
    <w:p w14:paraId="580BE6B5" w14:textId="77777777" w:rsidR="003042C3" w:rsidRPr="002C0EA0" w:rsidRDefault="003042C3" w:rsidP="003042C3">
      <w:pPr>
        <w:pStyle w:val="Zpat"/>
        <w:keepLines/>
        <w:numPr>
          <w:ilvl w:val="0"/>
          <w:numId w:val="1"/>
        </w:numPr>
        <w:ind w:left="1843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Dokument </w:t>
      </w:r>
      <w:r w:rsidRPr="002C0EA0">
        <w:rPr>
          <w:rFonts w:ascii="Garamond" w:hAnsi="Garamond"/>
          <w:iCs/>
          <w:sz w:val="22"/>
          <w:szCs w:val="22"/>
        </w:rPr>
        <w:t>SEFO_2023-úprava-FINAL_DWG.dwg</w:t>
      </w:r>
      <w:r>
        <w:rPr>
          <w:rFonts w:ascii="Garamond" w:hAnsi="Garamond"/>
          <w:iCs/>
          <w:sz w:val="22"/>
          <w:szCs w:val="22"/>
        </w:rPr>
        <w:t xml:space="preserve">. </w:t>
      </w:r>
    </w:p>
    <w:p w14:paraId="5B9E8FFC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3 – Harmonogram plnění</w:t>
      </w:r>
    </w:p>
    <w:p w14:paraId="6D069567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4a – Realizační tým Zhotovitele</w:t>
      </w:r>
    </w:p>
    <w:p w14:paraId="309E8EF9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4b – Doplněný realizační tým Zhotovitele</w:t>
      </w:r>
    </w:p>
    <w:p w14:paraId="4DDFB85A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6 – Seznam poddodavatelů</w:t>
      </w:r>
    </w:p>
    <w:p w14:paraId="1AB042FE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 xml:space="preserve">Příloha č. 7 – Dohoda o mlčenlivosti k dokumentaci EZS, EPS a CCTV </w:t>
      </w:r>
    </w:p>
    <w:p w14:paraId="7706CC22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8 – Formulář ke kritériu „Odborná úroveň“</w:t>
      </w:r>
    </w:p>
    <w:p w14:paraId="5AD22797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9 – Formulář ke kritériu „Identifikace a řízení rizik“</w:t>
      </w:r>
    </w:p>
    <w:p w14:paraId="4B45B3C8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Příloha č. 10 – Technické upřesnění návrhů a opatření pro naplnění projektových cílů v rámci kritéria „Odborná úroveň</w:t>
      </w:r>
    </w:p>
    <w:p w14:paraId="4C0ED706" w14:textId="77777777" w:rsidR="003042C3" w:rsidRPr="002C0EA0" w:rsidRDefault="003042C3" w:rsidP="003042C3">
      <w:pPr>
        <w:pStyle w:val="Odstavecseseznamem"/>
        <w:keepLines/>
        <w:spacing w:after="120"/>
        <w:ind w:left="1843" w:hanging="283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>-</w:t>
      </w:r>
      <w:r>
        <w:rPr>
          <w:rFonts w:ascii="Garamond" w:hAnsi="Garamond"/>
          <w:iCs/>
          <w:sz w:val="22"/>
          <w:szCs w:val="22"/>
        </w:rPr>
        <w:t xml:space="preserve"> </w:t>
      </w:r>
      <w:r>
        <w:rPr>
          <w:rFonts w:ascii="Garamond" w:hAnsi="Garamond"/>
          <w:iCs/>
          <w:sz w:val="22"/>
          <w:szCs w:val="22"/>
        </w:rPr>
        <w:tab/>
      </w:r>
      <w:r w:rsidRPr="002C0EA0">
        <w:rPr>
          <w:rFonts w:ascii="Garamond" w:hAnsi="Garamond"/>
          <w:iCs/>
          <w:sz w:val="22"/>
          <w:szCs w:val="22"/>
        </w:rPr>
        <w:t>Příloha 10_1A soupis činností, které nejsou předmětem plnění ze dne 23. 10. 2023;</w:t>
      </w:r>
    </w:p>
    <w:p w14:paraId="705BD313" w14:textId="77777777" w:rsidR="003042C3" w:rsidRDefault="003042C3" w:rsidP="003042C3">
      <w:pPr>
        <w:pStyle w:val="Odstavecseseznamem"/>
        <w:keepLines/>
        <w:spacing w:after="120"/>
        <w:ind w:left="1843" w:hanging="283"/>
        <w:contextualSpacing w:val="0"/>
        <w:rPr>
          <w:rFonts w:ascii="Garamond" w:hAnsi="Garamond"/>
          <w:iCs/>
          <w:sz w:val="22"/>
          <w:szCs w:val="22"/>
        </w:rPr>
      </w:pPr>
      <w:r w:rsidRPr="002C0EA0">
        <w:rPr>
          <w:rFonts w:ascii="Garamond" w:hAnsi="Garamond"/>
          <w:iCs/>
          <w:sz w:val="22"/>
          <w:szCs w:val="22"/>
        </w:rPr>
        <w:t xml:space="preserve">- </w:t>
      </w:r>
      <w:r>
        <w:rPr>
          <w:rFonts w:ascii="Garamond" w:hAnsi="Garamond"/>
          <w:iCs/>
          <w:sz w:val="22"/>
          <w:szCs w:val="22"/>
        </w:rPr>
        <w:tab/>
      </w:r>
      <w:r w:rsidRPr="002C0EA0">
        <w:rPr>
          <w:rFonts w:ascii="Garamond" w:hAnsi="Garamond"/>
          <w:iCs/>
          <w:sz w:val="22"/>
          <w:szCs w:val="22"/>
        </w:rPr>
        <w:t xml:space="preserve">Potvrzení společnosti </w:t>
      </w:r>
      <w:proofErr w:type="spellStart"/>
      <w:r w:rsidRPr="002C0EA0">
        <w:rPr>
          <w:rFonts w:ascii="Garamond" w:hAnsi="Garamond"/>
          <w:iCs/>
          <w:sz w:val="22"/>
          <w:szCs w:val="22"/>
        </w:rPr>
        <w:t>EkoWATT</w:t>
      </w:r>
      <w:proofErr w:type="spellEnd"/>
      <w:r w:rsidRPr="002C0EA0">
        <w:rPr>
          <w:rFonts w:ascii="Garamond" w:hAnsi="Garamond"/>
          <w:iCs/>
          <w:sz w:val="22"/>
          <w:szCs w:val="22"/>
        </w:rPr>
        <w:t xml:space="preserve"> CZ</w:t>
      </w:r>
      <w:r>
        <w:rPr>
          <w:rFonts w:ascii="Garamond" w:hAnsi="Garamond"/>
          <w:iCs/>
          <w:sz w:val="22"/>
          <w:szCs w:val="22"/>
        </w:rPr>
        <w:t xml:space="preserve"> ze dne 19. 10. 2023;</w:t>
      </w:r>
    </w:p>
    <w:p w14:paraId="0DBD6E33" w14:textId="77777777" w:rsidR="003042C3" w:rsidRPr="002C0EA0" w:rsidRDefault="003042C3" w:rsidP="003042C3">
      <w:pPr>
        <w:pStyle w:val="Odstavecseseznamem"/>
        <w:keepLines/>
        <w:numPr>
          <w:ilvl w:val="0"/>
          <w:numId w:val="3"/>
        </w:numPr>
        <w:spacing w:after="120"/>
        <w:ind w:left="1276"/>
        <w:contextualSpacing w:val="0"/>
        <w:rPr>
          <w:rFonts w:ascii="Garamond" w:hAnsi="Garamond"/>
          <w:iCs/>
          <w:sz w:val="22"/>
          <w:szCs w:val="22"/>
        </w:rPr>
      </w:pPr>
      <w:r w:rsidRPr="003042C3">
        <w:rPr>
          <w:rFonts w:ascii="Garamond" w:hAnsi="Garamond"/>
          <w:iCs/>
          <w:sz w:val="22"/>
          <w:szCs w:val="22"/>
        </w:rPr>
        <w:t>Příloha č. 11 – Technické upřesnění návrhů a opatření pro řízení rizik v rámci kritéria „Identifikace a řízení rizik“</w:t>
      </w:r>
    </w:p>
    <w:sectPr w:rsidR="003042C3" w:rsidRPr="002C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430B"/>
    <w:multiLevelType w:val="hybridMultilevel"/>
    <w:tmpl w:val="98266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089"/>
    <w:multiLevelType w:val="hybridMultilevel"/>
    <w:tmpl w:val="E1144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673E5B"/>
    <w:multiLevelType w:val="hybridMultilevel"/>
    <w:tmpl w:val="D59A2240"/>
    <w:lvl w:ilvl="0" w:tplc="1F404716">
      <w:start w:val="1"/>
      <w:numFmt w:val="bullet"/>
      <w:lvlText w:val="-"/>
      <w:lvlJc w:val="left"/>
      <w:pPr>
        <w:ind w:left="1281" w:hanging="360"/>
      </w:pPr>
      <w:rPr>
        <w:rFonts w:ascii="Microsoft Himalaya" w:hAnsi="Microsoft Himalaya" w:hint="default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 w16cid:durableId="1453670415">
    <w:abstractNumId w:val="2"/>
  </w:num>
  <w:num w:numId="2" w16cid:durableId="2098626509">
    <w:abstractNumId w:val="1"/>
  </w:num>
  <w:num w:numId="3" w16cid:durableId="45386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3"/>
    <w:rsid w:val="003042C3"/>
    <w:rsid w:val="00350B69"/>
    <w:rsid w:val="00E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B5A"/>
  <w15:chartTrackingRefBased/>
  <w15:docId w15:val="{153E4039-E47B-4F99-B2B5-07AD45A3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3042C3"/>
    <w:pPr>
      <w:tabs>
        <w:tab w:val="center" w:pos="4703"/>
        <w:tab w:val="right" w:pos="9406"/>
      </w:tabs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 w:val="20"/>
      <w:szCs w:val="24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3042C3"/>
    <w:rPr>
      <w:rFonts w:ascii="Times New Roman" w:eastAsia="SimSun" w:hAnsi="Times New Roman" w:cs="Times New Roman"/>
      <w:kern w:val="0"/>
      <w:sz w:val="20"/>
      <w:szCs w:val="24"/>
      <w14:ligatures w14:val="none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304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3042C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1894</Characters>
  <Application>Microsoft Office Word</Application>
  <DocSecurity>4</DocSecurity>
  <Lines>15</Lines>
  <Paragraphs>4</Paragraphs>
  <ScaleCrop>false</ScaleCrop>
  <Company>HAVEL &amp; PARTNERS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Kovaříková Jana</cp:lastModifiedBy>
  <cp:revision>2</cp:revision>
  <dcterms:created xsi:type="dcterms:W3CDTF">2024-01-22T08:06:00Z</dcterms:created>
  <dcterms:modified xsi:type="dcterms:W3CDTF">2024-01-22T08:06:00Z</dcterms:modified>
</cp:coreProperties>
</file>