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F90F" w14:textId="4E4264AC" w:rsidR="00B90BDA" w:rsidRDefault="00113CAB" w:rsidP="00517D15">
      <w:pPr>
        <w:jc w:val="center"/>
        <w:rPr>
          <w:rFonts w:cs="Arial"/>
          <w:b/>
          <w:sz w:val="32"/>
          <w:u w:val="single"/>
        </w:rPr>
      </w:pPr>
      <w:r>
        <w:rPr>
          <w:rFonts w:cs="Arial"/>
          <w:b/>
          <w:sz w:val="32"/>
          <w:u w:val="single"/>
        </w:rPr>
        <w:t>Texty pro webové stránky</w:t>
      </w:r>
    </w:p>
    <w:sdt>
      <w:sdtPr>
        <w:rPr>
          <w:rFonts w:asciiTheme="minorHAnsi" w:eastAsiaTheme="minorHAnsi" w:hAnsiTheme="minorHAnsi" w:cstheme="minorBidi"/>
          <w:b w:val="0"/>
          <w:bCs w:val="0"/>
          <w:color w:val="auto"/>
          <w:sz w:val="22"/>
          <w:szCs w:val="22"/>
          <w:lang w:eastAsia="en-US"/>
        </w:rPr>
        <w:id w:val="1762104287"/>
        <w:docPartObj>
          <w:docPartGallery w:val="Table of Contents"/>
          <w:docPartUnique/>
        </w:docPartObj>
      </w:sdtPr>
      <w:sdtEndPr>
        <w:rPr>
          <w:rFonts w:ascii="Arial" w:hAnsi="Arial"/>
        </w:rPr>
      </w:sdtEndPr>
      <w:sdtContent>
        <w:p w14:paraId="72F77410" w14:textId="77777777" w:rsidR="0016727D" w:rsidRDefault="0016727D">
          <w:pPr>
            <w:pStyle w:val="Nadpisobsahu"/>
          </w:pPr>
          <w:r>
            <w:t>Obsah</w:t>
          </w:r>
        </w:p>
        <w:p w14:paraId="6F717D29" w14:textId="2C1E190A" w:rsidR="00672739" w:rsidRDefault="0016727D">
          <w:pPr>
            <w:pStyle w:val="Obsah1"/>
            <w:tabs>
              <w:tab w:val="left" w:pos="440"/>
              <w:tab w:val="right" w:leader="dot" w:pos="9062"/>
            </w:tabs>
            <w:rPr>
              <w:rFonts w:asciiTheme="minorHAnsi" w:eastAsiaTheme="minorEastAsia" w:hAnsiTheme="minorHAnsi"/>
              <w:noProof/>
              <w:lang w:eastAsia="cs-CZ"/>
            </w:rPr>
          </w:pPr>
          <w:r w:rsidRPr="002E6674">
            <w:rPr>
              <w:rFonts w:cs="Arial"/>
            </w:rPr>
            <w:fldChar w:fldCharType="begin"/>
          </w:r>
          <w:r w:rsidRPr="002E6674">
            <w:rPr>
              <w:rFonts w:cs="Arial"/>
            </w:rPr>
            <w:instrText xml:space="preserve"> TOC \o "1-3" \h \z \u </w:instrText>
          </w:r>
          <w:r w:rsidRPr="002E6674">
            <w:rPr>
              <w:rFonts w:cs="Arial"/>
            </w:rPr>
            <w:fldChar w:fldCharType="separate"/>
          </w:r>
          <w:hyperlink w:anchor="_Toc100576166" w:history="1">
            <w:r w:rsidR="00672739" w:rsidRPr="0090695F">
              <w:rPr>
                <w:rStyle w:val="Hypertextovodkaz"/>
                <w:noProof/>
              </w:rPr>
              <w:t>2</w:t>
            </w:r>
            <w:r w:rsidR="00672739">
              <w:rPr>
                <w:rFonts w:asciiTheme="minorHAnsi" w:eastAsiaTheme="minorEastAsia" w:hAnsiTheme="minorHAnsi"/>
                <w:noProof/>
                <w:lang w:eastAsia="cs-CZ"/>
              </w:rPr>
              <w:tab/>
            </w:r>
            <w:r w:rsidR="00672739" w:rsidRPr="0090695F">
              <w:rPr>
                <w:rStyle w:val="Hypertextovodkaz"/>
                <w:noProof/>
              </w:rPr>
              <w:t>Seznam pravidel a metodik, na které bude odkazováno</w:t>
            </w:r>
            <w:r w:rsidR="00672739">
              <w:rPr>
                <w:noProof/>
                <w:webHidden/>
              </w:rPr>
              <w:tab/>
            </w:r>
            <w:r w:rsidR="00672739">
              <w:rPr>
                <w:noProof/>
                <w:webHidden/>
              </w:rPr>
              <w:fldChar w:fldCharType="begin"/>
            </w:r>
            <w:r w:rsidR="00672739">
              <w:rPr>
                <w:noProof/>
                <w:webHidden/>
              </w:rPr>
              <w:instrText xml:space="preserve"> PAGEREF _Toc100576166 \h </w:instrText>
            </w:r>
            <w:r w:rsidR="00672739">
              <w:rPr>
                <w:noProof/>
                <w:webHidden/>
              </w:rPr>
            </w:r>
            <w:r w:rsidR="00672739">
              <w:rPr>
                <w:noProof/>
                <w:webHidden/>
              </w:rPr>
              <w:fldChar w:fldCharType="separate"/>
            </w:r>
            <w:r w:rsidR="00EA1CC6">
              <w:rPr>
                <w:noProof/>
                <w:webHidden/>
              </w:rPr>
              <w:t>3</w:t>
            </w:r>
            <w:r w:rsidR="00672739">
              <w:rPr>
                <w:noProof/>
                <w:webHidden/>
              </w:rPr>
              <w:fldChar w:fldCharType="end"/>
            </w:r>
          </w:hyperlink>
        </w:p>
        <w:p w14:paraId="6FDB7D89" w14:textId="1B6B6957" w:rsidR="00672739" w:rsidRDefault="00000000">
          <w:pPr>
            <w:pStyle w:val="Obsah1"/>
            <w:tabs>
              <w:tab w:val="left" w:pos="440"/>
              <w:tab w:val="right" w:leader="dot" w:pos="9062"/>
            </w:tabs>
            <w:rPr>
              <w:rFonts w:asciiTheme="minorHAnsi" w:eastAsiaTheme="minorEastAsia" w:hAnsiTheme="minorHAnsi"/>
              <w:noProof/>
              <w:lang w:eastAsia="cs-CZ"/>
            </w:rPr>
          </w:pPr>
          <w:hyperlink w:anchor="_Toc100576167" w:history="1">
            <w:r w:rsidR="00672739" w:rsidRPr="0090695F">
              <w:rPr>
                <w:rStyle w:val="Hypertextovodkaz"/>
                <w:noProof/>
              </w:rPr>
              <w:t>3</w:t>
            </w:r>
            <w:r w:rsidR="00672739">
              <w:rPr>
                <w:rFonts w:asciiTheme="minorHAnsi" w:eastAsiaTheme="minorEastAsia" w:hAnsiTheme="minorHAnsi"/>
                <w:noProof/>
                <w:lang w:eastAsia="cs-CZ"/>
              </w:rPr>
              <w:tab/>
            </w:r>
            <w:r w:rsidR="00672739" w:rsidRPr="0090695F">
              <w:rPr>
                <w:rStyle w:val="Hypertextovodkaz"/>
                <w:noProof/>
              </w:rPr>
              <w:t>Obecné informace</w:t>
            </w:r>
            <w:r w:rsidR="00672739">
              <w:rPr>
                <w:noProof/>
                <w:webHidden/>
              </w:rPr>
              <w:tab/>
            </w:r>
            <w:r w:rsidR="00672739">
              <w:rPr>
                <w:noProof/>
                <w:webHidden/>
              </w:rPr>
              <w:fldChar w:fldCharType="begin"/>
            </w:r>
            <w:r w:rsidR="00672739">
              <w:rPr>
                <w:noProof/>
                <w:webHidden/>
              </w:rPr>
              <w:instrText xml:space="preserve"> PAGEREF _Toc100576167 \h </w:instrText>
            </w:r>
            <w:r w:rsidR="00672739">
              <w:rPr>
                <w:noProof/>
                <w:webHidden/>
              </w:rPr>
            </w:r>
            <w:r w:rsidR="00672739">
              <w:rPr>
                <w:noProof/>
                <w:webHidden/>
              </w:rPr>
              <w:fldChar w:fldCharType="separate"/>
            </w:r>
            <w:r w:rsidR="00EA1CC6">
              <w:rPr>
                <w:noProof/>
                <w:webHidden/>
              </w:rPr>
              <w:t>4</w:t>
            </w:r>
            <w:r w:rsidR="00672739">
              <w:rPr>
                <w:noProof/>
                <w:webHidden/>
              </w:rPr>
              <w:fldChar w:fldCharType="end"/>
            </w:r>
          </w:hyperlink>
        </w:p>
        <w:p w14:paraId="526BE37C" w14:textId="7268B93E" w:rsidR="00672739" w:rsidRDefault="00000000">
          <w:pPr>
            <w:pStyle w:val="Obsah2"/>
            <w:tabs>
              <w:tab w:val="left" w:pos="880"/>
              <w:tab w:val="right" w:leader="dot" w:pos="9062"/>
            </w:tabs>
            <w:rPr>
              <w:rFonts w:asciiTheme="minorHAnsi" w:eastAsiaTheme="minorEastAsia" w:hAnsiTheme="minorHAnsi"/>
              <w:noProof/>
              <w:lang w:eastAsia="cs-CZ"/>
            </w:rPr>
          </w:pPr>
          <w:hyperlink w:anchor="_Toc100576168" w:history="1">
            <w:r w:rsidR="00672739" w:rsidRPr="0090695F">
              <w:rPr>
                <w:rStyle w:val="Hypertextovodkaz"/>
                <w:noProof/>
              </w:rPr>
              <w:t>3.1</w:t>
            </w:r>
            <w:r w:rsidR="00672739">
              <w:rPr>
                <w:rFonts w:asciiTheme="minorHAnsi" w:eastAsiaTheme="minorEastAsia" w:hAnsiTheme="minorHAnsi"/>
                <w:noProof/>
                <w:lang w:eastAsia="cs-CZ"/>
              </w:rPr>
              <w:tab/>
            </w:r>
            <w:r w:rsidR="00672739" w:rsidRPr="0090695F">
              <w:rPr>
                <w:rStyle w:val="Hypertextovodkaz"/>
                <w:noProof/>
              </w:rPr>
              <w:t>Základní pojmy</w:t>
            </w:r>
            <w:r w:rsidR="00672739">
              <w:rPr>
                <w:noProof/>
                <w:webHidden/>
              </w:rPr>
              <w:tab/>
            </w:r>
            <w:r w:rsidR="00672739">
              <w:rPr>
                <w:noProof/>
                <w:webHidden/>
              </w:rPr>
              <w:fldChar w:fldCharType="begin"/>
            </w:r>
            <w:r w:rsidR="00672739">
              <w:rPr>
                <w:noProof/>
                <w:webHidden/>
              </w:rPr>
              <w:instrText xml:space="preserve"> PAGEREF _Toc100576168 \h </w:instrText>
            </w:r>
            <w:r w:rsidR="00672739">
              <w:rPr>
                <w:noProof/>
                <w:webHidden/>
              </w:rPr>
            </w:r>
            <w:r w:rsidR="00672739">
              <w:rPr>
                <w:noProof/>
                <w:webHidden/>
              </w:rPr>
              <w:fldChar w:fldCharType="separate"/>
            </w:r>
            <w:r w:rsidR="00EA1CC6">
              <w:rPr>
                <w:noProof/>
                <w:webHidden/>
              </w:rPr>
              <w:t>4</w:t>
            </w:r>
            <w:r w:rsidR="00672739">
              <w:rPr>
                <w:noProof/>
                <w:webHidden/>
              </w:rPr>
              <w:fldChar w:fldCharType="end"/>
            </w:r>
          </w:hyperlink>
        </w:p>
        <w:p w14:paraId="1002E97C" w14:textId="6D176ABA"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69" w:history="1">
            <w:r w:rsidR="00672739" w:rsidRPr="0090695F">
              <w:rPr>
                <w:rStyle w:val="Hypertextovodkaz"/>
                <w:noProof/>
              </w:rPr>
              <w:t>3.1.1</w:t>
            </w:r>
            <w:r w:rsidR="00672739">
              <w:rPr>
                <w:rFonts w:asciiTheme="minorHAnsi" w:eastAsiaTheme="minorEastAsia" w:hAnsiTheme="minorHAnsi"/>
                <w:noProof/>
                <w:lang w:eastAsia="cs-CZ"/>
              </w:rPr>
              <w:tab/>
            </w:r>
            <w:r w:rsidR="00672739" w:rsidRPr="0090695F">
              <w:rPr>
                <w:rStyle w:val="Hypertextovodkaz"/>
                <w:noProof/>
              </w:rPr>
              <w:t>ISPROFOND</w:t>
            </w:r>
            <w:r w:rsidR="00672739">
              <w:rPr>
                <w:noProof/>
                <w:webHidden/>
              </w:rPr>
              <w:tab/>
            </w:r>
            <w:r w:rsidR="00672739">
              <w:rPr>
                <w:noProof/>
                <w:webHidden/>
              </w:rPr>
              <w:fldChar w:fldCharType="begin"/>
            </w:r>
            <w:r w:rsidR="00672739">
              <w:rPr>
                <w:noProof/>
                <w:webHidden/>
              </w:rPr>
              <w:instrText xml:space="preserve"> PAGEREF _Toc100576169 \h </w:instrText>
            </w:r>
            <w:r w:rsidR="00672739">
              <w:rPr>
                <w:noProof/>
                <w:webHidden/>
              </w:rPr>
            </w:r>
            <w:r w:rsidR="00672739">
              <w:rPr>
                <w:noProof/>
                <w:webHidden/>
              </w:rPr>
              <w:fldChar w:fldCharType="separate"/>
            </w:r>
            <w:r w:rsidR="00EA1CC6">
              <w:rPr>
                <w:noProof/>
                <w:webHidden/>
              </w:rPr>
              <w:t>4</w:t>
            </w:r>
            <w:r w:rsidR="00672739">
              <w:rPr>
                <w:noProof/>
                <w:webHidden/>
              </w:rPr>
              <w:fldChar w:fldCharType="end"/>
            </w:r>
          </w:hyperlink>
        </w:p>
        <w:p w14:paraId="5AC400ED" w14:textId="0CDC477B"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70" w:history="1">
            <w:r w:rsidR="00672739" w:rsidRPr="0090695F">
              <w:rPr>
                <w:rStyle w:val="Hypertextovodkaz"/>
                <w:noProof/>
                <w:lang w:val="en-US"/>
              </w:rPr>
              <w:t>3.1.2</w:t>
            </w:r>
            <w:r w:rsidR="00672739">
              <w:rPr>
                <w:rFonts w:asciiTheme="minorHAnsi" w:eastAsiaTheme="minorEastAsia" w:hAnsiTheme="minorHAnsi"/>
                <w:noProof/>
                <w:lang w:eastAsia="cs-CZ"/>
              </w:rPr>
              <w:tab/>
            </w:r>
            <w:r w:rsidR="00672739" w:rsidRPr="0090695F">
              <w:rPr>
                <w:rStyle w:val="Hypertextovodkaz"/>
                <w:noProof/>
                <w:lang w:val="en-US"/>
              </w:rPr>
              <w:t>Globální položka</w:t>
            </w:r>
            <w:r w:rsidR="00672739">
              <w:rPr>
                <w:noProof/>
                <w:webHidden/>
              </w:rPr>
              <w:tab/>
            </w:r>
            <w:r w:rsidR="00672739">
              <w:rPr>
                <w:noProof/>
                <w:webHidden/>
              </w:rPr>
              <w:fldChar w:fldCharType="begin"/>
            </w:r>
            <w:r w:rsidR="00672739">
              <w:rPr>
                <w:noProof/>
                <w:webHidden/>
              </w:rPr>
              <w:instrText xml:space="preserve"> PAGEREF _Toc100576170 \h </w:instrText>
            </w:r>
            <w:r w:rsidR="00672739">
              <w:rPr>
                <w:noProof/>
                <w:webHidden/>
              </w:rPr>
            </w:r>
            <w:r w:rsidR="00672739">
              <w:rPr>
                <w:noProof/>
                <w:webHidden/>
              </w:rPr>
              <w:fldChar w:fldCharType="separate"/>
            </w:r>
            <w:r w:rsidR="00EA1CC6">
              <w:rPr>
                <w:noProof/>
                <w:webHidden/>
              </w:rPr>
              <w:t>4</w:t>
            </w:r>
            <w:r w:rsidR="00672739">
              <w:rPr>
                <w:noProof/>
                <w:webHidden/>
              </w:rPr>
              <w:fldChar w:fldCharType="end"/>
            </w:r>
          </w:hyperlink>
        </w:p>
        <w:p w14:paraId="2C647DDC" w14:textId="48511E1B"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71" w:history="1">
            <w:r w:rsidR="00672739" w:rsidRPr="0090695F">
              <w:rPr>
                <w:rStyle w:val="Hypertextovodkaz"/>
                <w:noProof/>
              </w:rPr>
              <w:t>3.1.3</w:t>
            </w:r>
            <w:r w:rsidR="00672739">
              <w:rPr>
                <w:rFonts w:asciiTheme="minorHAnsi" w:eastAsiaTheme="minorEastAsia" w:hAnsiTheme="minorHAnsi"/>
                <w:noProof/>
                <w:lang w:eastAsia="cs-CZ"/>
              </w:rPr>
              <w:tab/>
            </w:r>
            <w:r w:rsidR="00672739" w:rsidRPr="0090695F">
              <w:rPr>
                <w:rStyle w:val="Hypertextovodkaz"/>
                <w:noProof/>
              </w:rPr>
              <w:t>Rozpočet SFDI</w:t>
            </w:r>
            <w:r w:rsidR="00672739">
              <w:rPr>
                <w:noProof/>
                <w:webHidden/>
              </w:rPr>
              <w:tab/>
            </w:r>
            <w:r w:rsidR="00672739">
              <w:rPr>
                <w:noProof/>
                <w:webHidden/>
              </w:rPr>
              <w:fldChar w:fldCharType="begin"/>
            </w:r>
            <w:r w:rsidR="00672739">
              <w:rPr>
                <w:noProof/>
                <w:webHidden/>
              </w:rPr>
              <w:instrText xml:space="preserve"> PAGEREF _Toc100576171 \h </w:instrText>
            </w:r>
            <w:r w:rsidR="00672739">
              <w:rPr>
                <w:noProof/>
                <w:webHidden/>
              </w:rPr>
            </w:r>
            <w:r w:rsidR="00672739">
              <w:rPr>
                <w:noProof/>
                <w:webHidden/>
              </w:rPr>
              <w:fldChar w:fldCharType="separate"/>
            </w:r>
            <w:r w:rsidR="00EA1CC6">
              <w:rPr>
                <w:noProof/>
                <w:webHidden/>
              </w:rPr>
              <w:t>4</w:t>
            </w:r>
            <w:r w:rsidR="00672739">
              <w:rPr>
                <w:noProof/>
                <w:webHidden/>
              </w:rPr>
              <w:fldChar w:fldCharType="end"/>
            </w:r>
          </w:hyperlink>
        </w:p>
        <w:p w14:paraId="263D1AC5" w14:textId="01EC10A6"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72" w:history="1">
            <w:r w:rsidR="00672739" w:rsidRPr="0090695F">
              <w:rPr>
                <w:rStyle w:val="Hypertextovodkaz"/>
                <w:noProof/>
              </w:rPr>
              <w:t>3.1.4</w:t>
            </w:r>
            <w:r w:rsidR="00672739">
              <w:rPr>
                <w:rFonts w:asciiTheme="minorHAnsi" w:eastAsiaTheme="minorEastAsia" w:hAnsiTheme="minorHAnsi"/>
                <w:noProof/>
                <w:lang w:eastAsia="cs-CZ"/>
              </w:rPr>
              <w:tab/>
            </w:r>
            <w:r w:rsidR="00672739" w:rsidRPr="0090695F">
              <w:rPr>
                <w:rStyle w:val="Hypertextovodkaz"/>
                <w:noProof/>
              </w:rPr>
              <w:t>Zdroje SFDI</w:t>
            </w:r>
            <w:r w:rsidR="00672739">
              <w:rPr>
                <w:noProof/>
                <w:webHidden/>
              </w:rPr>
              <w:tab/>
            </w:r>
            <w:r w:rsidR="00672739">
              <w:rPr>
                <w:noProof/>
                <w:webHidden/>
              </w:rPr>
              <w:fldChar w:fldCharType="begin"/>
            </w:r>
            <w:r w:rsidR="00672739">
              <w:rPr>
                <w:noProof/>
                <w:webHidden/>
              </w:rPr>
              <w:instrText xml:space="preserve"> PAGEREF _Toc100576172 \h </w:instrText>
            </w:r>
            <w:r w:rsidR="00672739">
              <w:rPr>
                <w:noProof/>
                <w:webHidden/>
              </w:rPr>
            </w:r>
            <w:r w:rsidR="00672739">
              <w:rPr>
                <w:noProof/>
                <w:webHidden/>
              </w:rPr>
              <w:fldChar w:fldCharType="separate"/>
            </w:r>
            <w:r w:rsidR="00EA1CC6">
              <w:rPr>
                <w:noProof/>
                <w:webHidden/>
              </w:rPr>
              <w:t>4</w:t>
            </w:r>
            <w:r w:rsidR="00672739">
              <w:rPr>
                <w:noProof/>
                <w:webHidden/>
              </w:rPr>
              <w:fldChar w:fldCharType="end"/>
            </w:r>
          </w:hyperlink>
        </w:p>
        <w:p w14:paraId="1138B3BD" w14:textId="468F3889"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73" w:history="1">
            <w:r w:rsidR="00672739" w:rsidRPr="0090695F">
              <w:rPr>
                <w:rStyle w:val="Hypertextovodkaz"/>
                <w:noProof/>
              </w:rPr>
              <w:t>3.1.5</w:t>
            </w:r>
            <w:r w:rsidR="00672739">
              <w:rPr>
                <w:rFonts w:asciiTheme="minorHAnsi" w:eastAsiaTheme="minorEastAsia" w:hAnsiTheme="minorHAnsi"/>
                <w:noProof/>
                <w:lang w:eastAsia="cs-CZ"/>
              </w:rPr>
              <w:tab/>
            </w:r>
            <w:r w:rsidR="00672739" w:rsidRPr="0090695F">
              <w:rPr>
                <w:rStyle w:val="Hypertextovodkaz"/>
                <w:noProof/>
              </w:rPr>
              <w:t>Centrální komise Ministerstva dopravy</w:t>
            </w:r>
            <w:r w:rsidR="00672739">
              <w:rPr>
                <w:noProof/>
                <w:webHidden/>
              </w:rPr>
              <w:tab/>
            </w:r>
            <w:r w:rsidR="00672739">
              <w:rPr>
                <w:noProof/>
                <w:webHidden/>
              </w:rPr>
              <w:fldChar w:fldCharType="begin"/>
            </w:r>
            <w:r w:rsidR="00672739">
              <w:rPr>
                <w:noProof/>
                <w:webHidden/>
              </w:rPr>
              <w:instrText xml:space="preserve"> PAGEREF _Toc100576173 \h </w:instrText>
            </w:r>
            <w:r w:rsidR="00672739">
              <w:rPr>
                <w:noProof/>
                <w:webHidden/>
              </w:rPr>
            </w:r>
            <w:r w:rsidR="00672739">
              <w:rPr>
                <w:noProof/>
                <w:webHidden/>
              </w:rPr>
              <w:fldChar w:fldCharType="separate"/>
            </w:r>
            <w:r w:rsidR="00EA1CC6">
              <w:rPr>
                <w:noProof/>
                <w:webHidden/>
              </w:rPr>
              <w:t>5</w:t>
            </w:r>
            <w:r w:rsidR="00672739">
              <w:rPr>
                <w:noProof/>
                <w:webHidden/>
              </w:rPr>
              <w:fldChar w:fldCharType="end"/>
            </w:r>
          </w:hyperlink>
        </w:p>
        <w:p w14:paraId="475407AA" w14:textId="57163497"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74" w:history="1">
            <w:r w:rsidR="00672739" w:rsidRPr="0090695F">
              <w:rPr>
                <w:rStyle w:val="Hypertextovodkaz"/>
                <w:noProof/>
              </w:rPr>
              <w:t>3.1.6</w:t>
            </w:r>
            <w:r w:rsidR="00672739">
              <w:rPr>
                <w:rFonts w:asciiTheme="minorHAnsi" w:eastAsiaTheme="minorEastAsia" w:hAnsiTheme="minorHAnsi"/>
                <w:noProof/>
                <w:lang w:eastAsia="cs-CZ"/>
              </w:rPr>
              <w:tab/>
            </w:r>
            <w:r w:rsidR="00672739" w:rsidRPr="0090695F">
              <w:rPr>
                <w:rStyle w:val="Hypertextovodkaz"/>
                <w:noProof/>
              </w:rPr>
              <w:t>Závěrečné vyhodnocení akce (ZVA)</w:t>
            </w:r>
            <w:r w:rsidR="00672739">
              <w:rPr>
                <w:noProof/>
                <w:webHidden/>
              </w:rPr>
              <w:tab/>
            </w:r>
            <w:r w:rsidR="00672739">
              <w:rPr>
                <w:noProof/>
                <w:webHidden/>
              </w:rPr>
              <w:fldChar w:fldCharType="begin"/>
            </w:r>
            <w:r w:rsidR="00672739">
              <w:rPr>
                <w:noProof/>
                <w:webHidden/>
              </w:rPr>
              <w:instrText xml:space="preserve"> PAGEREF _Toc100576174 \h </w:instrText>
            </w:r>
            <w:r w:rsidR="00672739">
              <w:rPr>
                <w:noProof/>
                <w:webHidden/>
              </w:rPr>
            </w:r>
            <w:r w:rsidR="00672739">
              <w:rPr>
                <w:noProof/>
                <w:webHidden/>
              </w:rPr>
              <w:fldChar w:fldCharType="separate"/>
            </w:r>
            <w:r w:rsidR="00EA1CC6">
              <w:rPr>
                <w:noProof/>
                <w:webHidden/>
              </w:rPr>
              <w:t>5</w:t>
            </w:r>
            <w:r w:rsidR="00672739">
              <w:rPr>
                <w:noProof/>
                <w:webHidden/>
              </w:rPr>
              <w:fldChar w:fldCharType="end"/>
            </w:r>
          </w:hyperlink>
        </w:p>
        <w:p w14:paraId="7DB6F2D3" w14:textId="4E5B08EB"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75" w:history="1">
            <w:r w:rsidR="00672739" w:rsidRPr="0090695F">
              <w:rPr>
                <w:rStyle w:val="Hypertextovodkaz"/>
                <w:noProof/>
                <w:lang w:val="en-US"/>
              </w:rPr>
              <w:t>3.1.7</w:t>
            </w:r>
            <w:r w:rsidR="00672739">
              <w:rPr>
                <w:rFonts w:asciiTheme="minorHAnsi" w:eastAsiaTheme="minorEastAsia" w:hAnsiTheme="minorHAnsi"/>
                <w:noProof/>
                <w:lang w:eastAsia="cs-CZ"/>
              </w:rPr>
              <w:tab/>
            </w:r>
            <w:r w:rsidR="00672739" w:rsidRPr="0090695F">
              <w:rPr>
                <w:rStyle w:val="Hypertextovodkaz"/>
                <w:noProof/>
                <w:lang w:val="en-US"/>
              </w:rPr>
              <w:t>Výzisky</w:t>
            </w:r>
            <w:r w:rsidR="00672739">
              <w:rPr>
                <w:noProof/>
                <w:webHidden/>
              </w:rPr>
              <w:tab/>
            </w:r>
            <w:r w:rsidR="00672739">
              <w:rPr>
                <w:noProof/>
                <w:webHidden/>
              </w:rPr>
              <w:fldChar w:fldCharType="begin"/>
            </w:r>
            <w:r w:rsidR="00672739">
              <w:rPr>
                <w:noProof/>
                <w:webHidden/>
              </w:rPr>
              <w:instrText xml:space="preserve"> PAGEREF _Toc100576175 \h </w:instrText>
            </w:r>
            <w:r w:rsidR="00672739">
              <w:rPr>
                <w:noProof/>
                <w:webHidden/>
              </w:rPr>
            </w:r>
            <w:r w:rsidR="00672739">
              <w:rPr>
                <w:noProof/>
                <w:webHidden/>
              </w:rPr>
              <w:fldChar w:fldCharType="separate"/>
            </w:r>
            <w:r w:rsidR="00EA1CC6">
              <w:rPr>
                <w:noProof/>
                <w:webHidden/>
              </w:rPr>
              <w:t>5</w:t>
            </w:r>
            <w:r w:rsidR="00672739">
              <w:rPr>
                <w:noProof/>
                <w:webHidden/>
              </w:rPr>
              <w:fldChar w:fldCharType="end"/>
            </w:r>
          </w:hyperlink>
        </w:p>
        <w:p w14:paraId="6E8E8255" w14:textId="51AE9010"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76" w:history="1">
            <w:r w:rsidR="00672739" w:rsidRPr="0090695F">
              <w:rPr>
                <w:rStyle w:val="Hypertextovodkaz"/>
                <w:noProof/>
              </w:rPr>
              <w:t>3.1.8</w:t>
            </w:r>
            <w:r w:rsidR="00672739">
              <w:rPr>
                <w:rFonts w:asciiTheme="minorHAnsi" w:eastAsiaTheme="minorEastAsia" w:hAnsiTheme="minorHAnsi"/>
                <w:noProof/>
                <w:lang w:eastAsia="cs-CZ"/>
              </w:rPr>
              <w:tab/>
            </w:r>
            <w:r w:rsidR="00672739" w:rsidRPr="0090695F">
              <w:rPr>
                <w:rStyle w:val="Hypertextovodkaz"/>
                <w:noProof/>
              </w:rPr>
              <w:t>Způsobilost výdajů</w:t>
            </w:r>
            <w:r w:rsidR="00672739">
              <w:rPr>
                <w:noProof/>
                <w:webHidden/>
              </w:rPr>
              <w:tab/>
            </w:r>
            <w:r w:rsidR="00672739">
              <w:rPr>
                <w:noProof/>
                <w:webHidden/>
              </w:rPr>
              <w:fldChar w:fldCharType="begin"/>
            </w:r>
            <w:r w:rsidR="00672739">
              <w:rPr>
                <w:noProof/>
                <w:webHidden/>
              </w:rPr>
              <w:instrText xml:space="preserve"> PAGEREF _Toc100576176 \h </w:instrText>
            </w:r>
            <w:r w:rsidR="00672739">
              <w:rPr>
                <w:noProof/>
                <w:webHidden/>
              </w:rPr>
            </w:r>
            <w:r w:rsidR="00672739">
              <w:rPr>
                <w:noProof/>
                <w:webHidden/>
              </w:rPr>
              <w:fldChar w:fldCharType="separate"/>
            </w:r>
            <w:r w:rsidR="00EA1CC6">
              <w:rPr>
                <w:noProof/>
                <w:webHidden/>
              </w:rPr>
              <w:t>6</w:t>
            </w:r>
            <w:r w:rsidR="00672739">
              <w:rPr>
                <w:noProof/>
                <w:webHidden/>
              </w:rPr>
              <w:fldChar w:fldCharType="end"/>
            </w:r>
          </w:hyperlink>
        </w:p>
        <w:p w14:paraId="6C2AF67B" w14:textId="2665BFF6" w:rsidR="00672739" w:rsidRDefault="00000000">
          <w:pPr>
            <w:pStyle w:val="Obsah2"/>
            <w:tabs>
              <w:tab w:val="left" w:pos="880"/>
              <w:tab w:val="right" w:leader="dot" w:pos="9062"/>
            </w:tabs>
            <w:rPr>
              <w:rFonts w:asciiTheme="minorHAnsi" w:eastAsiaTheme="minorEastAsia" w:hAnsiTheme="minorHAnsi"/>
              <w:noProof/>
              <w:lang w:eastAsia="cs-CZ"/>
            </w:rPr>
          </w:pPr>
          <w:hyperlink w:anchor="_Toc100576177" w:history="1">
            <w:r w:rsidR="00672739" w:rsidRPr="0090695F">
              <w:rPr>
                <w:rStyle w:val="Hypertextovodkaz"/>
                <w:noProof/>
              </w:rPr>
              <w:t>3.2</w:t>
            </w:r>
            <w:r w:rsidR="00672739">
              <w:rPr>
                <w:rFonts w:asciiTheme="minorHAnsi" w:eastAsiaTheme="minorEastAsia" w:hAnsiTheme="minorHAnsi"/>
                <w:noProof/>
                <w:lang w:eastAsia="cs-CZ"/>
              </w:rPr>
              <w:tab/>
            </w:r>
            <w:r w:rsidR="00672739" w:rsidRPr="0090695F">
              <w:rPr>
                <w:rStyle w:val="Hypertextovodkaz"/>
                <w:noProof/>
              </w:rPr>
              <w:t>Podepisování dokumentů</w:t>
            </w:r>
            <w:r w:rsidR="00672739">
              <w:rPr>
                <w:noProof/>
                <w:webHidden/>
              </w:rPr>
              <w:tab/>
            </w:r>
            <w:r w:rsidR="00672739">
              <w:rPr>
                <w:noProof/>
                <w:webHidden/>
              </w:rPr>
              <w:fldChar w:fldCharType="begin"/>
            </w:r>
            <w:r w:rsidR="00672739">
              <w:rPr>
                <w:noProof/>
                <w:webHidden/>
              </w:rPr>
              <w:instrText xml:space="preserve"> PAGEREF _Toc100576177 \h </w:instrText>
            </w:r>
            <w:r w:rsidR="00672739">
              <w:rPr>
                <w:noProof/>
                <w:webHidden/>
              </w:rPr>
            </w:r>
            <w:r w:rsidR="00672739">
              <w:rPr>
                <w:noProof/>
                <w:webHidden/>
              </w:rPr>
              <w:fldChar w:fldCharType="separate"/>
            </w:r>
            <w:r w:rsidR="00EA1CC6">
              <w:rPr>
                <w:noProof/>
                <w:webHidden/>
              </w:rPr>
              <w:t>6</w:t>
            </w:r>
            <w:r w:rsidR="00672739">
              <w:rPr>
                <w:noProof/>
                <w:webHidden/>
              </w:rPr>
              <w:fldChar w:fldCharType="end"/>
            </w:r>
          </w:hyperlink>
        </w:p>
        <w:p w14:paraId="473EB369" w14:textId="1F8813B5"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78" w:history="1">
            <w:r w:rsidR="00672739" w:rsidRPr="0090695F">
              <w:rPr>
                <w:rStyle w:val="Hypertextovodkaz"/>
                <w:noProof/>
              </w:rPr>
              <w:t>3.2.1</w:t>
            </w:r>
            <w:r w:rsidR="00672739">
              <w:rPr>
                <w:rFonts w:asciiTheme="minorHAnsi" w:eastAsiaTheme="minorEastAsia" w:hAnsiTheme="minorHAnsi"/>
                <w:noProof/>
                <w:lang w:eastAsia="cs-CZ"/>
              </w:rPr>
              <w:tab/>
            </w:r>
            <w:r w:rsidR="00672739" w:rsidRPr="0090695F">
              <w:rPr>
                <w:rStyle w:val="Hypertextovodkaz"/>
                <w:noProof/>
              </w:rPr>
              <w:t>Co se podepisuje</w:t>
            </w:r>
            <w:r w:rsidR="00672739">
              <w:rPr>
                <w:noProof/>
                <w:webHidden/>
              </w:rPr>
              <w:tab/>
            </w:r>
            <w:r w:rsidR="00672739">
              <w:rPr>
                <w:noProof/>
                <w:webHidden/>
              </w:rPr>
              <w:fldChar w:fldCharType="begin"/>
            </w:r>
            <w:r w:rsidR="00672739">
              <w:rPr>
                <w:noProof/>
                <w:webHidden/>
              </w:rPr>
              <w:instrText xml:space="preserve"> PAGEREF _Toc100576178 \h </w:instrText>
            </w:r>
            <w:r w:rsidR="00672739">
              <w:rPr>
                <w:noProof/>
                <w:webHidden/>
              </w:rPr>
            </w:r>
            <w:r w:rsidR="00672739">
              <w:rPr>
                <w:noProof/>
                <w:webHidden/>
              </w:rPr>
              <w:fldChar w:fldCharType="separate"/>
            </w:r>
            <w:r w:rsidR="00EA1CC6">
              <w:rPr>
                <w:noProof/>
                <w:webHidden/>
              </w:rPr>
              <w:t>6</w:t>
            </w:r>
            <w:r w:rsidR="00672739">
              <w:rPr>
                <w:noProof/>
                <w:webHidden/>
              </w:rPr>
              <w:fldChar w:fldCharType="end"/>
            </w:r>
          </w:hyperlink>
        </w:p>
        <w:p w14:paraId="4B759E2F" w14:textId="49ED9660"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79" w:history="1">
            <w:r w:rsidR="00672739" w:rsidRPr="0090695F">
              <w:rPr>
                <w:rStyle w:val="Hypertextovodkaz"/>
                <w:noProof/>
              </w:rPr>
              <w:t>3.2.2</w:t>
            </w:r>
            <w:r w:rsidR="00672739">
              <w:rPr>
                <w:rFonts w:asciiTheme="minorHAnsi" w:eastAsiaTheme="minorEastAsia" w:hAnsiTheme="minorHAnsi"/>
                <w:noProof/>
                <w:lang w:eastAsia="cs-CZ"/>
              </w:rPr>
              <w:tab/>
            </w:r>
            <w:r w:rsidR="00672739" w:rsidRPr="0090695F">
              <w:rPr>
                <w:rStyle w:val="Hypertextovodkaz"/>
                <w:noProof/>
              </w:rPr>
              <w:t>Kdo podepisuje</w:t>
            </w:r>
            <w:r w:rsidR="00672739">
              <w:rPr>
                <w:noProof/>
                <w:webHidden/>
              </w:rPr>
              <w:tab/>
            </w:r>
            <w:r w:rsidR="00672739">
              <w:rPr>
                <w:noProof/>
                <w:webHidden/>
              </w:rPr>
              <w:fldChar w:fldCharType="begin"/>
            </w:r>
            <w:r w:rsidR="00672739">
              <w:rPr>
                <w:noProof/>
                <w:webHidden/>
              </w:rPr>
              <w:instrText xml:space="preserve"> PAGEREF _Toc100576179 \h </w:instrText>
            </w:r>
            <w:r w:rsidR="00672739">
              <w:rPr>
                <w:noProof/>
                <w:webHidden/>
              </w:rPr>
            </w:r>
            <w:r w:rsidR="00672739">
              <w:rPr>
                <w:noProof/>
                <w:webHidden/>
              </w:rPr>
              <w:fldChar w:fldCharType="separate"/>
            </w:r>
            <w:r w:rsidR="00EA1CC6">
              <w:rPr>
                <w:noProof/>
                <w:webHidden/>
              </w:rPr>
              <w:t>7</w:t>
            </w:r>
            <w:r w:rsidR="00672739">
              <w:rPr>
                <w:noProof/>
                <w:webHidden/>
              </w:rPr>
              <w:fldChar w:fldCharType="end"/>
            </w:r>
          </w:hyperlink>
        </w:p>
        <w:p w14:paraId="7A423F25" w14:textId="5F00F056"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80" w:history="1">
            <w:r w:rsidR="00672739" w:rsidRPr="0090695F">
              <w:rPr>
                <w:rStyle w:val="Hypertextovodkaz"/>
                <w:noProof/>
              </w:rPr>
              <w:t>3.2.3</w:t>
            </w:r>
            <w:r w:rsidR="00672739">
              <w:rPr>
                <w:rFonts w:asciiTheme="minorHAnsi" w:eastAsiaTheme="minorEastAsia" w:hAnsiTheme="minorHAnsi"/>
                <w:noProof/>
                <w:lang w:eastAsia="cs-CZ"/>
              </w:rPr>
              <w:tab/>
            </w:r>
            <w:r w:rsidR="00672739" w:rsidRPr="0090695F">
              <w:rPr>
                <w:rStyle w:val="Hypertextovodkaz"/>
                <w:noProof/>
              </w:rPr>
              <w:t>Typy podpisu</w:t>
            </w:r>
            <w:r w:rsidR="00672739">
              <w:rPr>
                <w:noProof/>
                <w:webHidden/>
              </w:rPr>
              <w:tab/>
            </w:r>
            <w:r w:rsidR="00672739">
              <w:rPr>
                <w:noProof/>
                <w:webHidden/>
              </w:rPr>
              <w:fldChar w:fldCharType="begin"/>
            </w:r>
            <w:r w:rsidR="00672739">
              <w:rPr>
                <w:noProof/>
                <w:webHidden/>
              </w:rPr>
              <w:instrText xml:space="preserve"> PAGEREF _Toc100576180 \h </w:instrText>
            </w:r>
            <w:r w:rsidR="00672739">
              <w:rPr>
                <w:noProof/>
                <w:webHidden/>
              </w:rPr>
            </w:r>
            <w:r w:rsidR="00672739">
              <w:rPr>
                <w:noProof/>
                <w:webHidden/>
              </w:rPr>
              <w:fldChar w:fldCharType="separate"/>
            </w:r>
            <w:r w:rsidR="00EA1CC6">
              <w:rPr>
                <w:noProof/>
                <w:webHidden/>
              </w:rPr>
              <w:t>7</w:t>
            </w:r>
            <w:r w:rsidR="00672739">
              <w:rPr>
                <w:noProof/>
                <w:webHidden/>
              </w:rPr>
              <w:fldChar w:fldCharType="end"/>
            </w:r>
          </w:hyperlink>
        </w:p>
        <w:p w14:paraId="5A7D78FC" w14:textId="219FEB0F" w:rsidR="00672739" w:rsidRDefault="00000000">
          <w:pPr>
            <w:pStyle w:val="Obsah2"/>
            <w:tabs>
              <w:tab w:val="left" w:pos="880"/>
              <w:tab w:val="right" w:leader="dot" w:pos="9062"/>
            </w:tabs>
            <w:rPr>
              <w:rFonts w:asciiTheme="minorHAnsi" w:eastAsiaTheme="minorEastAsia" w:hAnsiTheme="minorHAnsi"/>
              <w:noProof/>
              <w:lang w:eastAsia="cs-CZ"/>
            </w:rPr>
          </w:pPr>
          <w:hyperlink w:anchor="_Toc100576181" w:history="1">
            <w:r w:rsidR="00672739" w:rsidRPr="0090695F">
              <w:rPr>
                <w:rStyle w:val="Hypertextovodkaz"/>
                <w:noProof/>
              </w:rPr>
              <w:t>3.3</w:t>
            </w:r>
            <w:r w:rsidR="00672739">
              <w:rPr>
                <w:rFonts w:asciiTheme="minorHAnsi" w:eastAsiaTheme="minorEastAsia" w:hAnsiTheme="minorHAnsi"/>
                <w:noProof/>
                <w:lang w:eastAsia="cs-CZ"/>
              </w:rPr>
              <w:tab/>
            </w:r>
            <w:r w:rsidR="00672739" w:rsidRPr="0090695F">
              <w:rPr>
                <w:rStyle w:val="Hypertextovodkaz"/>
                <w:noProof/>
              </w:rPr>
              <w:t>Jak vyplňovat formuláře</w:t>
            </w:r>
            <w:r w:rsidR="00672739">
              <w:rPr>
                <w:noProof/>
                <w:webHidden/>
              </w:rPr>
              <w:tab/>
            </w:r>
            <w:r w:rsidR="00672739">
              <w:rPr>
                <w:noProof/>
                <w:webHidden/>
              </w:rPr>
              <w:fldChar w:fldCharType="begin"/>
            </w:r>
            <w:r w:rsidR="00672739">
              <w:rPr>
                <w:noProof/>
                <w:webHidden/>
              </w:rPr>
              <w:instrText xml:space="preserve"> PAGEREF _Toc100576181 \h </w:instrText>
            </w:r>
            <w:r w:rsidR="00672739">
              <w:rPr>
                <w:noProof/>
                <w:webHidden/>
              </w:rPr>
            </w:r>
            <w:r w:rsidR="00672739">
              <w:rPr>
                <w:noProof/>
                <w:webHidden/>
              </w:rPr>
              <w:fldChar w:fldCharType="separate"/>
            </w:r>
            <w:r w:rsidR="00EA1CC6">
              <w:rPr>
                <w:noProof/>
                <w:webHidden/>
              </w:rPr>
              <w:t>8</w:t>
            </w:r>
            <w:r w:rsidR="00672739">
              <w:rPr>
                <w:noProof/>
                <w:webHidden/>
              </w:rPr>
              <w:fldChar w:fldCharType="end"/>
            </w:r>
          </w:hyperlink>
        </w:p>
        <w:p w14:paraId="1A972FD8" w14:textId="73E37F67"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82" w:history="1">
            <w:r w:rsidR="00672739" w:rsidRPr="0090695F">
              <w:rPr>
                <w:rStyle w:val="Hypertextovodkaz"/>
                <w:noProof/>
              </w:rPr>
              <w:t>3.3.1</w:t>
            </w:r>
            <w:r w:rsidR="00672739">
              <w:rPr>
                <w:rFonts w:asciiTheme="minorHAnsi" w:eastAsiaTheme="minorEastAsia" w:hAnsiTheme="minorHAnsi"/>
                <w:noProof/>
                <w:lang w:eastAsia="cs-CZ"/>
              </w:rPr>
              <w:tab/>
            </w:r>
            <w:r w:rsidR="00672739" w:rsidRPr="0090695F">
              <w:rPr>
                <w:rStyle w:val="Hypertextovodkaz"/>
                <w:noProof/>
              </w:rPr>
              <w:t>Rozpočtové opaření/změnové řízení</w:t>
            </w:r>
            <w:r w:rsidR="00672739">
              <w:rPr>
                <w:noProof/>
                <w:webHidden/>
              </w:rPr>
              <w:tab/>
            </w:r>
            <w:r w:rsidR="00672739">
              <w:rPr>
                <w:noProof/>
                <w:webHidden/>
              </w:rPr>
              <w:fldChar w:fldCharType="begin"/>
            </w:r>
            <w:r w:rsidR="00672739">
              <w:rPr>
                <w:noProof/>
                <w:webHidden/>
              </w:rPr>
              <w:instrText xml:space="preserve"> PAGEREF _Toc100576182 \h </w:instrText>
            </w:r>
            <w:r w:rsidR="00672739">
              <w:rPr>
                <w:noProof/>
                <w:webHidden/>
              </w:rPr>
            </w:r>
            <w:r w:rsidR="00672739">
              <w:rPr>
                <w:noProof/>
                <w:webHidden/>
              </w:rPr>
              <w:fldChar w:fldCharType="separate"/>
            </w:r>
            <w:r w:rsidR="00EA1CC6">
              <w:rPr>
                <w:noProof/>
                <w:webHidden/>
              </w:rPr>
              <w:t>9</w:t>
            </w:r>
            <w:r w:rsidR="00672739">
              <w:rPr>
                <w:noProof/>
                <w:webHidden/>
              </w:rPr>
              <w:fldChar w:fldCharType="end"/>
            </w:r>
          </w:hyperlink>
        </w:p>
        <w:p w14:paraId="35133235" w14:textId="61742293"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83" w:history="1">
            <w:r w:rsidR="00672739" w:rsidRPr="0090695F">
              <w:rPr>
                <w:rStyle w:val="Hypertextovodkaz"/>
                <w:noProof/>
              </w:rPr>
              <w:t>3.3.2</w:t>
            </w:r>
            <w:r w:rsidR="00672739">
              <w:rPr>
                <w:rFonts w:asciiTheme="minorHAnsi" w:eastAsiaTheme="minorEastAsia" w:hAnsiTheme="minorHAnsi"/>
                <w:noProof/>
                <w:lang w:eastAsia="cs-CZ"/>
              </w:rPr>
              <w:tab/>
            </w:r>
            <w:r w:rsidR="00672739" w:rsidRPr="0090695F">
              <w:rPr>
                <w:rStyle w:val="Hypertextovodkaz"/>
                <w:noProof/>
              </w:rPr>
              <w:t>Soupiska faktur</w:t>
            </w:r>
            <w:r w:rsidR="00672739">
              <w:rPr>
                <w:noProof/>
                <w:webHidden/>
              </w:rPr>
              <w:tab/>
            </w:r>
            <w:r w:rsidR="00672739">
              <w:rPr>
                <w:noProof/>
                <w:webHidden/>
              </w:rPr>
              <w:fldChar w:fldCharType="begin"/>
            </w:r>
            <w:r w:rsidR="00672739">
              <w:rPr>
                <w:noProof/>
                <w:webHidden/>
              </w:rPr>
              <w:instrText xml:space="preserve"> PAGEREF _Toc100576183 \h </w:instrText>
            </w:r>
            <w:r w:rsidR="00672739">
              <w:rPr>
                <w:noProof/>
                <w:webHidden/>
              </w:rPr>
            </w:r>
            <w:r w:rsidR="00672739">
              <w:rPr>
                <w:noProof/>
                <w:webHidden/>
              </w:rPr>
              <w:fldChar w:fldCharType="separate"/>
            </w:r>
            <w:r w:rsidR="00EA1CC6">
              <w:rPr>
                <w:noProof/>
                <w:webHidden/>
              </w:rPr>
              <w:t>10</w:t>
            </w:r>
            <w:r w:rsidR="00672739">
              <w:rPr>
                <w:noProof/>
                <w:webHidden/>
              </w:rPr>
              <w:fldChar w:fldCharType="end"/>
            </w:r>
          </w:hyperlink>
        </w:p>
        <w:p w14:paraId="3C79F2B2" w14:textId="45E8EEBE"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84" w:history="1">
            <w:r w:rsidR="00672739" w:rsidRPr="0090695F">
              <w:rPr>
                <w:rStyle w:val="Hypertextovodkaz"/>
                <w:noProof/>
              </w:rPr>
              <w:t>3.3.3</w:t>
            </w:r>
            <w:r w:rsidR="00672739">
              <w:rPr>
                <w:rFonts w:asciiTheme="minorHAnsi" w:eastAsiaTheme="minorEastAsia" w:hAnsiTheme="minorHAnsi"/>
                <w:noProof/>
                <w:lang w:eastAsia="cs-CZ"/>
              </w:rPr>
              <w:tab/>
            </w:r>
            <w:r w:rsidR="00672739" w:rsidRPr="0090695F">
              <w:rPr>
                <w:rStyle w:val="Hypertextovodkaz"/>
                <w:noProof/>
              </w:rPr>
              <w:t>Oznámení o vrácení finančních prostředků</w:t>
            </w:r>
            <w:r w:rsidR="00672739">
              <w:rPr>
                <w:noProof/>
                <w:webHidden/>
              </w:rPr>
              <w:tab/>
            </w:r>
            <w:r w:rsidR="00672739">
              <w:rPr>
                <w:noProof/>
                <w:webHidden/>
              </w:rPr>
              <w:fldChar w:fldCharType="begin"/>
            </w:r>
            <w:r w:rsidR="00672739">
              <w:rPr>
                <w:noProof/>
                <w:webHidden/>
              </w:rPr>
              <w:instrText xml:space="preserve"> PAGEREF _Toc100576184 \h </w:instrText>
            </w:r>
            <w:r w:rsidR="00672739">
              <w:rPr>
                <w:noProof/>
                <w:webHidden/>
              </w:rPr>
            </w:r>
            <w:r w:rsidR="00672739">
              <w:rPr>
                <w:noProof/>
                <w:webHidden/>
              </w:rPr>
              <w:fldChar w:fldCharType="separate"/>
            </w:r>
            <w:r w:rsidR="00EA1CC6">
              <w:rPr>
                <w:noProof/>
                <w:webHidden/>
              </w:rPr>
              <w:t>12</w:t>
            </w:r>
            <w:r w:rsidR="00672739">
              <w:rPr>
                <w:noProof/>
                <w:webHidden/>
              </w:rPr>
              <w:fldChar w:fldCharType="end"/>
            </w:r>
          </w:hyperlink>
        </w:p>
        <w:p w14:paraId="2D606F88" w14:textId="0B00C06C" w:rsidR="00672739" w:rsidRDefault="00000000">
          <w:pPr>
            <w:pStyle w:val="Obsah2"/>
            <w:tabs>
              <w:tab w:val="left" w:pos="880"/>
              <w:tab w:val="right" w:leader="dot" w:pos="9062"/>
            </w:tabs>
            <w:rPr>
              <w:rFonts w:asciiTheme="minorHAnsi" w:eastAsiaTheme="minorEastAsia" w:hAnsiTheme="minorHAnsi"/>
              <w:noProof/>
              <w:lang w:eastAsia="cs-CZ"/>
            </w:rPr>
          </w:pPr>
          <w:hyperlink w:anchor="_Toc100576185" w:history="1">
            <w:r w:rsidR="00672739" w:rsidRPr="0090695F">
              <w:rPr>
                <w:rStyle w:val="Hypertextovodkaz"/>
                <w:noProof/>
              </w:rPr>
              <w:t>3.4</w:t>
            </w:r>
            <w:r w:rsidR="00672739">
              <w:rPr>
                <w:rFonts w:asciiTheme="minorHAnsi" w:eastAsiaTheme="minorEastAsia" w:hAnsiTheme="minorHAnsi"/>
                <w:noProof/>
                <w:lang w:eastAsia="cs-CZ"/>
              </w:rPr>
              <w:tab/>
            </w:r>
            <w:r w:rsidR="00672739" w:rsidRPr="0090695F">
              <w:rPr>
                <w:rStyle w:val="Hypertextovodkaz"/>
                <w:noProof/>
              </w:rPr>
              <w:t>Záměry projektů</w:t>
            </w:r>
            <w:r w:rsidR="00672739">
              <w:rPr>
                <w:noProof/>
                <w:webHidden/>
              </w:rPr>
              <w:tab/>
            </w:r>
            <w:r w:rsidR="00672739">
              <w:rPr>
                <w:noProof/>
                <w:webHidden/>
              </w:rPr>
              <w:fldChar w:fldCharType="begin"/>
            </w:r>
            <w:r w:rsidR="00672739">
              <w:rPr>
                <w:noProof/>
                <w:webHidden/>
              </w:rPr>
              <w:instrText xml:space="preserve"> PAGEREF _Toc100576185 \h </w:instrText>
            </w:r>
            <w:r w:rsidR="00672739">
              <w:rPr>
                <w:noProof/>
                <w:webHidden/>
              </w:rPr>
            </w:r>
            <w:r w:rsidR="00672739">
              <w:rPr>
                <w:noProof/>
                <w:webHidden/>
              </w:rPr>
              <w:fldChar w:fldCharType="separate"/>
            </w:r>
            <w:r w:rsidR="00EA1CC6">
              <w:rPr>
                <w:noProof/>
                <w:webHidden/>
              </w:rPr>
              <w:t>13</w:t>
            </w:r>
            <w:r w:rsidR="00672739">
              <w:rPr>
                <w:noProof/>
                <w:webHidden/>
              </w:rPr>
              <w:fldChar w:fldCharType="end"/>
            </w:r>
          </w:hyperlink>
        </w:p>
        <w:p w14:paraId="67A37837" w14:textId="320CD4D2" w:rsidR="00672739" w:rsidRDefault="00000000">
          <w:pPr>
            <w:pStyle w:val="Obsah2"/>
            <w:tabs>
              <w:tab w:val="left" w:pos="880"/>
              <w:tab w:val="right" w:leader="dot" w:pos="9062"/>
            </w:tabs>
            <w:rPr>
              <w:rFonts w:asciiTheme="minorHAnsi" w:eastAsiaTheme="minorEastAsia" w:hAnsiTheme="minorHAnsi"/>
              <w:noProof/>
              <w:lang w:eastAsia="cs-CZ"/>
            </w:rPr>
          </w:pPr>
          <w:hyperlink w:anchor="_Toc100576186" w:history="1">
            <w:r w:rsidR="00672739" w:rsidRPr="0090695F">
              <w:rPr>
                <w:rStyle w:val="Hypertextovodkaz"/>
                <w:noProof/>
              </w:rPr>
              <w:t>3.5</w:t>
            </w:r>
            <w:r w:rsidR="00672739">
              <w:rPr>
                <w:rFonts w:asciiTheme="minorHAnsi" w:eastAsiaTheme="minorEastAsia" w:hAnsiTheme="minorHAnsi"/>
                <w:noProof/>
                <w:lang w:eastAsia="cs-CZ"/>
              </w:rPr>
              <w:tab/>
            </w:r>
            <w:r w:rsidR="00672739" w:rsidRPr="0090695F">
              <w:rPr>
                <w:rStyle w:val="Hypertextovodkaz"/>
                <w:noProof/>
              </w:rPr>
              <w:t>Globální položky</w:t>
            </w:r>
            <w:r w:rsidR="00672739">
              <w:rPr>
                <w:noProof/>
                <w:webHidden/>
              </w:rPr>
              <w:tab/>
            </w:r>
            <w:r w:rsidR="00672739">
              <w:rPr>
                <w:noProof/>
                <w:webHidden/>
              </w:rPr>
              <w:fldChar w:fldCharType="begin"/>
            </w:r>
            <w:r w:rsidR="00672739">
              <w:rPr>
                <w:noProof/>
                <w:webHidden/>
              </w:rPr>
              <w:instrText xml:space="preserve"> PAGEREF _Toc100576186 \h </w:instrText>
            </w:r>
            <w:r w:rsidR="00672739">
              <w:rPr>
                <w:noProof/>
                <w:webHidden/>
              </w:rPr>
            </w:r>
            <w:r w:rsidR="00672739">
              <w:rPr>
                <w:noProof/>
                <w:webHidden/>
              </w:rPr>
              <w:fldChar w:fldCharType="separate"/>
            </w:r>
            <w:r w:rsidR="00EA1CC6">
              <w:rPr>
                <w:noProof/>
                <w:webHidden/>
              </w:rPr>
              <w:t>13</w:t>
            </w:r>
            <w:r w:rsidR="00672739">
              <w:rPr>
                <w:noProof/>
                <w:webHidden/>
              </w:rPr>
              <w:fldChar w:fldCharType="end"/>
            </w:r>
          </w:hyperlink>
        </w:p>
        <w:p w14:paraId="0547BE96" w14:textId="7E80C692"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87" w:history="1">
            <w:r w:rsidR="00672739" w:rsidRPr="0090695F">
              <w:rPr>
                <w:rStyle w:val="Hypertextovodkaz"/>
                <w:noProof/>
              </w:rPr>
              <w:t>3.5.1</w:t>
            </w:r>
            <w:r w:rsidR="00672739">
              <w:rPr>
                <w:rFonts w:asciiTheme="minorHAnsi" w:eastAsiaTheme="minorEastAsia" w:hAnsiTheme="minorHAnsi"/>
                <w:noProof/>
                <w:lang w:eastAsia="cs-CZ"/>
              </w:rPr>
              <w:tab/>
            </w:r>
            <w:r w:rsidR="00672739" w:rsidRPr="0090695F">
              <w:rPr>
                <w:rStyle w:val="Hypertextovodkaz"/>
                <w:noProof/>
              </w:rPr>
              <w:t>Schvalování rozpisu globální položky</w:t>
            </w:r>
            <w:r w:rsidR="00672739">
              <w:rPr>
                <w:noProof/>
                <w:webHidden/>
              </w:rPr>
              <w:tab/>
            </w:r>
            <w:r w:rsidR="00672739">
              <w:rPr>
                <w:noProof/>
                <w:webHidden/>
              </w:rPr>
              <w:fldChar w:fldCharType="begin"/>
            </w:r>
            <w:r w:rsidR="00672739">
              <w:rPr>
                <w:noProof/>
                <w:webHidden/>
              </w:rPr>
              <w:instrText xml:space="preserve"> PAGEREF _Toc100576187 \h </w:instrText>
            </w:r>
            <w:r w:rsidR="00672739">
              <w:rPr>
                <w:noProof/>
                <w:webHidden/>
              </w:rPr>
            </w:r>
            <w:r w:rsidR="00672739">
              <w:rPr>
                <w:noProof/>
                <w:webHidden/>
              </w:rPr>
              <w:fldChar w:fldCharType="separate"/>
            </w:r>
            <w:r w:rsidR="00EA1CC6">
              <w:rPr>
                <w:noProof/>
                <w:webHidden/>
              </w:rPr>
              <w:t>16</w:t>
            </w:r>
            <w:r w:rsidR="00672739">
              <w:rPr>
                <w:noProof/>
                <w:webHidden/>
              </w:rPr>
              <w:fldChar w:fldCharType="end"/>
            </w:r>
          </w:hyperlink>
        </w:p>
        <w:p w14:paraId="2C67237C" w14:textId="43D8CA9D"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88" w:history="1">
            <w:r w:rsidR="00672739" w:rsidRPr="0090695F">
              <w:rPr>
                <w:rStyle w:val="Hypertextovodkaz"/>
                <w:noProof/>
              </w:rPr>
              <w:t>3.5.2</w:t>
            </w:r>
            <w:r w:rsidR="00672739">
              <w:rPr>
                <w:rFonts w:asciiTheme="minorHAnsi" w:eastAsiaTheme="minorEastAsia" w:hAnsiTheme="minorHAnsi"/>
                <w:noProof/>
                <w:lang w:eastAsia="cs-CZ"/>
              </w:rPr>
              <w:tab/>
            </w:r>
            <w:r w:rsidR="00672739" w:rsidRPr="0090695F">
              <w:rPr>
                <w:rStyle w:val="Hypertextovodkaz"/>
                <w:noProof/>
              </w:rPr>
              <w:t>Záměry projektu u podakcí v globálních položkách</w:t>
            </w:r>
            <w:r w:rsidR="00672739">
              <w:rPr>
                <w:noProof/>
                <w:webHidden/>
              </w:rPr>
              <w:tab/>
            </w:r>
            <w:r w:rsidR="00672739">
              <w:rPr>
                <w:noProof/>
                <w:webHidden/>
              </w:rPr>
              <w:fldChar w:fldCharType="begin"/>
            </w:r>
            <w:r w:rsidR="00672739">
              <w:rPr>
                <w:noProof/>
                <w:webHidden/>
              </w:rPr>
              <w:instrText xml:space="preserve"> PAGEREF _Toc100576188 \h </w:instrText>
            </w:r>
            <w:r w:rsidR="00672739">
              <w:rPr>
                <w:noProof/>
                <w:webHidden/>
              </w:rPr>
            </w:r>
            <w:r w:rsidR="00672739">
              <w:rPr>
                <w:noProof/>
                <w:webHidden/>
              </w:rPr>
              <w:fldChar w:fldCharType="separate"/>
            </w:r>
            <w:r w:rsidR="00EA1CC6">
              <w:rPr>
                <w:noProof/>
                <w:webHidden/>
              </w:rPr>
              <w:t>16</w:t>
            </w:r>
            <w:r w:rsidR="00672739">
              <w:rPr>
                <w:noProof/>
                <w:webHidden/>
              </w:rPr>
              <w:fldChar w:fldCharType="end"/>
            </w:r>
          </w:hyperlink>
        </w:p>
        <w:p w14:paraId="0BC91F39" w14:textId="67BB6900" w:rsidR="00672739" w:rsidRDefault="00000000">
          <w:pPr>
            <w:pStyle w:val="Obsah2"/>
            <w:tabs>
              <w:tab w:val="left" w:pos="880"/>
              <w:tab w:val="right" w:leader="dot" w:pos="9062"/>
            </w:tabs>
            <w:rPr>
              <w:rFonts w:asciiTheme="minorHAnsi" w:eastAsiaTheme="minorEastAsia" w:hAnsiTheme="minorHAnsi"/>
              <w:noProof/>
              <w:lang w:eastAsia="cs-CZ"/>
            </w:rPr>
          </w:pPr>
          <w:hyperlink w:anchor="_Toc100576189" w:history="1">
            <w:r w:rsidR="00672739" w:rsidRPr="0090695F">
              <w:rPr>
                <w:rStyle w:val="Hypertextovodkaz"/>
                <w:noProof/>
              </w:rPr>
              <w:t>3.6</w:t>
            </w:r>
            <w:r w:rsidR="00672739">
              <w:rPr>
                <w:rFonts w:asciiTheme="minorHAnsi" w:eastAsiaTheme="minorEastAsia" w:hAnsiTheme="minorHAnsi"/>
                <w:noProof/>
                <w:lang w:eastAsia="cs-CZ"/>
              </w:rPr>
              <w:tab/>
            </w:r>
            <w:r w:rsidR="00672739" w:rsidRPr="0090695F">
              <w:rPr>
                <w:rStyle w:val="Hypertextovodkaz"/>
                <w:noProof/>
              </w:rPr>
              <w:t>Vzájemná spojitost jednotlivých úkonů</w:t>
            </w:r>
            <w:r w:rsidR="00672739">
              <w:rPr>
                <w:noProof/>
                <w:webHidden/>
              </w:rPr>
              <w:tab/>
            </w:r>
            <w:r w:rsidR="00672739">
              <w:rPr>
                <w:noProof/>
                <w:webHidden/>
              </w:rPr>
              <w:fldChar w:fldCharType="begin"/>
            </w:r>
            <w:r w:rsidR="00672739">
              <w:rPr>
                <w:noProof/>
                <w:webHidden/>
              </w:rPr>
              <w:instrText xml:space="preserve"> PAGEREF _Toc100576189 \h </w:instrText>
            </w:r>
            <w:r w:rsidR="00672739">
              <w:rPr>
                <w:noProof/>
                <w:webHidden/>
              </w:rPr>
            </w:r>
            <w:r w:rsidR="00672739">
              <w:rPr>
                <w:noProof/>
                <w:webHidden/>
              </w:rPr>
              <w:fldChar w:fldCharType="separate"/>
            </w:r>
            <w:r w:rsidR="00EA1CC6">
              <w:rPr>
                <w:noProof/>
                <w:webHidden/>
              </w:rPr>
              <w:t>16</w:t>
            </w:r>
            <w:r w:rsidR="00672739">
              <w:rPr>
                <w:noProof/>
                <w:webHidden/>
              </w:rPr>
              <w:fldChar w:fldCharType="end"/>
            </w:r>
          </w:hyperlink>
        </w:p>
        <w:p w14:paraId="3DBF72A6" w14:textId="7EAC7945"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90" w:history="1">
            <w:r w:rsidR="00672739" w:rsidRPr="0090695F">
              <w:rPr>
                <w:rStyle w:val="Hypertextovodkaz"/>
                <w:noProof/>
              </w:rPr>
              <w:t>3.6.1</w:t>
            </w:r>
            <w:r w:rsidR="00672739">
              <w:rPr>
                <w:rFonts w:asciiTheme="minorHAnsi" w:eastAsiaTheme="minorEastAsia" w:hAnsiTheme="minorHAnsi"/>
                <w:noProof/>
                <w:lang w:eastAsia="cs-CZ"/>
              </w:rPr>
              <w:tab/>
            </w:r>
            <w:r w:rsidR="00672739" w:rsidRPr="0090695F">
              <w:rPr>
                <w:rStyle w:val="Hypertextovodkaz"/>
                <w:noProof/>
              </w:rPr>
              <w:t>Příprava rozpočtu</w:t>
            </w:r>
            <w:r w:rsidR="00672739">
              <w:rPr>
                <w:noProof/>
                <w:webHidden/>
              </w:rPr>
              <w:tab/>
            </w:r>
            <w:r w:rsidR="00672739">
              <w:rPr>
                <w:noProof/>
                <w:webHidden/>
              </w:rPr>
              <w:fldChar w:fldCharType="begin"/>
            </w:r>
            <w:r w:rsidR="00672739">
              <w:rPr>
                <w:noProof/>
                <w:webHidden/>
              </w:rPr>
              <w:instrText xml:space="preserve"> PAGEREF _Toc100576190 \h </w:instrText>
            </w:r>
            <w:r w:rsidR="00672739">
              <w:rPr>
                <w:noProof/>
                <w:webHidden/>
              </w:rPr>
            </w:r>
            <w:r w:rsidR="00672739">
              <w:rPr>
                <w:noProof/>
                <w:webHidden/>
              </w:rPr>
              <w:fldChar w:fldCharType="separate"/>
            </w:r>
            <w:r w:rsidR="00EA1CC6">
              <w:rPr>
                <w:noProof/>
                <w:webHidden/>
              </w:rPr>
              <w:t>16</w:t>
            </w:r>
            <w:r w:rsidR="00672739">
              <w:rPr>
                <w:noProof/>
                <w:webHidden/>
              </w:rPr>
              <w:fldChar w:fldCharType="end"/>
            </w:r>
          </w:hyperlink>
        </w:p>
        <w:p w14:paraId="749E12D5" w14:textId="7CF0B127" w:rsidR="00672739" w:rsidRDefault="00000000">
          <w:pPr>
            <w:pStyle w:val="Obsah3"/>
            <w:tabs>
              <w:tab w:val="left" w:pos="1320"/>
              <w:tab w:val="right" w:leader="dot" w:pos="9062"/>
            </w:tabs>
            <w:rPr>
              <w:rFonts w:asciiTheme="minorHAnsi" w:eastAsiaTheme="minorEastAsia" w:hAnsiTheme="minorHAnsi"/>
              <w:noProof/>
              <w:lang w:eastAsia="cs-CZ"/>
            </w:rPr>
          </w:pPr>
          <w:hyperlink w:anchor="_Toc100576191" w:history="1">
            <w:r w:rsidR="00672739" w:rsidRPr="0090695F">
              <w:rPr>
                <w:rStyle w:val="Hypertextovodkaz"/>
                <w:noProof/>
              </w:rPr>
              <w:t>3.6.2</w:t>
            </w:r>
            <w:r w:rsidR="00672739">
              <w:rPr>
                <w:rFonts w:asciiTheme="minorHAnsi" w:eastAsiaTheme="minorEastAsia" w:hAnsiTheme="minorHAnsi"/>
                <w:noProof/>
                <w:lang w:eastAsia="cs-CZ"/>
              </w:rPr>
              <w:tab/>
            </w:r>
            <w:r w:rsidR="00672739" w:rsidRPr="0090695F">
              <w:rPr>
                <w:rStyle w:val="Hypertextovodkaz"/>
                <w:noProof/>
              </w:rPr>
              <w:t>Rozpočtové úpravy</w:t>
            </w:r>
            <w:r w:rsidR="00672739">
              <w:rPr>
                <w:noProof/>
                <w:webHidden/>
              </w:rPr>
              <w:tab/>
            </w:r>
            <w:r w:rsidR="00672739">
              <w:rPr>
                <w:noProof/>
                <w:webHidden/>
              </w:rPr>
              <w:fldChar w:fldCharType="begin"/>
            </w:r>
            <w:r w:rsidR="00672739">
              <w:rPr>
                <w:noProof/>
                <w:webHidden/>
              </w:rPr>
              <w:instrText xml:space="preserve"> PAGEREF _Toc100576191 \h </w:instrText>
            </w:r>
            <w:r w:rsidR="00672739">
              <w:rPr>
                <w:noProof/>
                <w:webHidden/>
              </w:rPr>
            </w:r>
            <w:r w:rsidR="00672739">
              <w:rPr>
                <w:noProof/>
                <w:webHidden/>
              </w:rPr>
              <w:fldChar w:fldCharType="separate"/>
            </w:r>
            <w:r w:rsidR="00EA1CC6">
              <w:rPr>
                <w:noProof/>
                <w:webHidden/>
              </w:rPr>
              <w:t>17</w:t>
            </w:r>
            <w:r w:rsidR="00672739">
              <w:rPr>
                <w:noProof/>
                <w:webHidden/>
              </w:rPr>
              <w:fldChar w:fldCharType="end"/>
            </w:r>
          </w:hyperlink>
        </w:p>
        <w:p w14:paraId="6F456EFC" w14:textId="16C2A9D0" w:rsidR="00672739" w:rsidRDefault="00000000">
          <w:pPr>
            <w:pStyle w:val="Obsah1"/>
            <w:tabs>
              <w:tab w:val="left" w:pos="440"/>
              <w:tab w:val="right" w:leader="dot" w:pos="9062"/>
            </w:tabs>
            <w:rPr>
              <w:rFonts w:asciiTheme="minorHAnsi" w:eastAsiaTheme="minorEastAsia" w:hAnsiTheme="minorHAnsi"/>
              <w:noProof/>
              <w:lang w:eastAsia="cs-CZ"/>
            </w:rPr>
          </w:pPr>
          <w:hyperlink w:anchor="_Toc100576192" w:history="1">
            <w:r w:rsidR="00672739" w:rsidRPr="0090695F">
              <w:rPr>
                <w:rStyle w:val="Hypertextovodkaz"/>
                <w:noProof/>
              </w:rPr>
              <w:t>4</w:t>
            </w:r>
            <w:r w:rsidR="00672739">
              <w:rPr>
                <w:rFonts w:asciiTheme="minorHAnsi" w:eastAsiaTheme="minorEastAsia" w:hAnsiTheme="minorHAnsi"/>
                <w:noProof/>
                <w:lang w:eastAsia="cs-CZ"/>
              </w:rPr>
              <w:tab/>
            </w:r>
            <w:r w:rsidR="00672739" w:rsidRPr="0090695F">
              <w:rPr>
                <w:rStyle w:val="Hypertextovodkaz"/>
                <w:noProof/>
              </w:rPr>
              <w:t>Průběh financování v rámci kalendářního roku</w:t>
            </w:r>
            <w:r w:rsidR="00672739">
              <w:rPr>
                <w:noProof/>
                <w:webHidden/>
              </w:rPr>
              <w:tab/>
            </w:r>
            <w:r w:rsidR="00672739">
              <w:rPr>
                <w:noProof/>
                <w:webHidden/>
              </w:rPr>
              <w:fldChar w:fldCharType="begin"/>
            </w:r>
            <w:r w:rsidR="00672739">
              <w:rPr>
                <w:noProof/>
                <w:webHidden/>
              </w:rPr>
              <w:instrText xml:space="preserve"> PAGEREF _Toc100576192 \h </w:instrText>
            </w:r>
            <w:r w:rsidR="00672739">
              <w:rPr>
                <w:noProof/>
                <w:webHidden/>
              </w:rPr>
            </w:r>
            <w:r w:rsidR="00672739">
              <w:rPr>
                <w:noProof/>
                <w:webHidden/>
              </w:rPr>
              <w:fldChar w:fldCharType="separate"/>
            </w:r>
            <w:r w:rsidR="00EA1CC6">
              <w:rPr>
                <w:noProof/>
                <w:webHidden/>
              </w:rPr>
              <w:t>18</w:t>
            </w:r>
            <w:r w:rsidR="00672739">
              <w:rPr>
                <w:noProof/>
                <w:webHidden/>
              </w:rPr>
              <w:fldChar w:fldCharType="end"/>
            </w:r>
          </w:hyperlink>
        </w:p>
        <w:p w14:paraId="55BFB241" w14:textId="5592C39C" w:rsidR="00672739" w:rsidRDefault="00BF453B">
          <w:pPr>
            <w:pStyle w:val="Obsah2"/>
            <w:tabs>
              <w:tab w:val="left" w:pos="880"/>
              <w:tab w:val="right" w:leader="dot" w:pos="9062"/>
            </w:tabs>
            <w:rPr>
              <w:rFonts w:asciiTheme="minorHAnsi" w:eastAsiaTheme="minorEastAsia" w:hAnsiTheme="minorHAnsi"/>
              <w:noProof/>
              <w:lang w:eastAsia="cs-CZ"/>
            </w:rPr>
          </w:pPr>
          <w:hyperlink w:anchor="_Toc100576193" w:history="1">
            <w:r w:rsidR="00672739" w:rsidRPr="0090695F">
              <w:rPr>
                <w:rStyle w:val="Hypertextovodkaz"/>
                <w:noProof/>
              </w:rPr>
              <w:t>4.1</w:t>
            </w:r>
            <w:r w:rsidR="00672739">
              <w:rPr>
                <w:rFonts w:asciiTheme="minorHAnsi" w:eastAsiaTheme="minorEastAsia" w:hAnsiTheme="minorHAnsi"/>
                <w:noProof/>
                <w:lang w:eastAsia="cs-CZ"/>
              </w:rPr>
              <w:tab/>
            </w:r>
            <w:r w:rsidR="00672739" w:rsidRPr="0090695F">
              <w:rPr>
                <w:rStyle w:val="Hypertextovodkaz"/>
                <w:noProof/>
              </w:rPr>
              <w:t>Příprava rozpočtu SFDI a jeho schválení</w:t>
            </w:r>
            <w:r w:rsidR="00672739">
              <w:rPr>
                <w:noProof/>
                <w:webHidden/>
              </w:rPr>
              <w:tab/>
            </w:r>
            <w:r w:rsidR="00672739">
              <w:rPr>
                <w:noProof/>
                <w:webHidden/>
              </w:rPr>
              <w:fldChar w:fldCharType="begin"/>
            </w:r>
            <w:r w:rsidR="00672739">
              <w:rPr>
                <w:noProof/>
                <w:webHidden/>
              </w:rPr>
              <w:instrText xml:space="preserve"> PAGEREF _Toc100576193 \h </w:instrText>
            </w:r>
            <w:r w:rsidR="00672739">
              <w:rPr>
                <w:noProof/>
                <w:webHidden/>
              </w:rPr>
            </w:r>
            <w:r w:rsidR="00672739">
              <w:rPr>
                <w:noProof/>
                <w:webHidden/>
              </w:rPr>
              <w:fldChar w:fldCharType="separate"/>
            </w:r>
            <w:r w:rsidR="00EA1CC6">
              <w:rPr>
                <w:noProof/>
                <w:webHidden/>
              </w:rPr>
              <w:t>20</w:t>
            </w:r>
            <w:r w:rsidR="00672739">
              <w:rPr>
                <w:noProof/>
                <w:webHidden/>
              </w:rPr>
              <w:fldChar w:fldCharType="end"/>
            </w:r>
          </w:hyperlink>
        </w:p>
        <w:p w14:paraId="3626596E" w14:textId="7A672A29" w:rsidR="00672739" w:rsidRDefault="00BF453B">
          <w:pPr>
            <w:pStyle w:val="Obsah2"/>
            <w:tabs>
              <w:tab w:val="left" w:pos="880"/>
              <w:tab w:val="right" w:leader="dot" w:pos="9062"/>
            </w:tabs>
            <w:rPr>
              <w:rFonts w:asciiTheme="minorHAnsi" w:eastAsiaTheme="minorEastAsia" w:hAnsiTheme="minorHAnsi"/>
              <w:noProof/>
              <w:lang w:eastAsia="cs-CZ"/>
            </w:rPr>
          </w:pPr>
          <w:hyperlink w:anchor="_Toc100576194" w:history="1">
            <w:r w:rsidR="00672739" w:rsidRPr="0090695F">
              <w:rPr>
                <w:rStyle w:val="Hypertextovodkaz"/>
                <w:noProof/>
              </w:rPr>
              <w:t>4.2</w:t>
            </w:r>
            <w:r w:rsidR="00672739">
              <w:rPr>
                <w:rFonts w:asciiTheme="minorHAnsi" w:eastAsiaTheme="minorEastAsia" w:hAnsiTheme="minorHAnsi"/>
                <w:noProof/>
                <w:lang w:eastAsia="cs-CZ"/>
              </w:rPr>
              <w:tab/>
            </w:r>
            <w:r w:rsidR="00672739" w:rsidRPr="0090695F">
              <w:rPr>
                <w:rStyle w:val="Hypertextovodkaz"/>
                <w:noProof/>
              </w:rPr>
              <w:t>Převod nevyčerpaných finančních prostředků</w:t>
            </w:r>
            <w:r w:rsidR="00672739">
              <w:rPr>
                <w:noProof/>
                <w:webHidden/>
              </w:rPr>
              <w:tab/>
            </w:r>
            <w:r w:rsidR="00672739">
              <w:rPr>
                <w:noProof/>
                <w:webHidden/>
              </w:rPr>
              <w:fldChar w:fldCharType="begin"/>
            </w:r>
            <w:r w:rsidR="00672739">
              <w:rPr>
                <w:noProof/>
                <w:webHidden/>
              </w:rPr>
              <w:instrText xml:space="preserve"> PAGEREF _Toc100576194 \h </w:instrText>
            </w:r>
            <w:r w:rsidR="00672739">
              <w:rPr>
                <w:noProof/>
                <w:webHidden/>
              </w:rPr>
            </w:r>
            <w:r w:rsidR="00672739">
              <w:rPr>
                <w:noProof/>
                <w:webHidden/>
              </w:rPr>
              <w:fldChar w:fldCharType="separate"/>
            </w:r>
            <w:r w:rsidR="00EA1CC6">
              <w:rPr>
                <w:noProof/>
                <w:webHidden/>
              </w:rPr>
              <w:t>21</w:t>
            </w:r>
            <w:r w:rsidR="00672739">
              <w:rPr>
                <w:noProof/>
                <w:webHidden/>
              </w:rPr>
              <w:fldChar w:fldCharType="end"/>
            </w:r>
          </w:hyperlink>
        </w:p>
        <w:p w14:paraId="7841A76D" w14:textId="62C955B6" w:rsidR="00672739" w:rsidRDefault="00BF453B">
          <w:pPr>
            <w:pStyle w:val="Obsah2"/>
            <w:tabs>
              <w:tab w:val="left" w:pos="880"/>
              <w:tab w:val="right" w:leader="dot" w:pos="9062"/>
            </w:tabs>
            <w:rPr>
              <w:rFonts w:asciiTheme="minorHAnsi" w:eastAsiaTheme="minorEastAsia" w:hAnsiTheme="minorHAnsi"/>
              <w:noProof/>
              <w:lang w:eastAsia="cs-CZ"/>
            </w:rPr>
          </w:pPr>
          <w:hyperlink w:anchor="_Toc100576195" w:history="1">
            <w:r w:rsidR="00672739" w:rsidRPr="0090695F">
              <w:rPr>
                <w:rStyle w:val="Hypertextovodkaz"/>
                <w:noProof/>
              </w:rPr>
              <w:t>4.3</w:t>
            </w:r>
            <w:r w:rsidR="00672739">
              <w:rPr>
                <w:rFonts w:asciiTheme="minorHAnsi" w:eastAsiaTheme="minorEastAsia" w:hAnsiTheme="minorHAnsi"/>
                <w:noProof/>
                <w:lang w:eastAsia="cs-CZ"/>
              </w:rPr>
              <w:tab/>
            </w:r>
            <w:r w:rsidR="00672739" w:rsidRPr="0090695F">
              <w:rPr>
                <w:rStyle w:val="Hypertextovodkaz"/>
                <w:noProof/>
              </w:rPr>
              <w:t>Uzavírání smluvních vztahů</w:t>
            </w:r>
            <w:r w:rsidR="00672739">
              <w:rPr>
                <w:noProof/>
                <w:webHidden/>
              </w:rPr>
              <w:tab/>
            </w:r>
            <w:r w:rsidR="00672739">
              <w:rPr>
                <w:noProof/>
                <w:webHidden/>
              </w:rPr>
              <w:fldChar w:fldCharType="begin"/>
            </w:r>
            <w:r w:rsidR="00672739">
              <w:rPr>
                <w:noProof/>
                <w:webHidden/>
              </w:rPr>
              <w:instrText xml:space="preserve"> PAGEREF _Toc100576195 \h </w:instrText>
            </w:r>
            <w:r w:rsidR="00672739">
              <w:rPr>
                <w:noProof/>
                <w:webHidden/>
              </w:rPr>
            </w:r>
            <w:r w:rsidR="00672739">
              <w:rPr>
                <w:noProof/>
                <w:webHidden/>
              </w:rPr>
              <w:fldChar w:fldCharType="separate"/>
            </w:r>
            <w:r w:rsidR="00EA1CC6">
              <w:rPr>
                <w:noProof/>
                <w:webHidden/>
              </w:rPr>
              <w:t>21</w:t>
            </w:r>
            <w:r w:rsidR="00672739">
              <w:rPr>
                <w:noProof/>
                <w:webHidden/>
              </w:rPr>
              <w:fldChar w:fldCharType="end"/>
            </w:r>
          </w:hyperlink>
        </w:p>
        <w:p w14:paraId="09C0F1F8" w14:textId="60EA19D5" w:rsidR="00672739" w:rsidRDefault="00BF453B">
          <w:pPr>
            <w:pStyle w:val="Obsah2"/>
            <w:tabs>
              <w:tab w:val="left" w:pos="880"/>
              <w:tab w:val="right" w:leader="dot" w:pos="9062"/>
            </w:tabs>
            <w:rPr>
              <w:rFonts w:asciiTheme="minorHAnsi" w:eastAsiaTheme="minorEastAsia" w:hAnsiTheme="minorHAnsi"/>
              <w:noProof/>
              <w:lang w:eastAsia="cs-CZ"/>
            </w:rPr>
          </w:pPr>
          <w:hyperlink w:anchor="_Toc100576196" w:history="1">
            <w:r w:rsidR="00672739" w:rsidRPr="0090695F">
              <w:rPr>
                <w:rStyle w:val="Hypertextovodkaz"/>
                <w:noProof/>
              </w:rPr>
              <w:t>4.4</w:t>
            </w:r>
            <w:r w:rsidR="00672739">
              <w:rPr>
                <w:rFonts w:asciiTheme="minorHAnsi" w:eastAsiaTheme="minorEastAsia" w:hAnsiTheme="minorHAnsi"/>
                <w:noProof/>
                <w:lang w:eastAsia="cs-CZ"/>
              </w:rPr>
              <w:tab/>
            </w:r>
            <w:r w:rsidR="00672739" w:rsidRPr="0090695F">
              <w:rPr>
                <w:rStyle w:val="Hypertextovodkaz"/>
                <w:noProof/>
              </w:rPr>
              <w:t>Požadavky, vyúčtování, přeúčtování a vratky</w:t>
            </w:r>
            <w:r w:rsidR="00672739">
              <w:rPr>
                <w:noProof/>
                <w:webHidden/>
              </w:rPr>
              <w:tab/>
            </w:r>
            <w:r w:rsidR="00672739">
              <w:rPr>
                <w:noProof/>
                <w:webHidden/>
              </w:rPr>
              <w:fldChar w:fldCharType="begin"/>
            </w:r>
            <w:r w:rsidR="00672739">
              <w:rPr>
                <w:noProof/>
                <w:webHidden/>
              </w:rPr>
              <w:instrText xml:space="preserve"> PAGEREF _Toc100576196 \h </w:instrText>
            </w:r>
            <w:r w:rsidR="00672739">
              <w:rPr>
                <w:noProof/>
                <w:webHidden/>
              </w:rPr>
            </w:r>
            <w:r w:rsidR="00672739">
              <w:rPr>
                <w:noProof/>
                <w:webHidden/>
              </w:rPr>
              <w:fldChar w:fldCharType="separate"/>
            </w:r>
            <w:r w:rsidR="00EA1CC6">
              <w:rPr>
                <w:noProof/>
                <w:webHidden/>
              </w:rPr>
              <w:t>22</w:t>
            </w:r>
            <w:r w:rsidR="00672739">
              <w:rPr>
                <w:noProof/>
                <w:webHidden/>
              </w:rPr>
              <w:fldChar w:fldCharType="end"/>
            </w:r>
          </w:hyperlink>
        </w:p>
        <w:p w14:paraId="4A0F63D3" w14:textId="0FEDDDBE" w:rsidR="00672739" w:rsidRDefault="00BF453B">
          <w:pPr>
            <w:pStyle w:val="Obsah2"/>
            <w:tabs>
              <w:tab w:val="left" w:pos="880"/>
              <w:tab w:val="right" w:leader="dot" w:pos="9062"/>
            </w:tabs>
            <w:rPr>
              <w:rFonts w:asciiTheme="minorHAnsi" w:eastAsiaTheme="minorEastAsia" w:hAnsiTheme="minorHAnsi"/>
              <w:noProof/>
              <w:lang w:eastAsia="cs-CZ"/>
            </w:rPr>
          </w:pPr>
          <w:hyperlink w:anchor="_Toc100576197" w:history="1">
            <w:r w:rsidR="00672739" w:rsidRPr="0090695F">
              <w:rPr>
                <w:rStyle w:val="Hypertextovodkaz"/>
                <w:noProof/>
              </w:rPr>
              <w:t>4.5</w:t>
            </w:r>
            <w:r w:rsidR="00672739">
              <w:rPr>
                <w:rFonts w:asciiTheme="minorHAnsi" w:eastAsiaTheme="minorEastAsia" w:hAnsiTheme="minorHAnsi"/>
                <w:noProof/>
                <w:lang w:eastAsia="cs-CZ"/>
              </w:rPr>
              <w:tab/>
            </w:r>
            <w:r w:rsidR="00672739" w:rsidRPr="0090695F">
              <w:rPr>
                <w:rStyle w:val="Hypertextovodkaz"/>
                <w:noProof/>
              </w:rPr>
              <w:t>Rozpočtová opatření a změnová řízení</w:t>
            </w:r>
            <w:r w:rsidR="00672739">
              <w:rPr>
                <w:noProof/>
                <w:webHidden/>
              </w:rPr>
              <w:tab/>
            </w:r>
            <w:r w:rsidR="00672739">
              <w:rPr>
                <w:noProof/>
                <w:webHidden/>
              </w:rPr>
              <w:fldChar w:fldCharType="begin"/>
            </w:r>
            <w:r w:rsidR="00672739">
              <w:rPr>
                <w:noProof/>
                <w:webHidden/>
              </w:rPr>
              <w:instrText xml:space="preserve"> PAGEREF _Toc100576197 \h </w:instrText>
            </w:r>
            <w:r w:rsidR="00672739">
              <w:rPr>
                <w:noProof/>
                <w:webHidden/>
              </w:rPr>
            </w:r>
            <w:r w:rsidR="00672739">
              <w:rPr>
                <w:noProof/>
                <w:webHidden/>
              </w:rPr>
              <w:fldChar w:fldCharType="separate"/>
            </w:r>
            <w:r w:rsidR="00EA1CC6">
              <w:rPr>
                <w:noProof/>
                <w:webHidden/>
              </w:rPr>
              <w:t>22</w:t>
            </w:r>
            <w:r w:rsidR="00672739">
              <w:rPr>
                <w:noProof/>
                <w:webHidden/>
              </w:rPr>
              <w:fldChar w:fldCharType="end"/>
            </w:r>
          </w:hyperlink>
        </w:p>
        <w:p w14:paraId="4B75805A" w14:textId="336081F0" w:rsidR="00672739" w:rsidRDefault="00BF453B">
          <w:pPr>
            <w:pStyle w:val="Obsah2"/>
            <w:tabs>
              <w:tab w:val="left" w:pos="880"/>
              <w:tab w:val="right" w:leader="dot" w:pos="9062"/>
            </w:tabs>
            <w:rPr>
              <w:rFonts w:asciiTheme="minorHAnsi" w:eastAsiaTheme="minorEastAsia" w:hAnsiTheme="minorHAnsi"/>
              <w:noProof/>
              <w:lang w:eastAsia="cs-CZ"/>
            </w:rPr>
          </w:pPr>
          <w:hyperlink w:anchor="_Toc100576198" w:history="1">
            <w:r w:rsidR="00672739" w:rsidRPr="0090695F">
              <w:rPr>
                <w:rStyle w:val="Hypertextovodkaz"/>
                <w:noProof/>
              </w:rPr>
              <w:t>4.6</w:t>
            </w:r>
            <w:r w:rsidR="00672739">
              <w:rPr>
                <w:rFonts w:asciiTheme="minorHAnsi" w:eastAsiaTheme="minorEastAsia" w:hAnsiTheme="minorHAnsi"/>
                <w:noProof/>
                <w:lang w:eastAsia="cs-CZ"/>
              </w:rPr>
              <w:tab/>
            </w:r>
            <w:r w:rsidR="00672739" w:rsidRPr="0090695F">
              <w:rPr>
                <w:rStyle w:val="Hypertextovodkaz"/>
                <w:noProof/>
              </w:rPr>
              <w:t>Závěr roku a finanční vypořádání</w:t>
            </w:r>
            <w:r w:rsidR="00672739">
              <w:rPr>
                <w:noProof/>
                <w:webHidden/>
              </w:rPr>
              <w:tab/>
            </w:r>
            <w:r w:rsidR="00672739">
              <w:rPr>
                <w:noProof/>
                <w:webHidden/>
              </w:rPr>
              <w:fldChar w:fldCharType="begin"/>
            </w:r>
            <w:r w:rsidR="00672739">
              <w:rPr>
                <w:noProof/>
                <w:webHidden/>
              </w:rPr>
              <w:instrText xml:space="preserve"> PAGEREF _Toc100576198 \h </w:instrText>
            </w:r>
            <w:r w:rsidR="00672739">
              <w:rPr>
                <w:noProof/>
                <w:webHidden/>
              </w:rPr>
            </w:r>
            <w:r w:rsidR="00672739">
              <w:rPr>
                <w:noProof/>
                <w:webHidden/>
              </w:rPr>
              <w:fldChar w:fldCharType="separate"/>
            </w:r>
            <w:r w:rsidR="00EA1CC6">
              <w:rPr>
                <w:noProof/>
                <w:webHidden/>
              </w:rPr>
              <w:t>23</w:t>
            </w:r>
            <w:r w:rsidR="00672739">
              <w:rPr>
                <w:noProof/>
                <w:webHidden/>
              </w:rPr>
              <w:fldChar w:fldCharType="end"/>
            </w:r>
          </w:hyperlink>
        </w:p>
        <w:p w14:paraId="75C9C958" w14:textId="1865ABB5" w:rsidR="00672739" w:rsidRDefault="00BF453B">
          <w:pPr>
            <w:pStyle w:val="Obsah1"/>
            <w:tabs>
              <w:tab w:val="left" w:pos="440"/>
              <w:tab w:val="right" w:leader="dot" w:pos="9062"/>
            </w:tabs>
            <w:rPr>
              <w:rFonts w:asciiTheme="minorHAnsi" w:eastAsiaTheme="minorEastAsia" w:hAnsiTheme="minorHAnsi"/>
              <w:noProof/>
              <w:lang w:eastAsia="cs-CZ"/>
            </w:rPr>
          </w:pPr>
          <w:hyperlink w:anchor="_Toc100576199" w:history="1">
            <w:r w:rsidR="00672739" w:rsidRPr="0090695F">
              <w:rPr>
                <w:rStyle w:val="Hypertextovodkaz"/>
                <w:noProof/>
              </w:rPr>
              <w:t>5</w:t>
            </w:r>
            <w:r w:rsidR="00672739">
              <w:rPr>
                <w:rFonts w:asciiTheme="minorHAnsi" w:eastAsiaTheme="minorEastAsia" w:hAnsiTheme="minorHAnsi"/>
                <w:noProof/>
                <w:lang w:eastAsia="cs-CZ"/>
              </w:rPr>
              <w:tab/>
            </w:r>
            <w:r w:rsidR="00672739" w:rsidRPr="0090695F">
              <w:rPr>
                <w:rStyle w:val="Hypertextovodkaz"/>
                <w:noProof/>
              </w:rPr>
              <w:t>Průběh víceletého financování projektu</w:t>
            </w:r>
            <w:r w:rsidR="00672739">
              <w:rPr>
                <w:noProof/>
                <w:webHidden/>
              </w:rPr>
              <w:tab/>
            </w:r>
            <w:r w:rsidR="00672739">
              <w:rPr>
                <w:noProof/>
                <w:webHidden/>
              </w:rPr>
              <w:fldChar w:fldCharType="begin"/>
            </w:r>
            <w:r w:rsidR="00672739">
              <w:rPr>
                <w:noProof/>
                <w:webHidden/>
              </w:rPr>
              <w:instrText xml:space="preserve"> PAGEREF _Toc100576199 \h </w:instrText>
            </w:r>
            <w:r w:rsidR="00672739">
              <w:rPr>
                <w:noProof/>
                <w:webHidden/>
              </w:rPr>
            </w:r>
            <w:r w:rsidR="00672739">
              <w:rPr>
                <w:noProof/>
                <w:webHidden/>
              </w:rPr>
              <w:fldChar w:fldCharType="separate"/>
            </w:r>
            <w:r w:rsidR="00EA1CC6">
              <w:rPr>
                <w:noProof/>
                <w:webHidden/>
              </w:rPr>
              <w:t>24</w:t>
            </w:r>
            <w:r w:rsidR="00672739">
              <w:rPr>
                <w:noProof/>
                <w:webHidden/>
              </w:rPr>
              <w:fldChar w:fldCharType="end"/>
            </w:r>
          </w:hyperlink>
        </w:p>
        <w:p w14:paraId="593E2E34" w14:textId="0F78F83A" w:rsidR="00672739" w:rsidRDefault="00BF453B">
          <w:pPr>
            <w:pStyle w:val="Obsah1"/>
            <w:tabs>
              <w:tab w:val="left" w:pos="440"/>
              <w:tab w:val="right" w:leader="dot" w:pos="9062"/>
            </w:tabs>
            <w:rPr>
              <w:rFonts w:asciiTheme="minorHAnsi" w:eastAsiaTheme="minorEastAsia" w:hAnsiTheme="minorHAnsi"/>
              <w:noProof/>
              <w:lang w:eastAsia="cs-CZ"/>
            </w:rPr>
          </w:pPr>
          <w:hyperlink w:anchor="_Toc100576200" w:history="1">
            <w:r w:rsidR="00672739" w:rsidRPr="0090695F">
              <w:rPr>
                <w:rStyle w:val="Hypertextovodkaz"/>
                <w:rFonts w:cs="Arial"/>
                <w:noProof/>
              </w:rPr>
              <w:t>6</w:t>
            </w:r>
            <w:r w:rsidR="00672739">
              <w:rPr>
                <w:rFonts w:asciiTheme="minorHAnsi" w:eastAsiaTheme="minorEastAsia" w:hAnsiTheme="minorHAnsi"/>
                <w:noProof/>
                <w:lang w:eastAsia="cs-CZ"/>
              </w:rPr>
              <w:tab/>
            </w:r>
            <w:r w:rsidR="00672739" w:rsidRPr="0090695F">
              <w:rPr>
                <w:rStyle w:val="Hypertextovodkaz"/>
                <w:rFonts w:cs="Arial"/>
                <w:noProof/>
              </w:rPr>
              <w:t>Často kladené otázky (FAQ)</w:t>
            </w:r>
            <w:r w:rsidR="00672739">
              <w:rPr>
                <w:noProof/>
                <w:webHidden/>
              </w:rPr>
              <w:tab/>
            </w:r>
            <w:r w:rsidR="00672739">
              <w:rPr>
                <w:noProof/>
                <w:webHidden/>
              </w:rPr>
              <w:fldChar w:fldCharType="begin"/>
            </w:r>
            <w:r w:rsidR="00672739">
              <w:rPr>
                <w:noProof/>
                <w:webHidden/>
              </w:rPr>
              <w:instrText xml:space="preserve"> PAGEREF _Toc100576200 \h </w:instrText>
            </w:r>
            <w:r w:rsidR="00672739">
              <w:rPr>
                <w:noProof/>
                <w:webHidden/>
              </w:rPr>
            </w:r>
            <w:r w:rsidR="00672739">
              <w:rPr>
                <w:noProof/>
                <w:webHidden/>
              </w:rPr>
              <w:fldChar w:fldCharType="separate"/>
            </w:r>
            <w:r w:rsidR="00EA1CC6">
              <w:rPr>
                <w:noProof/>
                <w:webHidden/>
              </w:rPr>
              <w:t>25</w:t>
            </w:r>
            <w:r w:rsidR="00672739">
              <w:rPr>
                <w:noProof/>
                <w:webHidden/>
              </w:rPr>
              <w:fldChar w:fldCharType="end"/>
            </w:r>
          </w:hyperlink>
        </w:p>
        <w:p w14:paraId="417F56D5" w14:textId="2ED788C3" w:rsidR="00672739" w:rsidRDefault="00BF453B">
          <w:pPr>
            <w:pStyle w:val="Obsah2"/>
            <w:tabs>
              <w:tab w:val="left" w:pos="880"/>
              <w:tab w:val="right" w:leader="dot" w:pos="9062"/>
            </w:tabs>
            <w:rPr>
              <w:rFonts w:asciiTheme="minorHAnsi" w:eastAsiaTheme="minorEastAsia" w:hAnsiTheme="minorHAnsi"/>
              <w:noProof/>
              <w:lang w:eastAsia="cs-CZ"/>
            </w:rPr>
          </w:pPr>
          <w:hyperlink w:anchor="_Toc100576201" w:history="1">
            <w:r w:rsidR="00672739" w:rsidRPr="0090695F">
              <w:rPr>
                <w:rStyle w:val="Hypertextovodkaz"/>
                <w:noProof/>
              </w:rPr>
              <w:t>6.1</w:t>
            </w:r>
            <w:r w:rsidR="00672739">
              <w:rPr>
                <w:rFonts w:asciiTheme="minorHAnsi" w:eastAsiaTheme="minorEastAsia" w:hAnsiTheme="minorHAnsi"/>
                <w:noProof/>
                <w:lang w:eastAsia="cs-CZ"/>
              </w:rPr>
              <w:tab/>
            </w:r>
            <w:r w:rsidR="00672739" w:rsidRPr="0090695F">
              <w:rPr>
                <w:rStyle w:val="Hypertextovodkaz"/>
                <w:noProof/>
              </w:rPr>
              <w:t>FAQ k Pravidlům pro financování z rozpočtu SFDI</w:t>
            </w:r>
            <w:r w:rsidR="00672739">
              <w:rPr>
                <w:noProof/>
                <w:webHidden/>
              </w:rPr>
              <w:tab/>
            </w:r>
            <w:r w:rsidR="00672739">
              <w:rPr>
                <w:noProof/>
                <w:webHidden/>
              </w:rPr>
              <w:fldChar w:fldCharType="begin"/>
            </w:r>
            <w:r w:rsidR="00672739">
              <w:rPr>
                <w:noProof/>
                <w:webHidden/>
              </w:rPr>
              <w:instrText xml:space="preserve"> PAGEREF _Toc100576201 \h </w:instrText>
            </w:r>
            <w:r w:rsidR="00672739">
              <w:rPr>
                <w:noProof/>
                <w:webHidden/>
              </w:rPr>
            </w:r>
            <w:r w:rsidR="00672739">
              <w:rPr>
                <w:noProof/>
                <w:webHidden/>
              </w:rPr>
              <w:fldChar w:fldCharType="separate"/>
            </w:r>
            <w:r w:rsidR="00EA1CC6">
              <w:rPr>
                <w:noProof/>
                <w:webHidden/>
              </w:rPr>
              <w:t>25</w:t>
            </w:r>
            <w:r w:rsidR="00672739">
              <w:rPr>
                <w:noProof/>
                <w:webHidden/>
              </w:rPr>
              <w:fldChar w:fldCharType="end"/>
            </w:r>
          </w:hyperlink>
        </w:p>
        <w:p w14:paraId="4D331054" w14:textId="1DA66374" w:rsidR="00672739" w:rsidRDefault="00BF453B">
          <w:pPr>
            <w:pStyle w:val="Obsah2"/>
            <w:tabs>
              <w:tab w:val="left" w:pos="880"/>
              <w:tab w:val="right" w:leader="dot" w:pos="9062"/>
            </w:tabs>
            <w:rPr>
              <w:rFonts w:asciiTheme="minorHAnsi" w:eastAsiaTheme="minorEastAsia" w:hAnsiTheme="minorHAnsi"/>
              <w:noProof/>
              <w:lang w:eastAsia="cs-CZ"/>
            </w:rPr>
          </w:pPr>
          <w:hyperlink w:anchor="_Toc100576202" w:history="1">
            <w:r w:rsidR="00672739" w:rsidRPr="0090695F">
              <w:rPr>
                <w:rStyle w:val="Hypertextovodkaz"/>
                <w:noProof/>
              </w:rPr>
              <w:t>6.2</w:t>
            </w:r>
            <w:r w:rsidR="00672739">
              <w:rPr>
                <w:rFonts w:asciiTheme="minorHAnsi" w:eastAsiaTheme="minorEastAsia" w:hAnsiTheme="minorHAnsi"/>
                <w:noProof/>
                <w:lang w:eastAsia="cs-CZ"/>
              </w:rPr>
              <w:tab/>
            </w:r>
            <w:r w:rsidR="00672739" w:rsidRPr="0090695F">
              <w:rPr>
                <w:rStyle w:val="Hypertextovodkaz"/>
                <w:noProof/>
              </w:rPr>
              <w:t>FAQ k Pravidlům pro financování silnic II. a III. třídy</w:t>
            </w:r>
            <w:r w:rsidR="00672739">
              <w:rPr>
                <w:noProof/>
                <w:webHidden/>
              </w:rPr>
              <w:tab/>
            </w:r>
            <w:r w:rsidR="00672739">
              <w:rPr>
                <w:noProof/>
                <w:webHidden/>
              </w:rPr>
              <w:fldChar w:fldCharType="begin"/>
            </w:r>
            <w:r w:rsidR="00672739">
              <w:rPr>
                <w:noProof/>
                <w:webHidden/>
              </w:rPr>
              <w:instrText xml:space="preserve"> PAGEREF _Toc100576202 \h </w:instrText>
            </w:r>
            <w:r w:rsidR="00672739">
              <w:rPr>
                <w:noProof/>
                <w:webHidden/>
              </w:rPr>
            </w:r>
            <w:r w:rsidR="00672739">
              <w:rPr>
                <w:noProof/>
                <w:webHidden/>
              </w:rPr>
              <w:fldChar w:fldCharType="separate"/>
            </w:r>
            <w:r w:rsidR="00EA1CC6">
              <w:rPr>
                <w:noProof/>
                <w:webHidden/>
              </w:rPr>
              <w:t>25</w:t>
            </w:r>
            <w:r w:rsidR="00672739">
              <w:rPr>
                <w:noProof/>
                <w:webHidden/>
              </w:rPr>
              <w:fldChar w:fldCharType="end"/>
            </w:r>
          </w:hyperlink>
        </w:p>
        <w:p w14:paraId="042AF31E" w14:textId="3979D478" w:rsidR="0016727D" w:rsidRDefault="0016727D">
          <w:r w:rsidRPr="002E6674">
            <w:rPr>
              <w:rFonts w:cs="Arial"/>
              <w:b/>
              <w:bCs/>
            </w:rPr>
            <w:fldChar w:fldCharType="end"/>
          </w:r>
        </w:p>
      </w:sdtContent>
    </w:sdt>
    <w:p w14:paraId="7EBD7912" w14:textId="77777777" w:rsidR="00FB4E9F" w:rsidRDefault="00FB4E9F">
      <w:pPr>
        <w:rPr>
          <w:rFonts w:eastAsiaTheme="majorEastAsia" w:cstheme="majorBidi"/>
          <w:b/>
          <w:bCs/>
          <w:color w:val="365F91" w:themeColor="accent1" w:themeShade="BF"/>
          <w:sz w:val="28"/>
          <w:szCs w:val="28"/>
        </w:rPr>
      </w:pPr>
      <w:r>
        <w:br w:type="page"/>
      </w:r>
    </w:p>
    <w:p w14:paraId="45DAAA10" w14:textId="611D2714" w:rsidR="00517D15" w:rsidRDefault="00113CAB" w:rsidP="00517D15">
      <w:pPr>
        <w:pStyle w:val="Nadpis1"/>
      </w:pPr>
      <w:bookmarkStart w:id="0" w:name="_Toc100576166"/>
      <w:r>
        <w:lastRenderedPageBreak/>
        <w:t>Seznam pravidel a metodik, na které bude odkazováno</w:t>
      </w:r>
      <w:bookmarkEnd w:id="0"/>
    </w:p>
    <w:p w14:paraId="70BB11D5" w14:textId="77777777" w:rsidR="00517D15" w:rsidRPr="002E6674" w:rsidRDefault="00517D15" w:rsidP="002E6674">
      <w:pPr>
        <w:pStyle w:val="Nzev"/>
      </w:pPr>
      <w:bookmarkStart w:id="1" w:name="_Toc57033221"/>
      <w:bookmarkStart w:id="2" w:name="_Toc57033283"/>
      <w:r w:rsidRPr="002E6674">
        <w:rPr>
          <w:rFonts w:eastAsiaTheme="minorHAnsi"/>
        </w:rPr>
        <w:t>Pravidla pro financování z rozpočtu SFDI</w:t>
      </w:r>
      <w:bookmarkEnd w:id="1"/>
      <w:bookmarkEnd w:id="2"/>
    </w:p>
    <w:p w14:paraId="53A81968" w14:textId="77777777" w:rsidR="00D86836" w:rsidRDefault="00D86836" w:rsidP="00517D15">
      <w:pPr>
        <w:rPr>
          <w:rFonts w:cs="Arial"/>
        </w:rPr>
      </w:pPr>
      <w:r>
        <w:rPr>
          <w:rFonts w:cs="Arial"/>
        </w:rPr>
        <w:t>V Pravidlech pro financování z rozpočtu SFDI jsou popsány obecné postupy, fungování a podmínky pro poskytování finančních prostředků, včetně případných sankcí za jejich nedodržení. Přílohou Pravidel je formulář pro RO/ZŘ, formuláře ZVA a další.</w:t>
      </w:r>
    </w:p>
    <w:p w14:paraId="72E37C86" w14:textId="77777777" w:rsidR="00DF647C" w:rsidRDefault="00DF647C" w:rsidP="00517D15">
      <w:pPr>
        <w:rPr>
          <w:rFonts w:cs="Arial"/>
        </w:rPr>
      </w:pPr>
      <w:r w:rsidRPr="00DF647C">
        <w:rPr>
          <w:rFonts w:cs="Arial"/>
        </w:rPr>
        <w:t>https://www.sfdi.cz/soubory/pravidla/2018_pravidla.pdf</w:t>
      </w:r>
    </w:p>
    <w:p w14:paraId="331BF48D" w14:textId="77777777" w:rsidR="00517D15" w:rsidRDefault="00517D15" w:rsidP="002E6674">
      <w:pPr>
        <w:pStyle w:val="Nzev"/>
      </w:pPr>
      <w:bookmarkStart w:id="3" w:name="_Toc57033223"/>
      <w:bookmarkStart w:id="4" w:name="_Toc57033285"/>
      <w:r>
        <w:t>Metodický pokyn k uvolňování, vyúčtování a vratkám</w:t>
      </w:r>
      <w:bookmarkEnd w:id="3"/>
      <w:bookmarkEnd w:id="4"/>
    </w:p>
    <w:p w14:paraId="5281856F" w14:textId="77777777" w:rsidR="00D86836" w:rsidRDefault="00D86836" w:rsidP="00517D15">
      <w:pPr>
        <w:rPr>
          <w:rFonts w:cs="Arial"/>
        </w:rPr>
      </w:pPr>
      <w:r>
        <w:rPr>
          <w:rFonts w:cs="Arial"/>
        </w:rPr>
        <w:t>V tomto metodickém pokynu je popsáno, jak má příjemce žádat o finanční prostředky, jak je má vyúčtovat a případně i vracet. Zároveň přílohou tohoto metodického pokynu je soupiska faktur.</w:t>
      </w:r>
    </w:p>
    <w:p w14:paraId="4DE8E6B7" w14:textId="77777777" w:rsidR="00DF647C" w:rsidRDefault="00DF647C" w:rsidP="00517D15">
      <w:pPr>
        <w:rPr>
          <w:rFonts w:cs="Arial"/>
        </w:rPr>
      </w:pPr>
      <w:r w:rsidRPr="00DF647C">
        <w:rPr>
          <w:rFonts w:cs="Arial"/>
        </w:rPr>
        <w:t>https://www.sfdi.cz/pravidla-metodiky-a-ceniky/metodiky/</w:t>
      </w:r>
    </w:p>
    <w:p w14:paraId="7AE7C9D4" w14:textId="77777777" w:rsidR="00517D15" w:rsidRDefault="00517D15" w:rsidP="002E6674">
      <w:pPr>
        <w:pStyle w:val="Nzev"/>
      </w:pPr>
      <w:bookmarkStart w:id="5" w:name="_Toc57033224"/>
      <w:bookmarkStart w:id="6" w:name="_Toc57033286"/>
      <w:r>
        <w:t>Metodický pokyn k finančnímu vypořádání</w:t>
      </w:r>
      <w:bookmarkEnd w:id="5"/>
      <w:bookmarkEnd w:id="6"/>
    </w:p>
    <w:p w14:paraId="2936B191" w14:textId="77777777" w:rsidR="00D86836" w:rsidRDefault="00D86836" w:rsidP="00517D15">
      <w:pPr>
        <w:rPr>
          <w:rFonts w:cs="Arial"/>
        </w:rPr>
      </w:pPr>
      <w:r>
        <w:rPr>
          <w:rFonts w:cs="Arial"/>
        </w:rPr>
        <w:t>V tomto metodickém pokynu jsou uvedeny termíny spojené se závěrem kalendářního roku a popsáno, jak probíhá finanční vypořádání.</w:t>
      </w:r>
    </w:p>
    <w:p w14:paraId="3246E2B7" w14:textId="77777777" w:rsidR="00DF647C" w:rsidRDefault="00DF647C" w:rsidP="00517D15">
      <w:pPr>
        <w:rPr>
          <w:rFonts w:cs="Arial"/>
        </w:rPr>
      </w:pPr>
      <w:r w:rsidRPr="00DF647C">
        <w:rPr>
          <w:rFonts w:cs="Arial"/>
        </w:rPr>
        <w:t>https://www.sfdi.cz/pravidla-metodiky-a-ceniky/metodiky/</w:t>
      </w:r>
    </w:p>
    <w:p w14:paraId="6474548E" w14:textId="77777777" w:rsidR="00517D15" w:rsidRDefault="00517D15" w:rsidP="002E6674">
      <w:pPr>
        <w:pStyle w:val="Nzev"/>
      </w:pPr>
      <w:bookmarkStart w:id="7" w:name="_Toc57033225"/>
      <w:bookmarkStart w:id="8" w:name="_Toc57033287"/>
      <w:r>
        <w:t>Směrnice V2/2012</w:t>
      </w:r>
      <w:bookmarkEnd w:id="7"/>
      <w:bookmarkEnd w:id="8"/>
    </w:p>
    <w:p w14:paraId="5DDCAFC3" w14:textId="77777777" w:rsidR="00D86836" w:rsidRDefault="00D86836" w:rsidP="00517D15">
      <w:pPr>
        <w:rPr>
          <w:rFonts w:cs="Arial"/>
        </w:rPr>
      </w:pPr>
      <w:r>
        <w:rPr>
          <w:rFonts w:cs="Arial"/>
        </w:rPr>
        <w:t>Jedná se o směrnici MD, který popisuje náležitosti záměrů projektu, za jakých podmínek se vypracovává a upravuje problematiku sledovaných globálních položek.</w:t>
      </w:r>
    </w:p>
    <w:p w14:paraId="764FC66B" w14:textId="77777777" w:rsidR="00FB4E9F" w:rsidRDefault="00FB4E9F" w:rsidP="00517D15">
      <w:pPr>
        <w:rPr>
          <w:rFonts w:cs="Arial"/>
        </w:rPr>
      </w:pPr>
      <w:r>
        <w:rPr>
          <w:rFonts w:cs="Arial"/>
        </w:rPr>
        <w:t>Případné dotazy ve vztahu k záměrům projektů je nutné směřovat přímo na MD.</w:t>
      </w:r>
    </w:p>
    <w:p w14:paraId="6D7BFD5D" w14:textId="77777777" w:rsidR="00DF647C" w:rsidRDefault="00000000" w:rsidP="00517D15">
      <w:pPr>
        <w:rPr>
          <w:rFonts w:cs="Arial"/>
        </w:rPr>
      </w:pPr>
      <w:hyperlink r:id="rId8" w:history="1">
        <w:r w:rsidR="00EF651F" w:rsidRPr="00122225">
          <w:rPr>
            <w:rStyle w:val="Hypertextovodkaz"/>
            <w:rFonts w:cs="Arial"/>
          </w:rPr>
          <w:t>https://www.sfdi.cz/soubory/obrazky-clanky/metodiky/2017_smernice_postupy_pripravydi.pdf</w:t>
        </w:r>
      </w:hyperlink>
    </w:p>
    <w:p w14:paraId="48B3DAC9" w14:textId="77777777" w:rsidR="00EF651F" w:rsidRDefault="00EF651F" w:rsidP="002E6674">
      <w:pPr>
        <w:pStyle w:val="Nzev"/>
      </w:pPr>
      <w:bookmarkStart w:id="9" w:name="_Toc57033226"/>
      <w:bookmarkStart w:id="10" w:name="_Toc57033288"/>
      <w:r>
        <w:t xml:space="preserve">Metodický pokyn </w:t>
      </w:r>
      <w:r w:rsidR="004C02A0">
        <w:t>pro předkládání žádostí o</w:t>
      </w:r>
      <w:r>
        <w:t> </w:t>
      </w:r>
      <w:r w:rsidR="004C02A0">
        <w:t>rozpočtové</w:t>
      </w:r>
      <w:r>
        <w:t xml:space="preserve"> opatření</w:t>
      </w:r>
      <w:r w:rsidR="004C02A0">
        <w:t xml:space="preserve"> a změnové</w:t>
      </w:r>
      <w:r>
        <w:t xml:space="preserve"> řízení</w:t>
      </w:r>
      <w:bookmarkEnd w:id="9"/>
      <w:bookmarkEnd w:id="10"/>
    </w:p>
    <w:p w14:paraId="36DD308E" w14:textId="77777777" w:rsidR="00EF651F" w:rsidRDefault="00FB4E9F" w:rsidP="00EF651F">
      <w:pPr>
        <w:rPr>
          <w:rFonts w:cs="Arial"/>
        </w:rPr>
      </w:pPr>
      <w:r>
        <w:rPr>
          <w:rFonts w:cs="Arial"/>
        </w:rPr>
        <w:t>V přípravě.</w:t>
      </w:r>
    </w:p>
    <w:p w14:paraId="5E9C81C3" w14:textId="77777777" w:rsidR="004C02A0" w:rsidRDefault="004C02A0" w:rsidP="002E6674">
      <w:pPr>
        <w:pStyle w:val="Nzev"/>
      </w:pPr>
      <w:bookmarkStart w:id="11" w:name="_Toc57033227"/>
      <w:bookmarkStart w:id="12" w:name="_Toc57033289"/>
      <w:r>
        <w:t>Metodický pokyn k předkládání rozpisů globálních položek</w:t>
      </w:r>
      <w:bookmarkEnd w:id="11"/>
      <w:bookmarkEnd w:id="12"/>
    </w:p>
    <w:p w14:paraId="4FF6C14E" w14:textId="56F737D6" w:rsidR="00933A43" w:rsidRDefault="00FB4E9F" w:rsidP="00517D15">
      <w:pPr>
        <w:rPr>
          <w:rFonts w:cs="Arial"/>
        </w:rPr>
      </w:pPr>
      <w:r>
        <w:rPr>
          <w:rFonts w:cs="Arial"/>
        </w:rPr>
        <w:t>V přípravě.</w:t>
      </w:r>
    </w:p>
    <w:p w14:paraId="20C31CE4" w14:textId="7289126F" w:rsidR="00951FDE" w:rsidRDefault="00951FDE" w:rsidP="00951FDE">
      <w:pPr>
        <w:pStyle w:val="Nzev"/>
      </w:pPr>
      <w:r>
        <w:t>Směrnice pro sestavování rozpočtu</w:t>
      </w:r>
    </w:p>
    <w:p w14:paraId="2C86C9C5" w14:textId="77777777" w:rsidR="00951FDE" w:rsidRDefault="00951FDE" w:rsidP="00517D15">
      <w:pPr>
        <w:rPr>
          <w:rFonts w:cs="Arial"/>
        </w:rPr>
      </w:pPr>
    </w:p>
    <w:p w14:paraId="6525E142" w14:textId="77777777" w:rsidR="00933A43" w:rsidRDefault="00933A43">
      <w:pPr>
        <w:spacing w:after="200"/>
        <w:rPr>
          <w:rFonts w:cs="Arial"/>
        </w:rPr>
      </w:pPr>
      <w:r>
        <w:rPr>
          <w:rFonts w:cs="Arial"/>
        </w:rPr>
        <w:br w:type="page"/>
      </w:r>
    </w:p>
    <w:p w14:paraId="63B8F0C2" w14:textId="6E6B4BE3" w:rsidR="00BA6ABB" w:rsidRDefault="00BA6ABB" w:rsidP="00E145F7">
      <w:pPr>
        <w:pStyle w:val="Nadpis1"/>
      </w:pPr>
      <w:bookmarkStart w:id="13" w:name="_Toc100576167"/>
      <w:r>
        <w:lastRenderedPageBreak/>
        <w:t>Obecné informace</w:t>
      </w:r>
      <w:bookmarkEnd w:id="13"/>
    </w:p>
    <w:p w14:paraId="538C8793" w14:textId="224E241F" w:rsidR="00BA6ABB" w:rsidRDefault="00CB6FFC" w:rsidP="004E0B3A">
      <w:pPr>
        <w:pStyle w:val="Nadpis2"/>
      </w:pPr>
      <w:bookmarkStart w:id="14" w:name="_Toc100576168"/>
      <w:r>
        <w:t>Základní pojmy</w:t>
      </w:r>
      <w:bookmarkEnd w:id="14"/>
    </w:p>
    <w:p w14:paraId="3127616D" w14:textId="2E746D41" w:rsidR="00E145F7" w:rsidRDefault="00D42AA3" w:rsidP="00D42AA3">
      <w:pPr>
        <w:pStyle w:val="Nadpis3"/>
      </w:pPr>
      <w:bookmarkStart w:id="15" w:name="_Toc100576169"/>
      <w:r>
        <w:t>ISPROFOND</w:t>
      </w:r>
      <w:bookmarkEnd w:id="15"/>
    </w:p>
    <w:p w14:paraId="4CB38D2E" w14:textId="2F467F5A" w:rsidR="00F27A9D" w:rsidRPr="00F27A9D" w:rsidRDefault="00F27A9D" w:rsidP="00F27A9D">
      <w:pPr>
        <w:rPr>
          <w:rFonts w:cs="Arial"/>
        </w:rPr>
      </w:pPr>
      <w:r w:rsidRPr="00F27A9D">
        <w:rPr>
          <w:rFonts w:cs="Arial"/>
        </w:rPr>
        <w:t>Číslo ISPROFOND je jedinečné číslo (identifikátor) akce financované z rozpočtu SFDI, který je po celou dobu financování neměnný. Název akce může být během financování měněn.</w:t>
      </w:r>
    </w:p>
    <w:p w14:paraId="5D662D6F" w14:textId="78451B6F" w:rsidR="00F27A9D" w:rsidRPr="00F27A9D" w:rsidRDefault="00F27A9D" w:rsidP="00F27A9D">
      <w:pPr>
        <w:rPr>
          <w:rFonts w:cs="Arial"/>
        </w:rPr>
      </w:pPr>
      <w:r w:rsidRPr="00F27A9D">
        <w:rPr>
          <w:rFonts w:cs="Arial"/>
        </w:rPr>
        <w:t xml:space="preserve">V případě, že se </w:t>
      </w:r>
      <w:proofErr w:type="gramStart"/>
      <w:r w:rsidRPr="00F27A9D">
        <w:rPr>
          <w:rFonts w:cs="Arial"/>
        </w:rPr>
        <w:t>vynaloží</w:t>
      </w:r>
      <w:proofErr w:type="gramEnd"/>
      <w:r w:rsidRPr="00F27A9D">
        <w:rPr>
          <w:rFonts w:cs="Arial"/>
        </w:rPr>
        <w:t xml:space="preserve"> prostředky na přípravu akce (např. tvorbu záměru projektu) a následně se zjistí, že akce nebude realizovaná, poskytnuté finanční prostředky musí být vypořádány a není možné číslo ISPROFOND použít na jinou akci.</w:t>
      </w:r>
    </w:p>
    <w:p w14:paraId="0B10414D" w14:textId="4FF9B7E5" w:rsidR="00D42AA3" w:rsidRPr="002C2AEF" w:rsidRDefault="1A97D85B" w:rsidP="00F27A9D">
      <w:pPr>
        <w:rPr>
          <w:rFonts w:cs="Arial"/>
        </w:rPr>
      </w:pPr>
      <w:r w:rsidRPr="002C2AEF">
        <w:rPr>
          <w:rFonts w:cs="Arial"/>
        </w:rPr>
        <w:t xml:space="preserve">Číslo ISPROFOND se přiděluje na základě </w:t>
      </w:r>
      <w:r w:rsidRPr="002C2AEF">
        <w:rPr>
          <w:rStyle w:val="Odkazintenzivn"/>
        </w:rPr>
        <w:t xml:space="preserve">žádosti </w:t>
      </w:r>
      <w:proofErr w:type="gramStart"/>
      <w:r w:rsidRPr="002C2AEF">
        <w:rPr>
          <w:rStyle w:val="Odkazintenzivn"/>
        </w:rPr>
        <w:t>žadatele</w:t>
      </w:r>
      <w:r w:rsidRPr="002C2AEF">
        <w:rPr>
          <w:rFonts w:cs="Arial"/>
          <w:highlight w:val="yellow"/>
        </w:rPr>
        <w:t>.</w:t>
      </w:r>
      <w:r w:rsidR="461BB23C" w:rsidRPr="002C2AEF">
        <w:rPr>
          <w:rFonts w:cs="Arial"/>
          <w:highlight w:val="yellow"/>
        </w:rPr>
        <w:t>[</w:t>
      </w:r>
      <w:proofErr w:type="gramEnd"/>
      <w:r w:rsidR="461BB23C" w:rsidRPr="002C2AEF">
        <w:rPr>
          <w:rFonts w:cs="Arial"/>
          <w:highlight w:val="yellow"/>
        </w:rPr>
        <w:t>název souboru]</w:t>
      </w:r>
    </w:p>
    <w:p w14:paraId="6EFBB754" w14:textId="2ECB2247" w:rsidR="00686216" w:rsidRDefault="176C159B" w:rsidP="6C13E76E">
      <w:pPr>
        <w:rPr>
          <w:rFonts w:eastAsia="Calibri" w:cs="Arial"/>
        </w:rPr>
      </w:pPr>
      <w:r w:rsidRPr="002C2AEF">
        <w:rPr>
          <w:rFonts w:eastAsia="Calibri" w:cs="Arial"/>
        </w:rPr>
        <w:t xml:space="preserve">Žadatel vyplní formulář žádosti (jeden řádek v tabulce žádosti odpovídá </w:t>
      </w:r>
      <w:r w:rsidR="11B62886" w:rsidRPr="002C2AEF">
        <w:rPr>
          <w:rFonts w:eastAsia="Calibri" w:cs="Arial"/>
        </w:rPr>
        <w:t>jedné</w:t>
      </w:r>
      <w:r w:rsidRPr="002C2AEF">
        <w:rPr>
          <w:rFonts w:eastAsia="Calibri" w:cs="Arial"/>
        </w:rPr>
        <w:t xml:space="preserve"> akci, v pravém dolním rohu </w:t>
      </w:r>
      <w:r w:rsidR="11B62886" w:rsidRPr="002C2AEF">
        <w:rPr>
          <w:rFonts w:eastAsia="Calibri" w:cs="Arial"/>
        </w:rPr>
        <w:t xml:space="preserve">každé buňky </w:t>
      </w:r>
      <w:r w:rsidRPr="002C2AEF">
        <w:rPr>
          <w:rFonts w:eastAsia="Calibri" w:cs="Arial"/>
        </w:rPr>
        <w:t>je rozevírací seznam s dos</w:t>
      </w:r>
      <w:r w:rsidR="002E7F5F">
        <w:rPr>
          <w:rFonts w:eastAsia="Calibri" w:cs="Arial"/>
        </w:rPr>
        <w:t>t</w:t>
      </w:r>
      <w:r w:rsidRPr="002C2AEF">
        <w:rPr>
          <w:rFonts w:eastAsia="Calibri" w:cs="Arial"/>
        </w:rPr>
        <w:t xml:space="preserve">upnými možnostmi, přičemž žadatel vybere vždy pouze jednu možnost). Vyplněnou tabulku zašle žadatel </w:t>
      </w:r>
      <w:r w:rsidR="11B62886" w:rsidRPr="002C2AEF">
        <w:rPr>
          <w:rFonts w:eastAsia="Calibri" w:cs="Arial"/>
        </w:rPr>
        <w:t>e-mailem</w:t>
      </w:r>
      <w:r w:rsidRPr="002C2AEF">
        <w:rPr>
          <w:rFonts w:eastAsia="Calibri" w:cs="Arial"/>
        </w:rPr>
        <w:t xml:space="preserve"> na </w:t>
      </w:r>
      <w:hyperlink r:id="rId9" w:history="1">
        <w:r w:rsidRPr="002C2AEF">
          <w:rPr>
            <w:rStyle w:val="Hypertextovodkaz"/>
            <w:rFonts w:eastAsia="Calibri" w:cs="Arial"/>
            <w:highlight w:val="green"/>
          </w:rPr>
          <w:t>tomas.jandl@sfdi.cz</w:t>
        </w:r>
      </w:hyperlink>
      <w:r w:rsidRPr="002C2AEF">
        <w:rPr>
          <w:rFonts w:eastAsia="Calibri" w:cs="Arial"/>
        </w:rPr>
        <w:t>. Žadateli je e-mailem sděleno přidělené č. ISPROFOND. Formulář lze také využít v případě potřeby změny názvu existující akce, a to vyplněním listu “Změna názvu”.</w:t>
      </w:r>
    </w:p>
    <w:p w14:paraId="3FC3808F" w14:textId="5D337B06" w:rsidR="00885A78" w:rsidRDefault="005F42D8" w:rsidP="6C13E76E">
      <w:pPr>
        <w:rPr>
          <w:rFonts w:eastAsia="Calibri" w:cs="Arial"/>
        </w:rPr>
      </w:pPr>
      <w:r>
        <w:rPr>
          <w:rFonts w:eastAsia="Calibri" w:cs="Arial"/>
          <w:noProof/>
        </w:rPr>
        <mc:AlternateContent>
          <mc:Choice Requires="wps">
            <w:drawing>
              <wp:anchor distT="0" distB="0" distL="114300" distR="114300" simplePos="0" relativeHeight="251658240" behindDoc="1" locked="0" layoutInCell="1" allowOverlap="1" wp14:anchorId="1B0377CA" wp14:editId="1FE59417">
                <wp:simplePos x="0" y="0"/>
                <wp:positionH relativeFrom="column">
                  <wp:posOffset>-4445</wp:posOffset>
                </wp:positionH>
                <wp:positionV relativeFrom="paragraph">
                  <wp:posOffset>61595</wp:posOffset>
                </wp:positionV>
                <wp:extent cx="3543300" cy="1019175"/>
                <wp:effectExtent l="38100" t="38100" r="95250" b="104775"/>
                <wp:wrapNone/>
                <wp:docPr id="1" name="Obdélník 1"/>
                <wp:cNvGraphicFramePr/>
                <a:graphic xmlns:a="http://schemas.openxmlformats.org/drawingml/2006/main">
                  <a:graphicData uri="http://schemas.microsoft.com/office/word/2010/wordprocessingShape">
                    <wps:wsp>
                      <wps:cNvSpPr/>
                      <wps:spPr>
                        <a:xfrm>
                          <a:off x="0" y="0"/>
                          <a:ext cx="3543300" cy="1019175"/>
                        </a:xfrm>
                        <a:custGeom>
                          <a:avLst/>
                          <a:gdLst>
                            <a:gd name="connsiteX0" fmla="*/ 0 w 3543300"/>
                            <a:gd name="connsiteY0" fmla="*/ 0 h 1019175"/>
                            <a:gd name="connsiteX1" fmla="*/ 3543300 w 3543300"/>
                            <a:gd name="connsiteY1" fmla="*/ 0 h 1019175"/>
                            <a:gd name="connsiteX2" fmla="*/ 3543300 w 3543300"/>
                            <a:gd name="connsiteY2" fmla="*/ 1019175 h 1019175"/>
                            <a:gd name="connsiteX3" fmla="*/ 0 w 3543300"/>
                            <a:gd name="connsiteY3" fmla="*/ 1019175 h 1019175"/>
                            <a:gd name="connsiteX4" fmla="*/ 0 w 3543300"/>
                            <a:gd name="connsiteY4" fmla="*/ 0 h 1019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3300" h="1019175" fill="none" extrusionOk="0">
                              <a:moveTo>
                                <a:pt x="0" y="0"/>
                              </a:moveTo>
                              <a:cubicBezTo>
                                <a:pt x="913358" y="-122659"/>
                                <a:pt x="1928728" y="-99607"/>
                                <a:pt x="3543300" y="0"/>
                              </a:cubicBezTo>
                              <a:cubicBezTo>
                                <a:pt x="3482127" y="223303"/>
                                <a:pt x="3550606" y="770710"/>
                                <a:pt x="3543300" y="1019175"/>
                              </a:cubicBezTo>
                              <a:cubicBezTo>
                                <a:pt x="3071583" y="1045928"/>
                                <a:pt x="1172095" y="854139"/>
                                <a:pt x="0" y="1019175"/>
                              </a:cubicBezTo>
                              <a:cubicBezTo>
                                <a:pt x="-12458" y="588934"/>
                                <a:pt x="41013" y="221029"/>
                                <a:pt x="0" y="0"/>
                              </a:cubicBezTo>
                              <a:close/>
                            </a:path>
                            <a:path w="3543300" h="1019175" stroke="0" extrusionOk="0">
                              <a:moveTo>
                                <a:pt x="0" y="0"/>
                              </a:moveTo>
                              <a:cubicBezTo>
                                <a:pt x="718197" y="-142141"/>
                                <a:pt x="1774095" y="28109"/>
                                <a:pt x="3543300" y="0"/>
                              </a:cubicBezTo>
                              <a:cubicBezTo>
                                <a:pt x="3460269" y="172570"/>
                                <a:pt x="3568739" y="910822"/>
                                <a:pt x="3543300" y="1019175"/>
                              </a:cubicBezTo>
                              <a:cubicBezTo>
                                <a:pt x="3001713" y="1053540"/>
                                <a:pt x="449154" y="961379"/>
                                <a:pt x="0" y="1019175"/>
                              </a:cubicBezTo>
                              <a:cubicBezTo>
                                <a:pt x="-21872" y="672182"/>
                                <a:pt x="-46430" y="299448"/>
                                <a:pt x="0" y="0"/>
                              </a:cubicBezTo>
                              <a:close/>
                            </a:path>
                          </a:pathLst>
                        </a:custGeom>
                        <a:solidFill>
                          <a:schemeClr val="bg1"/>
                        </a:solidFill>
                        <a:ln>
                          <a:noFill/>
                          <a:extLst>
                            <a:ext uri="{C807C97D-BFC1-408E-A445-0C87EB9F89A2}">
                              <ask:lineSketchStyleProps xmlns:ask="http://schemas.microsoft.com/office/drawing/2018/sketchyshapes" sd="1734737417">
                                <a:prstGeom prst="rect">
                                  <a:avLst/>
                                </a:prstGeom>
                                <ask:type>
                                  <ask:lineSketchCurved/>
                                </ask:type>
                              </ask:lineSketchStyleProps>
                            </a:ext>
                          </a:extLs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741"/>
                            </w:tblGrid>
                            <w:tr w:rsidR="002843EF" w14:paraId="63C10E06" w14:textId="77777777" w:rsidTr="002843EF">
                              <w:trPr>
                                <w:trHeight w:val="1392"/>
                              </w:trPr>
                              <w:tc>
                                <w:tcPr>
                                  <w:tcW w:w="1526" w:type="dxa"/>
                                  <w:vAlign w:val="center"/>
                                </w:tcPr>
                                <w:p w14:paraId="2DFA30AF" w14:textId="10A9C1C1" w:rsidR="002843EF" w:rsidRDefault="002843EF" w:rsidP="002843EF">
                                  <w:pPr>
                                    <w:jc w:val="center"/>
                                  </w:pPr>
                                  <w:r>
                                    <w:rPr>
                                      <w:noProof/>
                                    </w:rPr>
                                    <w:drawing>
                                      <wp:inline distT="0" distB="0" distL="0" distR="0" wp14:anchorId="5B7AD251" wp14:editId="49A65F46">
                                        <wp:extent cx="704850" cy="704850"/>
                                        <wp:effectExtent l="0" t="0" r="0" b="0"/>
                                        <wp:docPr id="3" name="Obrázek 3" descr="Ios7, contact, outline Icon in ion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s7, contact, outline Icon in ionic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3741" w:type="dxa"/>
                                  <w:vAlign w:val="center"/>
                                </w:tcPr>
                                <w:p w14:paraId="1C0EA263" w14:textId="5E3CEB2E" w:rsidR="004022F2" w:rsidRPr="00972EF5" w:rsidRDefault="002843EF" w:rsidP="002843EF">
                                  <w:pPr>
                                    <w:jc w:val="left"/>
                                    <w:rPr>
                                      <w:color w:val="1F497D" w:themeColor="text2"/>
                                      <w:sz w:val="20"/>
                                      <w:szCs w:val="20"/>
                                    </w:rPr>
                                  </w:pPr>
                                  <w:r w:rsidRPr="006E4C5A">
                                    <w:rPr>
                                      <w:color w:val="1F497D" w:themeColor="text2"/>
                                    </w:rPr>
                                    <w:t>I</w:t>
                                  </w:r>
                                  <w:r w:rsidR="006E4C5A" w:rsidRPr="006E4C5A">
                                    <w:rPr>
                                      <w:color w:val="1F497D" w:themeColor="text2"/>
                                    </w:rPr>
                                    <w:t>ng. Tomáš Jandl</w:t>
                                  </w:r>
                                  <w:r w:rsidR="004022F2">
                                    <w:rPr>
                                      <w:color w:val="1F497D" w:themeColor="text2"/>
                                    </w:rPr>
                                    <w:br/>
                                  </w:r>
                                  <w:r w:rsidR="004022F2" w:rsidRPr="00972EF5">
                                    <w:rPr>
                                      <w:color w:val="1F497D" w:themeColor="text2"/>
                                      <w:sz w:val="20"/>
                                      <w:szCs w:val="20"/>
                                    </w:rPr>
                                    <w:t>referent</w:t>
                                  </w:r>
                                  <w:r w:rsidR="00972EF5" w:rsidRPr="00972EF5">
                                    <w:rPr>
                                      <w:color w:val="1F497D" w:themeColor="text2"/>
                                      <w:sz w:val="20"/>
                                      <w:szCs w:val="20"/>
                                    </w:rPr>
                                    <w:t xml:space="preserve"> přípravy rozpočtu</w:t>
                                  </w:r>
                                </w:p>
                                <w:p w14:paraId="722A81C3" w14:textId="49C8165C" w:rsidR="004022F2" w:rsidRPr="006E4C5A" w:rsidRDefault="004022F2" w:rsidP="002843EF">
                                  <w:pPr>
                                    <w:jc w:val="left"/>
                                    <w:rPr>
                                      <w:color w:val="1F497D" w:themeColor="text2"/>
                                    </w:rPr>
                                  </w:pPr>
                                  <w:r w:rsidRPr="004022F2">
                                    <w:rPr>
                                      <w:color w:val="1F497D" w:themeColor="text2"/>
                                      <w:sz w:val="18"/>
                                      <w:szCs w:val="18"/>
                                    </w:rPr>
                                    <w:t xml:space="preserve">tel. 266 097 </w:t>
                                  </w:r>
                                  <w:proofErr w:type="spellStart"/>
                                  <w:r w:rsidRPr="004022F2">
                                    <w:rPr>
                                      <w:color w:val="1F497D" w:themeColor="text2"/>
                                      <w:sz w:val="18"/>
                                      <w:szCs w:val="18"/>
                                    </w:rPr>
                                    <w:t>xxx</w:t>
                                  </w:r>
                                  <w:proofErr w:type="spellEnd"/>
                                  <w:r w:rsidRPr="004022F2">
                                    <w:rPr>
                                      <w:color w:val="1F497D" w:themeColor="text2"/>
                                      <w:sz w:val="18"/>
                                      <w:szCs w:val="18"/>
                                    </w:rPr>
                                    <w:br/>
                                    <w:t>tomas.jandl@sfdi.cz</w:t>
                                  </w:r>
                                </w:p>
                              </w:tc>
                            </w:tr>
                          </w:tbl>
                          <w:p w14:paraId="321A150E" w14:textId="783A0DD1" w:rsidR="00433C92" w:rsidRDefault="00433C92" w:rsidP="00433C92">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377CA" id="Obdélník 1" o:spid="_x0000_s1026" style="position:absolute;left:0;text-align:left;margin-left:-.35pt;margin-top:4.85pt;width:279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" fillcolor="white [3212]" stroked="f" strokeweight="2pt">
                <v:shadow on="t" color="black" opacity="26214f" origin="-.5,-.5" offset=".74836mm,.74836mm"/>
                <v:textbox>
                  <w:txbx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741"/>
                      </w:tblGrid>
                      <w:tr w:rsidR="002843EF" w14:paraId="63C10E06" w14:textId="77777777" w:rsidTr="002843EF">
                        <w:trPr>
                          <w:trHeight w:val="1392"/>
                        </w:trPr>
                        <w:tc>
                          <w:tcPr>
                            <w:tcW w:w="1526" w:type="dxa"/>
                            <w:vAlign w:val="center"/>
                          </w:tcPr>
                          <w:p w14:paraId="2DFA30AF" w14:textId="10A9C1C1" w:rsidR="002843EF" w:rsidRDefault="002843EF" w:rsidP="002843EF">
                            <w:pPr>
                              <w:jc w:val="center"/>
                            </w:pPr>
                            <w:r>
                              <w:rPr>
                                <w:noProof/>
                              </w:rPr>
                              <w:drawing>
                                <wp:inline distT="0" distB="0" distL="0" distR="0" wp14:anchorId="5B7AD251" wp14:editId="49A65F46">
                                  <wp:extent cx="704850" cy="704850"/>
                                  <wp:effectExtent l="0" t="0" r="0" b="0"/>
                                  <wp:docPr id="3" name="Obrázek 3" descr="Ios7, contact, outline Icon in ion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s7, contact, outline Icon in ionic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3741" w:type="dxa"/>
                            <w:vAlign w:val="center"/>
                          </w:tcPr>
                          <w:p w14:paraId="1C0EA263" w14:textId="5E3CEB2E" w:rsidR="004022F2" w:rsidRPr="00972EF5" w:rsidRDefault="002843EF" w:rsidP="002843EF">
                            <w:pPr>
                              <w:jc w:val="left"/>
                              <w:rPr>
                                <w:color w:val="1F497D" w:themeColor="text2"/>
                                <w:sz w:val="20"/>
                                <w:szCs w:val="20"/>
                              </w:rPr>
                            </w:pPr>
                            <w:r w:rsidRPr="006E4C5A">
                              <w:rPr>
                                <w:color w:val="1F497D" w:themeColor="text2"/>
                              </w:rPr>
                              <w:t>I</w:t>
                            </w:r>
                            <w:r w:rsidR="006E4C5A" w:rsidRPr="006E4C5A">
                              <w:rPr>
                                <w:color w:val="1F497D" w:themeColor="text2"/>
                              </w:rPr>
                              <w:t>ng. Tomáš Jandl</w:t>
                            </w:r>
                            <w:r w:rsidR="004022F2">
                              <w:rPr>
                                <w:color w:val="1F497D" w:themeColor="text2"/>
                              </w:rPr>
                              <w:br/>
                            </w:r>
                            <w:r w:rsidR="004022F2" w:rsidRPr="00972EF5">
                              <w:rPr>
                                <w:color w:val="1F497D" w:themeColor="text2"/>
                                <w:sz w:val="20"/>
                                <w:szCs w:val="20"/>
                              </w:rPr>
                              <w:t>referent</w:t>
                            </w:r>
                            <w:r w:rsidR="00972EF5" w:rsidRPr="00972EF5">
                              <w:rPr>
                                <w:color w:val="1F497D" w:themeColor="text2"/>
                                <w:sz w:val="20"/>
                                <w:szCs w:val="20"/>
                              </w:rPr>
                              <w:t xml:space="preserve"> přípravy rozpočtu</w:t>
                            </w:r>
                          </w:p>
                          <w:p w14:paraId="722A81C3" w14:textId="49C8165C" w:rsidR="004022F2" w:rsidRPr="006E4C5A" w:rsidRDefault="004022F2" w:rsidP="002843EF">
                            <w:pPr>
                              <w:jc w:val="left"/>
                              <w:rPr>
                                <w:color w:val="1F497D" w:themeColor="text2"/>
                              </w:rPr>
                            </w:pPr>
                            <w:r w:rsidRPr="004022F2">
                              <w:rPr>
                                <w:color w:val="1F497D" w:themeColor="text2"/>
                                <w:sz w:val="18"/>
                                <w:szCs w:val="18"/>
                              </w:rPr>
                              <w:t xml:space="preserve">tel. 266 097 </w:t>
                            </w:r>
                            <w:proofErr w:type="spellStart"/>
                            <w:r w:rsidRPr="004022F2">
                              <w:rPr>
                                <w:color w:val="1F497D" w:themeColor="text2"/>
                                <w:sz w:val="18"/>
                                <w:szCs w:val="18"/>
                              </w:rPr>
                              <w:t>xxx</w:t>
                            </w:r>
                            <w:proofErr w:type="spellEnd"/>
                            <w:r w:rsidRPr="004022F2">
                              <w:rPr>
                                <w:color w:val="1F497D" w:themeColor="text2"/>
                                <w:sz w:val="18"/>
                                <w:szCs w:val="18"/>
                              </w:rPr>
                              <w:br/>
                              <w:t>tomas.jandl@sfdi.cz</w:t>
                            </w:r>
                          </w:p>
                        </w:tc>
                      </w:tr>
                    </w:tbl>
                    <w:p w14:paraId="321A150E" w14:textId="783A0DD1" w:rsidR="00433C92" w:rsidRDefault="00433C92" w:rsidP="00433C92">
                      <w:pPr>
                        <w:jc w:val="left"/>
                      </w:pPr>
                    </w:p>
                  </w:txbxContent>
                </v:textbox>
              </v:rect>
            </w:pict>
          </mc:Fallback>
        </mc:AlternateContent>
      </w:r>
    </w:p>
    <w:p w14:paraId="696FF6D5" w14:textId="77777777" w:rsidR="005F42D8" w:rsidRDefault="005F42D8" w:rsidP="6C13E76E">
      <w:pPr>
        <w:rPr>
          <w:rFonts w:eastAsia="Calibri" w:cs="Arial"/>
        </w:rPr>
      </w:pPr>
    </w:p>
    <w:p w14:paraId="1D6192E5" w14:textId="77777777" w:rsidR="005F42D8" w:rsidRDefault="005F42D8" w:rsidP="6C13E76E">
      <w:pPr>
        <w:rPr>
          <w:rFonts w:eastAsia="Calibri" w:cs="Arial"/>
        </w:rPr>
      </w:pPr>
    </w:p>
    <w:p w14:paraId="7FE1F4A6" w14:textId="77777777" w:rsidR="005F42D8" w:rsidRDefault="005F42D8" w:rsidP="6C13E76E">
      <w:pPr>
        <w:rPr>
          <w:rFonts w:eastAsia="Calibri" w:cs="Arial"/>
        </w:rPr>
      </w:pPr>
    </w:p>
    <w:p w14:paraId="607489EE" w14:textId="77777777" w:rsidR="004022F2" w:rsidRDefault="004022F2" w:rsidP="6C13E76E">
      <w:pPr>
        <w:rPr>
          <w:rFonts w:eastAsia="Calibri" w:cs="Arial"/>
        </w:rPr>
      </w:pPr>
    </w:p>
    <w:p w14:paraId="060B2E88" w14:textId="77777777" w:rsidR="004022F2" w:rsidRDefault="004022F2" w:rsidP="6C13E76E">
      <w:pPr>
        <w:rPr>
          <w:rFonts w:eastAsia="Calibri" w:cs="Arial"/>
        </w:rPr>
      </w:pPr>
    </w:p>
    <w:p w14:paraId="207A4869" w14:textId="4E1CEF8F" w:rsidR="00686216" w:rsidRPr="00F45279" w:rsidRDefault="00686216" w:rsidP="00F45279">
      <w:pPr>
        <w:pStyle w:val="Nadpis3"/>
      </w:pPr>
      <w:bookmarkStart w:id="16" w:name="_Toc100576170"/>
      <w:r w:rsidRPr="00F45279">
        <w:t>Globální položka</w:t>
      </w:r>
      <w:bookmarkEnd w:id="16"/>
    </w:p>
    <w:p w14:paraId="5153C771" w14:textId="72063C5A" w:rsidR="0047530F" w:rsidRPr="0047530F" w:rsidRDefault="0047530F" w:rsidP="0047530F">
      <w:pPr>
        <w:rPr>
          <w:rFonts w:cs="Arial"/>
        </w:rPr>
      </w:pPr>
      <w:r w:rsidRPr="0047530F">
        <w:rPr>
          <w:rFonts w:cs="Arial"/>
        </w:rPr>
        <w:t xml:space="preserve">Globální položka je agregovaná položka v rozpočtu SFDI, ze které jsou financovány zejména druhově stejné akce, které nejsou v rozpočtu SFDI zařazené jako samostatné položky. Globální položka může být dále rozepsána na jednotlivé </w:t>
      </w:r>
      <w:proofErr w:type="spellStart"/>
      <w:r w:rsidRPr="0047530F">
        <w:rPr>
          <w:rFonts w:cs="Arial"/>
        </w:rPr>
        <w:t>podakce</w:t>
      </w:r>
      <w:proofErr w:type="spellEnd"/>
      <w:r w:rsidRPr="0047530F">
        <w:rPr>
          <w:rFonts w:cs="Arial"/>
        </w:rPr>
        <w:t xml:space="preserve">, příp. </w:t>
      </w:r>
      <w:proofErr w:type="spellStart"/>
      <w:r w:rsidRPr="0047530F">
        <w:rPr>
          <w:rFonts w:cs="Arial"/>
        </w:rPr>
        <w:t>podglobální</w:t>
      </w:r>
      <w:proofErr w:type="spellEnd"/>
      <w:r w:rsidRPr="0047530F">
        <w:rPr>
          <w:rFonts w:cs="Arial"/>
        </w:rPr>
        <w:t xml:space="preserve"> položky.</w:t>
      </w:r>
    </w:p>
    <w:p w14:paraId="26770634" w14:textId="1500B928" w:rsidR="0047530F" w:rsidRPr="007563FE" w:rsidRDefault="0047530F" w:rsidP="0047530F">
      <w:pPr>
        <w:rPr>
          <w:rFonts w:cs="Arial"/>
          <w:lang w:val="pl-PL"/>
        </w:rPr>
      </w:pPr>
      <w:r w:rsidRPr="0047530F">
        <w:rPr>
          <w:rFonts w:cs="Arial"/>
        </w:rPr>
        <w:t>Více info</w:t>
      </w:r>
      <w:r>
        <w:rPr>
          <w:rFonts w:cs="Arial"/>
        </w:rPr>
        <w:t>r</w:t>
      </w:r>
      <w:r w:rsidRPr="0047530F">
        <w:rPr>
          <w:rFonts w:cs="Arial"/>
        </w:rPr>
        <w:t xml:space="preserve">mací naleznete </w:t>
      </w:r>
      <w:r w:rsidRPr="00D47C36">
        <w:rPr>
          <w:rStyle w:val="Odkazintenzivn"/>
        </w:rPr>
        <w:t>zde</w:t>
      </w:r>
      <w:r w:rsidRPr="00315986">
        <w:rPr>
          <w:rFonts w:cs="Arial"/>
        </w:rPr>
        <w:t xml:space="preserve">. </w:t>
      </w:r>
      <w:r w:rsidRPr="007563FE">
        <w:rPr>
          <w:rFonts w:cs="Arial"/>
          <w:lang w:val="pl-PL"/>
        </w:rPr>
        <w:t>[</w:t>
      </w:r>
      <w:r w:rsidRPr="007563FE">
        <w:rPr>
          <w:rFonts w:cs="Arial"/>
          <w:u w:val="single"/>
          <w:lang w:val="pl-PL"/>
        </w:rPr>
        <w:t xml:space="preserve">odkaz na kapitolu </w:t>
      </w:r>
      <w:r w:rsidR="00315986" w:rsidRPr="007563FE">
        <w:rPr>
          <w:rFonts w:cs="Arial"/>
          <w:u w:val="single"/>
          <w:lang w:val="pl-PL"/>
        </w:rPr>
        <w:t>3.5</w:t>
      </w:r>
      <w:r w:rsidRPr="007563FE">
        <w:rPr>
          <w:rFonts w:cs="Arial"/>
          <w:lang w:val="pl-PL"/>
        </w:rPr>
        <w:t>]</w:t>
      </w:r>
    </w:p>
    <w:p w14:paraId="5BCE8F29" w14:textId="6058FA7D" w:rsidR="00FA3525" w:rsidRDefault="00FA3525" w:rsidP="00FA3525">
      <w:pPr>
        <w:pStyle w:val="Nadpis3"/>
      </w:pPr>
      <w:bookmarkStart w:id="17" w:name="_Toc100576171"/>
      <w:r w:rsidRPr="00FA3525">
        <w:t>Rozpočet SFDI</w:t>
      </w:r>
      <w:bookmarkEnd w:id="17"/>
    </w:p>
    <w:p w14:paraId="511F4CA7" w14:textId="77777777" w:rsidR="00FA3525" w:rsidRDefault="00FA3525" w:rsidP="00FA3525">
      <w:pPr>
        <w:rPr>
          <w:rFonts w:cs="Arial"/>
        </w:rPr>
      </w:pPr>
      <w:r>
        <w:rPr>
          <w:rFonts w:cs="Arial"/>
        </w:rPr>
        <w:t>Akce se do rozpočtu SFDI mohou dostat následujícími způsoby:</w:t>
      </w:r>
    </w:p>
    <w:p w14:paraId="38CC7BD5" w14:textId="41F45DEC" w:rsidR="00FA3525" w:rsidRPr="0047549C" w:rsidRDefault="00FA3525" w:rsidP="00FA3525">
      <w:pPr>
        <w:pStyle w:val="Odstavecseseznamem"/>
        <w:numPr>
          <w:ilvl w:val="0"/>
          <w:numId w:val="4"/>
        </w:numPr>
        <w:rPr>
          <w:rFonts w:cs="Arial"/>
        </w:rPr>
      </w:pPr>
      <w:r w:rsidRPr="00D47C36">
        <w:rPr>
          <w:rStyle w:val="Odkazintenzivn"/>
        </w:rPr>
        <w:t xml:space="preserve">schválený </w:t>
      </w:r>
      <w:r w:rsidRPr="0047549C">
        <w:rPr>
          <w:rStyle w:val="Odkazintenzivn"/>
        </w:rPr>
        <w:t>rozpočet</w:t>
      </w:r>
      <w:r w:rsidR="00D47C36" w:rsidRPr="0047549C">
        <w:rPr>
          <w:rFonts w:cs="Arial"/>
        </w:rPr>
        <w:t xml:space="preserve"> </w:t>
      </w:r>
      <w:r w:rsidR="00D47C36" w:rsidRPr="007563FE">
        <w:rPr>
          <w:rFonts w:cs="Arial"/>
          <w:lang w:val="pl-PL"/>
        </w:rPr>
        <w:t>[</w:t>
      </w:r>
      <w:r w:rsidR="00F24C1E" w:rsidRPr="007563FE">
        <w:rPr>
          <w:rFonts w:cs="Arial"/>
          <w:u w:val="single"/>
          <w:lang w:val="pl-PL"/>
        </w:rPr>
        <w:t xml:space="preserve">odkaz na kapitolu </w:t>
      </w:r>
      <w:r w:rsidR="009174C1" w:rsidRPr="007563FE">
        <w:rPr>
          <w:rFonts w:cs="Arial"/>
          <w:u w:val="single"/>
          <w:lang w:val="pl-PL"/>
        </w:rPr>
        <w:t>4.1</w:t>
      </w:r>
      <w:r w:rsidR="00D47C36" w:rsidRPr="007563FE">
        <w:rPr>
          <w:rFonts w:cs="Arial"/>
          <w:lang w:val="pl-PL"/>
        </w:rPr>
        <w:t>]</w:t>
      </w:r>
    </w:p>
    <w:p w14:paraId="17B77A11" w14:textId="5763C790" w:rsidR="00FA3525" w:rsidRPr="0047549C" w:rsidRDefault="00FA3525" w:rsidP="00FA3525">
      <w:pPr>
        <w:pStyle w:val="Odstavecseseznamem"/>
        <w:numPr>
          <w:ilvl w:val="0"/>
          <w:numId w:val="4"/>
        </w:numPr>
        <w:rPr>
          <w:rStyle w:val="Odkazintenzivn"/>
        </w:rPr>
      </w:pPr>
      <w:r w:rsidRPr="0047549C">
        <w:rPr>
          <w:rStyle w:val="Odkazintenzivn"/>
        </w:rPr>
        <w:t>převod</w:t>
      </w:r>
      <w:r w:rsidR="00F24C1E" w:rsidRPr="0047549C">
        <w:rPr>
          <w:rStyle w:val="Odkazintenzivn"/>
        </w:rPr>
        <w:t xml:space="preserve"> </w:t>
      </w:r>
      <w:r w:rsidR="0047549C" w:rsidRPr="0047549C">
        <w:t>[</w:t>
      </w:r>
      <w:proofErr w:type="spellStart"/>
      <w:r w:rsidR="00F24C1E" w:rsidRPr="0047549C">
        <w:rPr>
          <w:rFonts w:cs="Arial"/>
          <w:u w:val="single"/>
          <w:lang w:val="en-US"/>
        </w:rPr>
        <w:t>odkaz</w:t>
      </w:r>
      <w:proofErr w:type="spellEnd"/>
      <w:r w:rsidR="00F24C1E" w:rsidRPr="0047549C">
        <w:rPr>
          <w:rFonts w:cs="Arial"/>
          <w:u w:val="single"/>
          <w:lang w:val="en-US"/>
        </w:rPr>
        <w:t xml:space="preserve"> </w:t>
      </w:r>
      <w:proofErr w:type="spellStart"/>
      <w:r w:rsidR="00F24C1E" w:rsidRPr="0047549C">
        <w:rPr>
          <w:rFonts w:cs="Arial"/>
          <w:u w:val="single"/>
          <w:lang w:val="en-US"/>
        </w:rPr>
        <w:t>na</w:t>
      </w:r>
      <w:proofErr w:type="spellEnd"/>
      <w:r w:rsidR="00F24C1E" w:rsidRPr="0047549C">
        <w:rPr>
          <w:rFonts w:cs="Arial"/>
          <w:u w:val="single"/>
          <w:lang w:val="en-US"/>
        </w:rPr>
        <w:t xml:space="preserve"> </w:t>
      </w:r>
      <w:proofErr w:type="spellStart"/>
      <w:r w:rsidR="00F24C1E" w:rsidRPr="0047549C">
        <w:rPr>
          <w:rFonts w:cs="Arial"/>
          <w:u w:val="single"/>
          <w:lang w:val="en-US"/>
        </w:rPr>
        <w:t>kapitolu</w:t>
      </w:r>
      <w:proofErr w:type="spellEnd"/>
      <w:r w:rsidR="00F24C1E" w:rsidRPr="0047549C">
        <w:rPr>
          <w:rFonts w:cs="Arial"/>
          <w:u w:val="single"/>
          <w:lang w:val="en-US"/>
        </w:rPr>
        <w:t xml:space="preserve"> </w:t>
      </w:r>
      <w:r w:rsidR="009174C1" w:rsidRPr="0047549C">
        <w:rPr>
          <w:rFonts w:cs="Arial"/>
          <w:u w:val="single"/>
          <w:lang w:val="en-US"/>
        </w:rPr>
        <w:t>4.2</w:t>
      </w:r>
      <w:r w:rsidR="0047549C" w:rsidRPr="0047549C">
        <w:rPr>
          <w:rFonts w:cs="Arial"/>
          <w:u w:val="single"/>
          <w:lang w:val="en-US"/>
        </w:rPr>
        <w:t>]</w:t>
      </w:r>
    </w:p>
    <w:p w14:paraId="74D28FED" w14:textId="07284883" w:rsidR="00FA3525" w:rsidRPr="0047549C" w:rsidRDefault="00FA3525" w:rsidP="00FA3525">
      <w:pPr>
        <w:pStyle w:val="Odstavecseseznamem"/>
        <w:numPr>
          <w:ilvl w:val="0"/>
          <w:numId w:val="4"/>
        </w:numPr>
        <w:rPr>
          <w:rStyle w:val="Odkazintenzivn"/>
        </w:rPr>
      </w:pPr>
      <w:r w:rsidRPr="0047549C">
        <w:rPr>
          <w:rStyle w:val="Odkazintenzivn"/>
        </w:rPr>
        <w:t>rozpočtové opatření/změnové řízení (RO/ZŘ)</w:t>
      </w:r>
      <w:r w:rsidR="00F24C1E" w:rsidRPr="0047549C">
        <w:rPr>
          <w:rStyle w:val="Odkazintenzivn"/>
        </w:rPr>
        <w:t xml:space="preserve"> </w:t>
      </w:r>
      <w:r w:rsidR="0047549C" w:rsidRPr="0047549C">
        <w:t>[</w:t>
      </w:r>
      <w:r w:rsidR="00F24C1E" w:rsidRPr="007563FE">
        <w:rPr>
          <w:rFonts w:cs="Arial"/>
          <w:u w:val="single"/>
        </w:rPr>
        <w:t xml:space="preserve">odkaz na kapitolu </w:t>
      </w:r>
      <w:r w:rsidR="009174C1" w:rsidRPr="007563FE">
        <w:rPr>
          <w:rFonts w:cs="Arial"/>
          <w:u w:val="single"/>
        </w:rPr>
        <w:t>4.5]</w:t>
      </w:r>
    </w:p>
    <w:p w14:paraId="4CE86850" w14:textId="14684CA1" w:rsidR="00FA3525" w:rsidRDefault="00FA3525" w:rsidP="00FA3525">
      <w:pPr>
        <w:rPr>
          <w:rFonts w:cs="Arial"/>
        </w:rPr>
      </w:pPr>
      <w:r>
        <w:rPr>
          <w:rFonts w:cs="Arial"/>
        </w:rPr>
        <w:t xml:space="preserve">Aby bylo možné akce financovat (odesílat peníze na účet příjemce) musí být schválený rozpočet nebo rozpočtová úprava vždy </w:t>
      </w:r>
      <w:proofErr w:type="spellStart"/>
      <w:r w:rsidRPr="00F24C1E">
        <w:rPr>
          <w:rStyle w:val="Odkazintenzivn"/>
        </w:rPr>
        <w:t>zesmluvněna</w:t>
      </w:r>
      <w:proofErr w:type="spellEnd"/>
      <w:r>
        <w:rPr>
          <w:rFonts w:cs="Arial"/>
        </w:rPr>
        <w:t xml:space="preserve"> (uzavřena </w:t>
      </w:r>
      <w:r w:rsidRPr="008F6E33">
        <w:rPr>
          <w:rFonts w:cs="Arial"/>
        </w:rPr>
        <w:t>smlouva nebo dodatek).</w:t>
      </w:r>
      <w:r w:rsidR="00F24C1E" w:rsidRPr="008F6E33">
        <w:rPr>
          <w:rFonts w:cs="Arial"/>
        </w:rPr>
        <w:t xml:space="preserve"> </w:t>
      </w:r>
      <w:r w:rsidR="008F6E33" w:rsidRPr="008F6E33">
        <w:rPr>
          <w:rFonts w:cs="Arial"/>
        </w:rPr>
        <w:t>[</w:t>
      </w:r>
      <w:proofErr w:type="spellStart"/>
      <w:r w:rsidR="00F24C1E" w:rsidRPr="008F6E33">
        <w:rPr>
          <w:rFonts w:cs="Arial"/>
          <w:u w:val="single"/>
          <w:lang w:val="en-US"/>
        </w:rPr>
        <w:t>odkaz</w:t>
      </w:r>
      <w:proofErr w:type="spellEnd"/>
      <w:r w:rsidR="00F24C1E" w:rsidRPr="008F6E33">
        <w:rPr>
          <w:rFonts w:cs="Arial"/>
          <w:u w:val="single"/>
          <w:lang w:val="en-US"/>
        </w:rPr>
        <w:t xml:space="preserve"> </w:t>
      </w:r>
      <w:proofErr w:type="spellStart"/>
      <w:r w:rsidR="00F24C1E" w:rsidRPr="008F6E33">
        <w:rPr>
          <w:rFonts w:cs="Arial"/>
          <w:u w:val="single"/>
          <w:lang w:val="en-US"/>
        </w:rPr>
        <w:t>na</w:t>
      </w:r>
      <w:proofErr w:type="spellEnd"/>
      <w:r w:rsidR="00F24C1E" w:rsidRPr="008F6E33">
        <w:rPr>
          <w:rFonts w:cs="Arial"/>
          <w:u w:val="single"/>
          <w:lang w:val="en-US"/>
        </w:rPr>
        <w:t xml:space="preserve"> </w:t>
      </w:r>
      <w:proofErr w:type="spellStart"/>
      <w:r w:rsidR="00F24C1E" w:rsidRPr="008F6E33">
        <w:rPr>
          <w:rFonts w:cs="Arial"/>
          <w:u w:val="single"/>
          <w:lang w:val="en-US"/>
        </w:rPr>
        <w:t>kapitolu</w:t>
      </w:r>
      <w:proofErr w:type="spellEnd"/>
      <w:r w:rsidR="00F24C1E" w:rsidRPr="008F6E33">
        <w:rPr>
          <w:rFonts w:cs="Arial"/>
          <w:u w:val="single"/>
          <w:lang w:val="en-US"/>
        </w:rPr>
        <w:t xml:space="preserve"> </w:t>
      </w:r>
      <w:r w:rsidR="008F6E33" w:rsidRPr="008F6E33">
        <w:rPr>
          <w:rFonts w:cs="Arial"/>
          <w:u w:val="single"/>
          <w:lang w:val="en-US"/>
        </w:rPr>
        <w:t>4.3]</w:t>
      </w:r>
    </w:p>
    <w:p w14:paraId="022193AB" w14:textId="39DAB7D8" w:rsidR="00FA3525" w:rsidRDefault="00BC6758" w:rsidP="00BC6758">
      <w:pPr>
        <w:pStyle w:val="Nadpis3"/>
      </w:pPr>
      <w:bookmarkStart w:id="18" w:name="_Toc100576172"/>
      <w:r>
        <w:lastRenderedPageBreak/>
        <w:t>Zdroje SFDI</w:t>
      </w:r>
      <w:bookmarkEnd w:id="18"/>
    </w:p>
    <w:p w14:paraId="6E8C6DAF" w14:textId="77777777" w:rsidR="00BC6758" w:rsidRDefault="00BC6758" w:rsidP="004E357A">
      <w:r>
        <w:t>V rámci SFDI je možno se setkat se dvěma základními druhy zdrojů:</w:t>
      </w:r>
    </w:p>
    <w:p w14:paraId="1C58C897" w14:textId="77777777" w:rsidR="00BC6758" w:rsidRPr="0071501A" w:rsidRDefault="00BC6758" w:rsidP="00F537B6">
      <w:pPr>
        <w:pStyle w:val="Odstavecseseznamem"/>
        <w:numPr>
          <w:ilvl w:val="0"/>
          <w:numId w:val="19"/>
        </w:numPr>
      </w:pPr>
      <w:r w:rsidRPr="0071501A">
        <w:t>zdroje SFDI – zpravidla označeny číslem</w:t>
      </w:r>
      <w:r>
        <w:t>;</w:t>
      </w:r>
    </w:p>
    <w:p w14:paraId="1513FFA2" w14:textId="77777777" w:rsidR="00BC6758" w:rsidRDefault="00BC6758" w:rsidP="00F537B6">
      <w:pPr>
        <w:pStyle w:val="Odstavecseseznamem"/>
        <w:numPr>
          <w:ilvl w:val="0"/>
          <w:numId w:val="19"/>
        </w:numPr>
      </w:pPr>
      <w:r w:rsidRPr="0071501A">
        <w:t xml:space="preserve">účelové </w:t>
      </w:r>
      <w:r w:rsidRPr="00F537B6">
        <w:rPr>
          <w:u w:val="single"/>
        </w:rPr>
        <w:t>dotace</w:t>
      </w:r>
      <w:r w:rsidRPr="0071501A">
        <w:t xml:space="preserve"> poskytnuté SFDI – zpravidla označeny </w:t>
      </w:r>
      <w:r>
        <w:t>písmenem.</w:t>
      </w:r>
    </w:p>
    <w:p w14:paraId="3B4294DC" w14:textId="770303EC" w:rsidR="00BC6758" w:rsidRPr="0071501A" w:rsidRDefault="00BC6758" w:rsidP="004E357A">
      <w:r>
        <w:t xml:space="preserve">Více zdrojů je zavedeno z důvodu požadavku na samostatné vykazování finančních prostředků. </w:t>
      </w:r>
      <w:r w:rsidR="00055634">
        <w:t>Zdroje mohou mít v průběhu let různý význam, proto o</w:t>
      </w:r>
      <w:r>
        <w:t>d roku 2020 je součástí přílohy ke smlouvě/dodatku vždy legenda, kde jsou zdroje příjemce popsán</w:t>
      </w:r>
      <w:r w:rsidR="0019579E">
        <w:t>y.</w:t>
      </w:r>
    </w:p>
    <w:p w14:paraId="7AA716D8" w14:textId="106ED7A2" w:rsidR="0070516E" w:rsidRDefault="0070516E" w:rsidP="004E357A">
      <w:pPr>
        <w:pStyle w:val="Nadpis3"/>
      </w:pPr>
      <w:bookmarkStart w:id="19" w:name="_Toc100576173"/>
      <w:r>
        <w:t>Centrální komise Ministerstva dopravy</w:t>
      </w:r>
      <w:bookmarkEnd w:id="19"/>
    </w:p>
    <w:p w14:paraId="2A251E65" w14:textId="1D8F3029" w:rsidR="0070516E" w:rsidRPr="0070516E" w:rsidRDefault="0070516E" w:rsidP="0070516E">
      <w:r>
        <w:t>Centrální komise Ministerstva dopravy (Centrální komise)</w:t>
      </w:r>
      <w:r w:rsidR="001F4DA5">
        <w:t xml:space="preserve"> je orgán</w:t>
      </w:r>
      <w:r w:rsidR="00C6651F">
        <w:t xml:space="preserve"> Ministerstva dopravy, </w:t>
      </w:r>
      <w:r w:rsidR="00532417">
        <w:t>který je složen z pracovníků Minist</w:t>
      </w:r>
      <w:r w:rsidR="00BB1880">
        <w:t>er</w:t>
      </w:r>
      <w:r w:rsidR="00532417">
        <w:t>stva dopra</w:t>
      </w:r>
      <w:r w:rsidR="006C1DC4">
        <w:t xml:space="preserve">vy a své zastoupení tam má i SFDI. Centrální komise </w:t>
      </w:r>
      <w:r w:rsidR="005E235C">
        <w:t xml:space="preserve">projednává, posuzuje a rozhoduje o dokumentech související s přípravou staveb dopravní infrastruktury např. záměry projektu, </w:t>
      </w:r>
      <w:r w:rsidR="0037432C">
        <w:t>studie proveditelnosti, rozpisy globálních položek</w:t>
      </w:r>
      <w:r w:rsidR="00C45AE8">
        <w:t xml:space="preserve"> a další.</w:t>
      </w:r>
    </w:p>
    <w:p w14:paraId="1760A66F" w14:textId="0E76B269" w:rsidR="004E357A" w:rsidRDefault="004E357A" w:rsidP="004E357A">
      <w:pPr>
        <w:pStyle w:val="Nadpis3"/>
      </w:pPr>
      <w:bookmarkStart w:id="20" w:name="_Toc100576174"/>
      <w:r>
        <w:t>Závěrečné vyhodnocení akce (ZVA)</w:t>
      </w:r>
      <w:bookmarkEnd w:id="20"/>
    </w:p>
    <w:p w14:paraId="7496836F" w14:textId="77777777" w:rsidR="00D4597D" w:rsidRDefault="004E357A" w:rsidP="004E357A">
      <w:r w:rsidRPr="004E357A">
        <w:t>Formulář Závěrečného vyhodnocení akce (ZVA) je příjemce povinen vyplnit do jednoho roku od ukončení smlouvy, podle které byly příjemci naposledy poskytnuty finanční prostředky.</w:t>
      </w:r>
    </w:p>
    <w:p w14:paraId="71DDB0AF" w14:textId="273D4541" w:rsidR="004E357A" w:rsidRDefault="004E357A" w:rsidP="004E357A">
      <w:r w:rsidRPr="004E357A">
        <w:t>Pokud tedy byla akce financována naposledy v roce 2021, tak je příjemce povinen formulář vyplnit a zaslat SFDI do konce roku 2022.</w:t>
      </w:r>
    </w:p>
    <w:p w14:paraId="6F4EC36D" w14:textId="327376C1" w:rsidR="006B0233" w:rsidRPr="004E357A" w:rsidRDefault="006B0233" w:rsidP="004E357A">
      <w:r>
        <w:t>V případě, že příjemce není schopen termín dodržet, musí požádat o jeho prodloužení před vypršením tohoto termínu.</w:t>
      </w:r>
    </w:p>
    <w:p w14:paraId="23076A79" w14:textId="4F13E998" w:rsidR="00BC6758" w:rsidRDefault="004E357A" w:rsidP="004E357A">
      <w:pPr>
        <w:rPr>
          <w:rFonts w:cs="Arial"/>
          <w:lang w:val="en-US"/>
        </w:rPr>
      </w:pPr>
      <w:r w:rsidRPr="004E357A">
        <w:t xml:space="preserve">Formulář je přílohou Pravidel pro financování z rozpočtu SFDI a naleznete ho </w:t>
      </w:r>
      <w:r w:rsidRPr="00D4597D">
        <w:rPr>
          <w:rStyle w:val="Odkazintenzivn"/>
        </w:rPr>
        <w:t>zde</w:t>
      </w:r>
      <w:r w:rsidRPr="004E357A">
        <w:t xml:space="preserve">. </w:t>
      </w:r>
      <w:r w:rsidR="00D4597D">
        <w:rPr>
          <w:lang w:val="en-US"/>
        </w:rPr>
        <w:t>[</w:t>
      </w:r>
      <w:proofErr w:type="spellStart"/>
      <w:r w:rsidR="00D4597D" w:rsidRPr="00686216">
        <w:rPr>
          <w:rFonts w:cs="Arial"/>
          <w:highlight w:val="yellow"/>
          <w:lang w:val="en-US"/>
        </w:rPr>
        <w:t>název</w:t>
      </w:r>
      <w:proofErr w:type="spellEnd"/>
      <w:r w:rsidR="00D4597D" w:rsidRPr="00686216">
        <w:rPr>
          <w:rFonts w:cs="Arial"/>
          <w:highlight w:val="yellow"/>
          <w:lang w:val="en-US"/>
        </w:rPr>
        <w:t xml:space="preserve"> </w:t>
      </w:r>
      <w:proofErr w:type="spellStart"/>
      <w:r w:rsidR="00D4597D" w:rsidRPr="00686216">
        <w:rPr>
          <w:rFonts w:cs="Arial"/>
          <w:highlight w:val="yellow"/>
          <w:lang w:val="en-US"/>
        </w:rPr>
        <w:t>souboru</w:t>
      </w:r>
      <w:proofErr w:type="spellEnd"/>
      <w:r w:rsidR="00D4597D" w:rsidRPr="00686216">
        <w:rPr>
          <w:rFonts w:cs="Arial"/>
          <w:highlight w:val="yellow"/>
          <w:lang w:val="en-US"/>
        </w:rPr>
        <w:t>]</w:t>
      </w:r>
    </w:p>
    <w:p w14:paraId="79226D5E" w14:textId="470E3423" w:rsidR="0036060D" w:rsidRDefault="0036060D" w:rsidP="0036060D">
      <w:pPr>
        <w:pStyle w:val="Nadpis3"/>
        <w:rPr>
          <w:lang w:val="en-US"/>
        </w:rPr>
      </w:pPr>
      <w:bookmarkStart w:id="21" w:name="_Toc100576175"/>
      <w:proofErr w:type="spellStart"/>
      <w:r>
        <w:rPr>
          <w:lang w:val="en-US"/>
        </w:rPr>
        <w:t>Výzisky</w:t>
      </w:r>
      <w:bookmarkEnd w:id="21"/>
      <w:proofErr w:type="spellEnd"/>
    </w:p>
    <w:p w14:paraId="65000509" w14:textId="3FCAF871" w:rsidR="00B72A7A" w:rsidRDefault="008709D7" w:rsidP="00B72A7A">
      <w:proofErr w:type="spellStart"/>
      <w:r>
        <w:t>Výzisk</w:t>
      </w:r>
      <w:proofErr w:type="spellEnd"/>
      <w:r>
        <w:t xml:space="preserve"> je</w:t>
      </w:r>
      <w:r w:rsidR="00B72A7A">
        <w:t xml:space="preserve"> majetek (materiál nebo finanční prostředky získané prodejem tohoto materiálu) vyzískaný při realizaci investiční či neinvestiční akce financované z prostředků SFDI, který </w:t>
      </w:r>
      <w:proofErr w:type="gramStart"/>
      <w:r w:rsidR="00B72A7A">
        <w:t>netvoří</w:t>
      </w:r>
      <w:proofErr w:type="gramEnd"/>
      <w:r w:rsidR="00B72A7A">
        <w:t xml:space="preserve"> příjem dle článku 61 Nařízení Evropské rady č. 1303/2013. Tento majetek je věcně získán aktivitami souvisejícími s realizací akce. Příjem z </w:t>
      </w:r>
      <w:proofErr w:type="spellStart"/>
      <w:r w:rsidR="00B72A7A">
        <w:t>výzisku</w:t>
      </w:r>
      <w:proofErr w:type="spellEnd"/>
      <w:r w:rsidR="00B72A7A">
        <w:t xml:space="preserve"> snižuje celkové náklady akce a může snižovat i způsobilé výdaje realizované akce (u akcí spolufinancovaných z fondů EU) (čl. 1 odst. 35 Pravidel).</w:t>
      </w:r>
    </w:p>
    <w:p w14:paraId="3F8B06F9" w14:textId="3EDC1546" w:rsidR="00B72A7A" w:rsidRDefault="00B72A7A" w:rsidP="00B72A7A">
      <w:r>
        <w:t xml:space="preserve">Termín pro vracení </w:t>
      </w:r>
      <w:proofErr w:type="spellStart"/>
      <w:r>
        <w:t>výzisků</w:t>
      </w:r>
      <w:proofErr w:type="spellEnd"/>
      <w:r>
        <w:t xml:space="preserve"> není pevně stanoven</w:t>
      </w:r>
      <w:r w:rsidR="00A35470">
        <w:t xml:space="preserve"> pro všechny akce</w:t>
      </w:r>
      <w:r>
        <w:t xml:space="preserve">, nicméně platí, že příjemce musí </w:t>
      </w:r>
      <w:proofErr w:type="spellStart"/>
      <w:r>
        <w:t>výzisky</w:t>
      </w:r>
      <w:proofErr w:type="spellEnd"/>
      <w:r>
        <w:t xml:space="preserve"> se SFDI vypořádat v rámci roku. Postup vypořádání </w:t>
      </w:r>
      <w:proofErr w:type="spellStart"/>
      <w:r>
        <w:t>výzisků</w:t>
      </w:r>
      <w:proofErr w:type="spellEnd"/>
      <w:r>
        <w:t xml:space="preserve"> je uveden v odst. 6.22 Pravidel:</w:t>
      </w:r>
      <w:r w:rsidR="007C4183">
        <w:t xml:space="preserve"> oc</w:t>
      </w:r>
      <w:r>
        <w:t>enit</w:t>
      </w:r>
      <w:r w:rsidR="007C4183">
        <w:t xml:space="preserve"> a následně </w:t>
      </w:r>
      <w:r>
        <w:t>ponížit požadavek, nebo vrátit.</w:t>
      </w:r>
    </w:p>
    <w:p w14:paraId="6F3A57C1" w14:textId="24447667" w:rsidR="00B72A7A" w:rsidRDefault="00B72A7A" w:rsidP="00B72A7A">
      <w:r>
        <w:t xml:space="preserve">Mezi určitý druh </w:t>
      </w:r>
      <w:proofErr w:type="spellStart"/>
      <w:r>
        <w:t>výzisku</w:t>
      </w:r>
      <w:proofErr w:type="spellEnd"/>
      <w:r>
        <w:t xml:space="preserve"> lze započítávat např. i plnění pojišťovny na škodě na majetku, byla-li oprava hrazena z prostředků SFDI.</w:t>
      </w:r>
    </w:p>
    <w:p w14:paraId="009BF4AA" w14:textId="0705F237" w:rsidR="00B72A7A" w:rsidRDefault="00B72A7A" w:rsidP="00B72A7A">
      <w:r>
        <w:t xml:space="preserve">Pokud příjemce zvolí postup vypořádání </w:t>
      </w:r>
      <w:proofErr w:type="spellStart"/>
      <w:r>
        <w:t>výzisku</w:t>
      </w:r>
      <w:proofErr w:type="spellEnd"/>
      <w:r>
        <w:t xml:space="preserve"> tak, že o </w:t>
      </w:r>
      <w:proofErr w:type="spellStart"/>
      <w:r>
        <w:t>výzisky</w:t>
      </w:r>
      <w:proofErr w:type="spellEnd"/>
      <w:r>
        <w:t xml:space="preserve"> </w:t>
      </w:r>
      <w:proofErr w:type="gramStart"/>
      <w:r>
        <w:t>sníží</w:t>
      </w:r>
      <w:proofErr w:type="gramEnd"/>
      <w:r>
        <w:t xml:space="preserve"> požadavek, pak tuto skutečnost uvede do soupisky faktur následovně a do poznámky napíše </w:t>
      </w:r>
      <w:proofErr w:type="spellStart"/>
      <w:r>
        <w:t>výzisk</w:t>
      </w:r>
      <w:proofErr w:type="spellEnd"/>
      <w:r>
        <w:t>:</w:t>
      </w:r>
    </w:p>
    <w:p w14:paraId="2D3A7B5F" w14:textId="4EDB328D" w:rsidR="00564401" w:rsidRDefault="00564401" w:rsidP="00B72A7A">
      <w:r w:rsidRPr="001460FA">
        <w:rPr>
          <w:noProof/>
          <w:lang w:eastAsia="cs-CZ"/>
        </w:rPr>
        <w:lastRenderedPageBreak/>
        <w:drawing>
          <wp:inline distT="0" distB="0" distL="0" distR="0" wp14:anchorId="4A2F2B5B" wp14:editId="1CAC93BB">
            <wp:extent cx="5760720" cy="681355"/>
            <wp:effectExtent l="0" t="0" r="0" b="4445"/>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681355"/>
                    </a:xfrm>
                    <a:prstGeom prst="rect">
                      <a:avLst/>
                    </a:prstGeom>
                    <a:noFill/>
                    <a:ln>
                      <a:noFill/>
                    </a:ln>
                  </pic:spPr>
                </pic:pic>
              </a:graphicData>
            </a:graphic>
          </wp:inline>
        </w:drawing>
      </w:r>
    </w:p>
    <w:p w14:paraId="7A05D3DA" w14:textId="77777777" w:rsidR="00B72A7A" w:rsidRPr="007476B2" w:rsidRDefault="00B72A7A" w:rsidP="00B72A7A">
      <w:pPr>
        <w:rPr>
          <w:b/>
          <w:bCs/>
        </w:rPr>
      </w:pPr>
      <w:r w:rsidRPr="007476B2">
        <w:rPr>
          <w:b/>
          <w:bCs/>
        </w:rPr>
        <w:t xml:space="preserve">Ponížit požadavek o </w:t>
      </w:r>
      <w:proofErr w:type="spellStart"/>
      <w:r w:rsidRPr="007476B2">
        <w:rPr>
          <w:b/>
          <w:bCs/>
        </w:rPr>
        <w:t>výzisk</w:t>
      </w:r>
      <w:proofErr w:type="spellEnd"/>
      <w:r w:rsidRPr="007476B2">
        <w:rPr>
          <w:b/>
          <w:bCs/>
        </w:rPr>
        <w:t xml:space="preserve"> lze jen v rámci běžného roku!</w:t>
      </w:r>
    </w:p>
    <w:p w14:paraId="4B43A6C5" w14:textId="3A9C3767" w:rsidR="00B72A7A" w:rsidRDefault="00B72A7A" w:rsidP="00B72A7A">
      <w:r>
        <w:t xml:space="preserve">Pokud příjemce zvolí vrácení finančních prostředků, musí zaslat Oznámení o vrácení finančních prostředků (viz </w:t>
      </w:r>
      <w:r w:rsidRPr="002F401C">
        <w:rPr>
          <w:rStyle w:val="Odkazintenzivn"/>
        </w:rPr>
        <w:t>Metodický pokyn k uvolňování, vyúčtování a vratkám</w:t>
      </w:r>
      <w:r>
        <w:t xml:space="preserve">). Vratky </w:t>
      </w:r>
      <w:proofErr w:type="spellStart"/>
      <w:r>
        <w:t>výzisků</w:t>
      </w:r>
      <w:proofErr w:type="spellEnd"/>
      <w:r>
        <w:t xml:space="preserve"> v rámci běžného roku ponižuj</w:t>
      </w:r>
      <w:r w:rsidR="00AC2910">
        <w:t>í</w:t>
      </w:r>
      <w:r>
        <w:t xml:space="preserve"> čerpání v daném roce. </w:t>
      </w:r>
      <w:proofErr w:type="spellStart"/>
      <w:r>
        <w:t>Výzisky</w:t>
      </w:r>
      <w:proofErr w:type="spellEnd"/>
      <w:r>
        <w:t xml:space="preserve"> se vrací do toho roku, ve kterém vznikly.</w:t>
      </w:r>
    </w:p>
    <w:p w14:paraId="0A94DCB8" w14:textId="77777777" w:rsidR="00AC2910" w:rsidRDefault="00AC2910" w:rsidP="00B72A7A"/>
    <w:p w14:paraId="7D61B4D2" w14:textId="65BD77B8" w:rsidR="00B72A7A" w:rsidRDefault="00B72A7A" w:rsidP="00AF2CF5">
      <w:pPr>
        <w:pStyle w:val="Nadpis4"/>
      </w:pPr>
      <w:r>
        <w:t>Příklad</w:t>
      </w:r>
      <w:r w:rsidR="00AF2CF5">
        <w:t>y</w:t>
      </w:r>
    </w:p>
    <w:p w14:paraId="2BCCC294" w14:textId="4E1BCC21" w:rsidR="00B72A7A" w:rsidRDefault="00B72A7A" w:rsidP="00B72A7A">
      <w:proofErr w:type="spellStart"/>
      <w:r>
        <w:t>Výzisk</w:t>
      </w:r>
      <w:proofErr w:type="spellEnd"/>
      <w:r>
        <w:t xml:space="preserve"> vznikl v roce 2020, ale někdo materiál odkoupil až v I/Q 2021. Vratka proběhne v roce 2021, ale do roku 2020, tj. </w:t>
      </w:r>
      <w:proofErr w:type="gramStart"/>
      <w:r>
        <w:t>neponíží</w:t>
      </w:r>
      <w:proofErr w:type="gramEnd"/>
      <w:r>
        <w:t xml:space="preserve"> uvolněnou zálohu v roce 2021 a jedná se o vratku minulých let.</w:t>
      </w:r>
      <w:r w:rsidR="003921AA">
        <w:t xml:space="preserve"> </w:t>
      </w:r>
    </w:p>
    <w:p w14:paraId="340EC25E" w14:textId="07817955" w:rsidR="0036060D" w:rsidRDefault="00B72A7A" w:rsidP="00B72A7A">
      <w:r>
        <w:t>Škoda na majetku v důsledku nehody vznikla v roce 2018. V roce 2018 proběhla oprava, která byla spolufinancována z prostředků SFDI. V roce 2020 pojišťovna proplatí škodu a příjemce vrátí tyto prostředky na účet SFDI v roce 2020, ale do roku 2018, tj. jedná se o vratku minulých let.</w:t>
      </w:r>
    </w:p>
    <w:p w14:paraId="459264BE" w14:textId="3DAD74EB" w:rsidR="007A4392" w:rsidRDefault="007A4392" w:rsidP="00B72A7A">
      <w:proofErr w:type="spellStart"/>
      <w:r>
        <w:t>Výzisk</w:t>
      </w:r>
      <w:proofErr w:type="spellEnd"/>
      <w:r>
        <w:t xml:space="preserve"> vznikl v roce 2020 a v témže roce ho někdo odkoupil. Příjemce buď </w:t>
      </w:r>
      <w:proofErr w:type="gramStart"/>
      <w:r>
        <w:t>poníží</w:t>
      </w:r>
      <w:proofErr w:type="gramEnd"/>
      <w:r>
        <w:t xml:space="preserve"> požadavek, nebo vrátí finanční prostředky do roku 2020, tj. jedná se o vratku běžného roku</w:t>
      </w:r>
    </w:p>
    <w:p w14:paraId="7C00E023" w14:textId="77777777" w:rsidR="00AF2CF5" w:rsidRDefault="00AF2CF5" w:rsidP="00AF2CF5">
      <w:pPr>
        <w:pStyle w:val="Nadpis3"/>
      </w:pPr>
      <w:bookmarkStart w:id="22" w:name="_Toc100576176"/>
      <w:r>
        <w:t>Způsobilost výdajů</w:t>
      </w:r>
      <w:bookmarkEnd w:id="22"/>
    </w:p>
    <w:p w14:paraId="475C7765" w14:textId="77777777" w:rsidR="00AF2CF5" w:rsidRDefault="00AF2CF5" w:rsidP="00AF2CF5">
      <w:r>
        <w:t>Způsobilost výdajů se rozlišuje ze dvou základní pohledů:</w:t>
      </w:r>
    </w:p>
    <w:p w14:paraId="306A4B1B" w14:textId="57CB6693" w:rsidR="00AF2CF5" w:rsidRDefault="00AF2CF5" w:rsidP="0049336B">
      <w:pPr>
        <w:pStyle w:val="Odstavecseseznamem"/>
        <w:numPr>
          <w:ilvl w:val="0"/>
          <w:numId w:val="18"/>
        </w:numPr>
      </w:pPr>
      <w:r>
        <w:t>způsobilost vyplývají ze zákona o SFDI a případně dalších legislativních předpisů, pravidel, uzavřených smluv. Pokud je nějaký výdaj nezpůsobilý, nelze ho proplatit z rozpočtu SFDI;</w:t>
      </w:r>
    </w:p>
    <w:p w14:paraId="07055906" w14:textId="0F0AD09C" w:rsidR="00AF2CF5" w:rsidRPr="0036060D" w:rsidRDefault="00AF2CF5" w:rsidP="0049336B">
      <w:pPr>
        <w:pStyle w:val="Odstavecseseznamem"/>
        <w:numPr>
          <w:ilvl w:val="0"/>
          <w:numId w:val="18"/>
        </w:numPr>
      </w:pPr>
      <w:r>
        <w:t>rozlišení způsobilosti u akcí spolufinancovaných z prostředků EU. Nezpůsobilé náklady v těchto případech nemohou být spolufinancovány z EU, nicméně mohou být proplaceny z rozpočtu SFDI, splňují-li podmínku uvedenou v bodě 1.</w:t>
      </w:r>
    </w:p>
    <w:p w14:paraId="01A4E71E" w14:textId="51B87F23" w:rsidR="00CB6FFC" w:rsidRDefault="00CB6FFC" w:rsidP="007C5532">
      <w:pPr>
        <w:pStyle w:val="Nadpis2"/>
      </w:pPr>
      <w:bookmarkStart w:id="23" w:name="_Toc100576177"/>
      <w:r>
        <w:t>Podepisování dokumentů</w:t>
      </w:r>
      <w:bookmarkEnd w:id="23"/>
    </w:p>
    <w:p w14:paraId="2CEF8865" w14:textId="77777777" w:rsidR="007C5532" w:rsidRDefault="007C5532" w:rsidP="007C5532">
      <w:pPr>
        <w:rPr>
          <w:rFonts w:cs="Arial"/>
        </w:rPr>
      </w:pPr>
      <w:r>
        <w:rPr>
          <w:rFonts w:cs="Arial"/>
        </w:rPr>
        <w:t>Všechny dokumenty ve vztahu k Fondu musí podepisovat statutární zástupce nebo pověřená osoba.</w:t>
      </w:r>
    </w:p>
    <w:p w14:paraId="7C505611" w14:textId="77777777" w:rsidR="007C5532" w:rsidRDefault="007C5532" w:rsidP="007C5532">
      <w:pPr>
        <w:pStyle w:val="Nadpis3"/>
      </w:pPr>
      <w:bookmarkStart w:id="24" w:name="_Toc100576178"/>
      <w:r>
        <w:t>Co se podepisuje</w:t>
      </w:r>
      <w:bookmarkEnd w:id="24"/>
    </w:p>
    <w:p w14:paraId="3102C00A" w14:textId="6F3F6BF0" w:rsidR="007C5532" w:rsidRPr="008F2884" w:rsidRDefault="007C5532" w:rsidP="007C5532">
      <w:pPr>
        <w:rPr>
          <w:rFonts w:cs="Arial"/>
        </w:rPr>
      </w:pPr>
      <w:r w:rsidRPr="008F2884">
        <w:rPr>
          <w:rFonts w:cs="Arial"/>
        </w:rPr>
        <w:t>Podepisuje se vždy soubor ve formátu .</w:t>
      </w:r>
      <w:proofErr w:type="spellStart"/>
      <w:r w:rsidRPr="008F2884">
        <w:rPr>
          <w:rFonts w:cs="Arial"/>
        </w:rPr>
        <w:t>pdf</w:t>
      </w:r>
      <w:proofErr w:type="spellEnd"/>
      <w:r w:rsidRPr="008F2884">
        <w:rPr>
          <w:rFonts w:cs="Arial"/>
        </w:rPr>
        <w:t>. Pokud příjemce zasílá dokum</w:t>
      </w:r>
      <w:r>
        <w:rPr>
          <w:rFonts w:cs="Arial"/>
        </w:rPr>
        <w:t>en</w:t>
      </w:r>
      <w:r w:rsidRPr="008F2884">
        <w:rPr>
          <w:rFonts w:cs="Arial"/>
        </w:rPr>
        <w:t>ty, které jsou na straně</w:t>
      </w:r>
      <w:r w:rsidR="005D6108">
        <w:rPr>
          <w:rFonts w:cs="Arial"/>
        </w:rPr>
        <w:t xml:space="preserve"> SFDI</w:t>
      </w:r>
      <w:r w:rsidRPr="008F2884">
        <w:rPr>
          <w:rFonts w:cs="Arial"/>
        </w:rPr>
        <w:t xml:space="preserve"> určeny k dalšímu zpracování (načítání), pak podepisuje pouze průvodní dopis.</w:t>
      </w:r>
    </w:p>
    <w:p w14:paraId="518E0ED5" w14:textId="77777777" w:rsidR="007C5532" w:rsidRDefault="007C5532" w:rsidP="007C5532">
      <w:pPr>
        <w:rPr>
          <w:rFonts w:cs="Arial"/>
        </w:rPr>
      </w:pPr>
      <w:r>
        <w:rPr>
          <w:rFonts w:cs="Arial"/>
        </w:rPr>
        <w:t>Příklady typů dokumentů (červeně vyznačeny dokumenty, kde je vyžadován podpis):</w:t>
      </w:r>
    </w:p>
    <w:tbl>
      <w:tblPr>
        <w:tblStyle w:val="Mkatabulky"/>
        <w:tblW w:w="0" w:type="auto"/>
        <w:tblLook w:val="04A0" w:firstRow="1" w:lastRow="0" w:firstColumn="1" w:lastColumn="0" w:noHBand="0" w:noVBand="1"/>
      </w:tblPr>
      <w:tblGrid>
        <w:gridCol w:w="2802"/>
        <w:gridCol w:w="6378"/>
      </w:tblGrid>
      <w:tr w:rsidR="007C5532" w:rsidRPr="002E29F0" w14:paraId="4840C62C" w14:textId="77777777" w:rsidTr="00B64655">
        <w:tc>
          <w:tcPr>
            <w:tcW w:w="2802" w:type="dxa"/>
          </w:tcPr>
          <w:p w14:paraId="51DBDAFE" w14:textId="77777777" w:rsidR="007C5532" w:rsidRPr="002E29F0" w:rsidRDefault="007C5532" w:rsidP="00B64655">
            <w:pPr>
              <w:rPr>
                <w:rFonts w:cs="Arial"/>
                <w:b/>
                <w:bCs/>
              </w:rPr>
            </w:pPr>
            <w:r w:rsidRPr="002E29F0">
              <w:rPr>
                <w:rFonts w:cs="Arial"/>
                <w:b/>
                <w:bCs/>
              </w:rPr>
              <w:t>Typ</w:t>
            </w:r>
            <w:r>
              <w:rPr>
                <w:rFonts w:cs="Arial"/>
                <w:b/>
                <w:bCs/>
              </w:rPr>
              <w:t xml:space="preserve"> písemnosti</w:t>
            </w:r>
          </w:p>
        </w:tc>
        <w:tc>
          <w:tcPr>
            <w:tcW w:w="6378" w:type="dxa"/>
          </w:tcPr>
          <w:p w14:paraId="7A6D2566" w14:textId="77777777" w:rsidR="007C5532" w:rsidRPr="002E29F0" w:rsidRDefault="007C5532" w:rsidP="00B64655">
            <w:pPr>
              <w:rPr>
                <w:rFonts w:cs="Arial"/>
                <w:b/>
                <w:bCs/>
              </w:rPr>
            </w:pPr>
            <w:r w:rsidRPr="002E29F0">
              <w:rPr>
                <w:rFonts w:cs="Arial"/>
                <w:b/>
                <w:bCs/>
              </w:rPr>
              <w:t>Obsah</w:t>
            </w:r>
          </w:p>
        </w:tc>
      </w:tr>
      <w:tr w:rsidR="007C5532" w14:paraId="65E11065" w14:textId="77777777" w:rsidTr="00B64655">
        <w:tc>
          <w:tcPr>
            <w:tcW w:w="2802" w:type="dxa"/>
          </w:tcPr>
          <w:p w14:paraId="77FF533B" w14:textId="77777777" w:rsidR="007C5532" w:rsidRDefault="007C5532" w:rsidP="00B64655">
            <w:pPr>
              <w:rPr>
                <w:rFonts w:cs="Arial"/>
              </w:rPr>
            </w:pPr>
            <w:r>
              <w:rPr>
                <w:rFonts w:cs="Arial"/>
              </w:rPr>
              <w:t>Smlouvy/Dodatky</w:t>
            </w:r>
          </w:p>
        </w:tc>
        <w:tc>
          <w:tcPr>
            <w:tcW w:w="6378" w:type="dxa"/>
          </w:tcPr>
          <w:p w14:paraId="1929090E" w14:textId="77777777" w:rsidR="007C5532" w:rsidRDefault="007C5532" w:rsidP="00B64655">
            <w:pPr>
              <w:rPr>
                <w:rFonts w:cs="Arial"/>
              </w:rPr>
            </w:pPr>
            <w:r>
              <w:rPr>
                <w:rFonts w:cs="Arial"/>
              </w:rPr>
              <w:t>Průvodní dopis</w:t>
            </w:r>
          </w:p>
          <w:p w14:paraId="564D130F" w14:textId="77777777" w:rsidR="007C5532" w:rsidRDefault="007C5532" w:rsidP="00B64655">
            <w:pPr>
              <w:rPr>
                <w:rFonts w:cs="Arial"/>
              </w:rPr>
            </w:pPr>
            <w:r w:rsidRPr="00E67F32">
              <w:rPr>
                <w:rFonts w:cs="Arial"/>
                <w:color w:val="FF0000"/>
              </w:rPr>
              <w:t>Smlouva/Dodatek</w:t>
            </w:r>
          </w:p>
        </w:tc>
      </w:tr>
      <w:tr w:rsidR="007C5532" w14:paraId="03783173" w14:textId="77777777" w:rsidTr="00B64655">
        <w:tc>
          <w:tcPr>
            <w:tcW w:w="2802" w:type="dxa"/>
          </w:tcPr>
          <w:p w14:paraId="063EECC1" w14:textId="77777777" w:rsidR="007C5532" w:rsidRDefault="007C5532" w:rsidP="00B64655">
            <w:pPr>
              <w:rPr>
                <w:rFonts w:cs="Arial"/>
              </w:rPr>
            </w:pPr>
            <w:r>
              <w:rPr>
                <w:rFonts w:cs="Arial"/>
              </w:rPr>
              <w:lastRenderedPageBreak/>
              <w:t>Žádost o RO/ZŘ</w:t>
            </w:r>
          </w:p>
        </w:tc>
        <w:tc>
          <w:tcPr>
            <w:tcW w:w="6378" w:type="dxa"/>
          </w:tcPr>
          <w:p w14:paraId="370D5778" w14:textId="77777777" w:rsidR="007C5532" w:rsidRPr="00E67F32" w:rsidRDefault="007C5532" w:rsidP="00B64655">
            <w:pPr>
              <w:rPr>
                <w:rFonts w:cs="Arial"/>
                <w:color w:val="FF0000"/>
              </w:rPr>
            </w:pPr>
            <w:r w:rsidRPr="00E67F32">
              <w:rPr>
                <w:rFonts w:cs="Arial"/>
                <w:color w:val="FF0000"/>
              </w:rPr>
              <w:t>Průvodní dopis</w:t>
            </w:r>
          </w:p>
          <w:p w14:paraId="15E168A5" w14:textId="77777777" w:rsidR="007C5532" w:rsidRDefault="007C5532" w:rsidP="00B64655">
            <w:pPr>
              <w:rPr>
                <w:rFonts w:cs="Arial"/>
              </w:rPr>
            </w:pPr>
            <w:r>
              <w:rPr>
                <w:rFonts w:cs="Arial"/>
              </w:rPr>
              <w:t xml:space="preserve">Formulář návrhu RO/ZŘ (ve formátu </w:t>
            </w:r>
            <w:proofErr w:type="spellStart"/>
            <w:r>
              <w:rPr>
                <w:rFonts w:cs="Arial"/>
              </w:rPr>
              <w:t>xls</w:t>
            </w:r>
            <w:proofErr w:type="spellEnd"/>
            <w:r>
              <w:rPr>
                <w:rFonts w:cs="Arial"/>
              </w:rPr>
              <w:t>)</w:t>
            </w:r>
          </w:p>
        </w:tc>
      </w:tr>
      <w:tr w:rsidR="007C5532" w14:paraId="577102E4" w14:textId="77777777" w:rsidTr="00B64655">
        <w:tc>
          <w:tcPr>
            <w:tcW w:w="2802" w:type="dxa"/>
          </w:tcPr>
          <w:p w14:paraId="350DC266" w14:textId="77777777" w:rsidR="007C5532" w:rsidRDefault="007C5532" w:rsidP="00B64655">
            <w:pPr>
              <w:rPr>
                <w:rFonts w:cs="Arial"/>
              </w:rPr>
            </w:pPr>
            <w:r>
              <w:rPr>
                <w:rFonts w:cs="Arial"/>
              </w:rPr>
              <w:t>Požadavky/Přeúčtování</w:t>
            </w:r>
          </w:p>
        </w:tc>
        <w:tc>
          <w:tcPr>
            <w:tcW w:w="6378" w:type="dxa"/>
          </w:tcPr>
          <w:p w14:paraId="6BE790AE" w14:textId="77777777" w:rsidR="007C5532" w:rsidRPr="00E67F32" w:rsidRDefault="007C5532" w:rsidP="00B64655">
            <w:pPr>
              <w:rPr>
                <w:rFonts w:cs="Arial"/>
                <w:color w:val="FF0000"/>
              </w:rPr>
            </w:pPr>
            <w:r w:rsidRPr="00E67F32">
              <w:rPr>
                <w:rFonts w:cs="Arial"/>
                <w:color w:val="FF0000"/>
              </w:rPr>
              <w:t>Průvodní dopis</w:t>
            </w:r>
          </w:p>
          <w:p w14:paraId="2DA643F2" w14:textId="77777777" w:rsidR="007C5532" w:rsidRDefault="007C5532" w:rsidP="00B64655">
            <w:pPr>
              <w:rPr>
                <w:rFonts w:cs="Arial"/>
              </w:rPr>
            </w:pPr>
            <w:r>
              <w:rPr>
                <w:rFonts w:cs="Arial"/>
              </w:rPr>
              <w:t>Soupiska faktur/</w:t>
            </w:r>
            <w:proofErr w:type="spellStart"/>
            <w:r>
              <w:rPr>
                <w:rFonts w:cs="Arial"/>
              </w:rPr>
              <w:t>xml</w:t>
            </w:r>
            <w:proofErr w:type="spellEnd"/>
            <w:r>
              <w:rPr>
                <w:rFonts w:cs="Arial"/>
              </w:rPr>
              <w:t xml:space="preserve"> nebo </w:t>
            </w:r>
            <w:proofErr w:type="spellStart"/>
            <w:r>
              <w:rPr>
                <w:rFonts w:cs="Arial"/>
              </w:rPr>
              <w:t>xls</w:t>
            </w:r>
            <w:proofErr w:type="spellEnd"/>
            <w:r>
              <w:rPr>
                <w:rFonts w:cs="Arial"/>
              </w:rPr>
              <w:t xml:space="preserve"> soubory</w:t>
            </w:r>
          </w:p>
          <w:p w14:paraId="5E896192" w14:textId="77777777" w:rsidR="007C5532" w:rsidRDefault="007C5532" w:rsidP="00B64655">
            <w:pPr>
              <w:rPr>
                <w:rFonts w:cs="Arial"/>
              </w:rPr>
            </w:pPr>
            <w:r>
              <w:rPr>
                <w:rFonts w:cs="Arial"/>
              </w:rPr>
              <w:t>Další přílohy (faktury, výpisy z účtu…)</w:t>
            </w:r>
          </w:p>
        </w:tc>
      </w:tr>
      <w:tr w:rsidR="007C5532" w14:paraId="75A1178D" w14:textId="77777777" w:rsidTr="00B64655">
        <w:tc>
          <w:tcPr>
            <w:tcW w:w="2802" w:type="dxa"/>
          </w:tcPr>
          <w:p w14:paraId="2588D167" w14:textId="77777777" w:rsidR="007C5532" w:rsidRDefault="007C5532" w:rsidP="00B64655">
            <w:pPr>
              <w:rPr>
                <w:rFonts w:cs="Arial"/>
              </w:rPr>
            </w:pPr>
            <w:r>
              <w:rPr>
                <w:rFonts w:cs="Arial"/>
              </w:rPr>
              <w:t>Vyúčtování</w:t>
            </w:r>
          </w:p>
        </w:tc>
        <w:tc>
          <w:tcPr>
            <w:tcW w:w="6378" w:type="dxa"/>
          </w:tcPr>
          <w:p w14:paraId="0CD61777" w14:textId="77777777" w:rsidR="007C5532" w:rsidRDefault="007C5532" w:rsidP="00B64655">
            <w:pPr>
              <w:rPr>
                <w:rFonts w:cs="Arial"/>
                <w:color w:val="FF0000"/>
              </w:rPr>
            </w:pPr>
            <w:r>
              <w:rPr>
                <w:rFonts w:cs="Arial"/>
                <w:color w:val="FF0000"/>
              </w:rPr>
              <w:t>Průvodní dopis</w:t>
            </w:r>
          </w:p>
          <w:p w14:paraId="0C4EE8CE" w14:textId="77777777" w:rsidR="007C5532" w:rsidRDefault="007C5532" w:rsidP="00B64655">
            <w:pPr>
              <w:rPr>
                <w:rFonts w:cs="Arial"/>
              </w:rPr>
            </w:pPr>
            <w:r>
              <w:rPr>
                <w:rFonts w:cs="Arial"/>
              </w:rPr>
              <w:t>Soupiska faktur/</w:t>
            </w:r>
            <w:proofErr w:type="spellStart"/>
            <w:r>
              <w:rPr>
                <w:rFonts w:cs="Arial"/>
              </w:rPr>
              <w:t>xml</w:t>
            </w:r>
            <w:proofErr w:type="spellEnd"/>
            <w:r>
              <w:rPr>
                <w:rFonts w:cs="Arial"/>
              </w:rPr>
              <w:t xml:space="preserve"> nebo </w:t>
            </w:r>
            <w:proofErr w:type="spellStart"/>
            <w:r>
              <w:rPr>
                <w:rFonts w:cs="Arial"/>
              </w:rPr>
              <w:t>xls</w:t>
            </w:r>
            <w:proofErr w:type="spellEnd"/>
            <w:r>
              <w:rPr>
                <w:rFonts w:cs="Arial"/>
              </w:rPr>
              <w:t xml:space="preserve"> soubory</w:t>
            </w:r>
          </w:p>
          <w:p w14:paraId="4A45DFA2" w14:textId="77777777" w:rsidR="007C5532" w:rsidRPr="00E67F32" w:rsidRDefault="007C5532" w:rsidP="00B64655">
            <w:pPr>
              <w:rPr>
                <w:rFonts w:cs="Arial"/>
              </w:rPr>
            </w:pPr>
            <w:r>
              <w:rPr>
                <w:rFonts w:cs="Arial"/>
              </w:rPr>
              <w:t>Další přílohy (faktury, výpisy z účtu…)</w:t>
            </w:r>
          </w:p>
        </w:tc>
      </w:tr>
      <w:tr w:rsidR="007C5532" w14:paraId="7C5D64C3" w14:textId="77777777" w:rsidTr="00B64655">
        <w:tc>
          <w:tcPr>
            <w:tcW w:w="2802" w:type="dxa"/>
          </w:tcPr>
          <w:p w14:paraId="401163EC" w14:textId="77777777" w:rsidR="007C5532" w:rsidRDefault="007C5532" w:rsidP="00B64655">
            <w:pPr>
              <w:rPr>
                <w:rFonts w:cs="Arial"/>
              </w:rPr>
            </w:pPr>
            <w:r>
              <w:rPr>
                <w:rFonts w:cs="Arial"/>
              </w:rPr>
              <w:t>ZVA</w:t>
            </w:r>
          </w:p>
        </w:tc>
        <w:tc>
          <w:tcPr>
            <w:tcW w:w="6378" w:type="dxa"/>
          </w:tcPr>
          <w:p w14:paraId="76333D8E" w14:textId="77777777" w:rsidR="007C5532" w:rsidRDefault="007C5532" w:rsidP="00B64655">
            <w:pPr>
              <w:rPr>
                <w:rFonts w:cs="Arial"/>
              </w:rPr>
            </w:pPr>
            <w:r>
              <w:rPr>
                <w:rFonts w:cs="Arial"/>
              </w:rPr>
              <w:t>Průvodní dopis</w:t>
            </w:r>
          </w:p>
          <w:p w14:paraId="26CD7536" w14:textId="77777777" w:rsidR="007C5532" w:rsidRPr="00E67F32" w:rsidRDefault="007C5532" w:rsidP="00B64655">
            <w:pPr>
              <w:rPr>
                <w:rFonts w:cs="Arial"/>
                <w:color w:val="FF0000"/>
              </w:rPr>
            </w:pPr>
            <w:r w:rsidRPr="00E67F32">
              <w:rPr>
                <w:rFonts w:cs="Arial"/>
                <w:color w:val="FF0000"/>
              </w:rPr>
              <w:t>Formulář ZVA</w:t>
            </w:r>
          </w:p>
          <w:p w14:paraId="33165F93" w14:textId="77777777" w:rsidR="007C5532" w:rsidRDefault="007C5532" w:rsidP="00B64655">
            <w:pPr>
              <w:rPr>
                <w:rFonts w:cs="Arial"/>
              </w:rPr>
            </w:pPr>
            <w:r>
              <w:rPr>
                <w:rFonts w:cs="Arial"/>
              </w:rPr>
              <w:t>Přílohy k ZVA</w:t>
            </w:r>
          </w:p>
        </w:tc>
      </w:tr>
    </w:tbl>
    <w:p w14:paraId="25EF8F4B" w14:textId="77777777" w:rsidR="007C5532" w:rsidRDefault="007C5532" w:rsidP="007C5532">
      <w:pPr>
        <w:rPr>
          <w:rFonts w:cs="Arial"/>
        </w:rPr>
      </w:pPr>
    </w:p>
    <w:p w14:paraId="7258ECDC" w14:textId="77777777" w:rsidR="007C5532" w:rsidRDefault="007C5532" w:rsidP="007C5532">
      <w:pPr>
        <w:pStyle w:val="Nadpis3"/>
      </w:pPr>
      <w:bookmarkStart w:id="25" w:name="_Toc100576179"/>
      <w:r>
        <w:t>Kdo podepisuje</w:t>
      </w:r>
      <w:bookmarkEnd w:id="25"/>
    </w:p>
    <w:p w14:paraId="5883B21A" w14:textId="034B9D28" w:rsidR="007C5532" w:rsidRDefault="007C5532" w:rsidP="007C5532">
      <w:pPr>
        <w:rPr>
          <w:rFonts w:cs="Arial"/>
          <w:noProof/>
          <w:lang w:eastAsia="cs-CZ"/>
        </w:rPr>
      </w:pPr>
      <w:r>
        <w:rPr>
          <w:rFonts w:cs="Arial"/>
        </w:rPr>
        <w:t>Statutární zástupce tedy může v rámci své organizace (</w:t>
      </w:r>
      <w:r w:rsidR="7DA468DC" w:rsidRPr="37B8571E">
        <w:rPr>
          <w:rFonts w:cs="Arial"/>
        </w:rPr>
        <w:t>PŘÍJEMCE</w:t>
      </w:r>
      <w:r>
        <w:rPr>
          <w:rFonts w:cs="Arial"/>
        </w:rPr>
        <w:t>) pověřit další osoby, které mohou podepisovat dokumenty v souvislosti se smlouvou. Pokud by statutární zástupce chtěl tuto možnost udělit i mimo svou organizaci, musí dát plnou moc statutárnímu orgánu druhé organizace (</w:t>
      </w:r>
      <w:r w:rsidR="7DA468DC" w:rsidRPr="2DB08968">
        <w:rPr>
          <w:rFonts w:cs="Arial"/>
        </w:rPr>
        <w:t>ORGANIZACE).</w:t>
      </w:r>
      <w:r>
        <w:rPr>
          <w:rFonts w:cs="Arial"/>
        </w:rPr>
        <w:t xml:space="preserve"> Ten pak v rámci své organizace může pověřit další osoby k podepisování.</w:t>
      </w:r>
    </w:p>
    <w:p w14:paraId="611AB5F0" w14:textId="2C18ED18" w:rsidR="00DF2814" w:rsidRDefault="00DF2814" w:rsidP="007C5532">
      <w:pPr>
        <w:rPr>
          <w:rFonts w:eastAsia="Calibri" w:cs="Arial"/>
          <w:lang w:eastAsia="cs-CZ"/>
        </w:rPr>
      </w:pPr>
    </w:p>
    <w:p w14:paraId="3B68E837" w14:textId="41B209A9" w:rsidR="00DF2814" w:rsidRPr="00AA1797" w:rsidRDefault="00AA1797" w:rsidP="007C5532">
      <w:pPr>
        <w:rPr>
          <w:rFonts w:cs="Arial"/>
        </w:rPr>
      </w:pPr>
      <w:r>
        <w:rPr>
          <w:rFonts w:cs="Arial"/>
          <w:noProof/>
          <w:lang w:val="en-US" w:eastAsia="cs-CZ"/>
        </w:rPr>
        <w:t>[Obrazky/Podpisy]</w:t>
      </w:r>
    </w:p>
    <w:p w14:paraId="20E071D7" w14:textId="7CB51E2C" w:rsidR="111EC644" w:rsidRDefault="111EC644" w:rsidP="111EC644">
      <w:pPr>
        <w:rPr>
          <w:rFonts w:eastAsia="Calibri" w:cs="Arial"/>
          <w:noProof/>
          <w:lang w:val="en-US" w:eastAsia="cs-CZ"/>
        </w:rPr>
      </w:pPr>
    </w:p>
    <w:p w14:paraId="4F5464CA" w14:textId="403151FF" w:rsidR="007C5532" w:rsidRDefault="3B725DDA" w:rsidP="00CE56BE">
      <w:pPr>
        <w:jc w:val="center"/>
      </w:pPr>
      <w:r>
        <w:rPr>
          <w:noProof/>
        </w:rPr>
        <w:drawing>
          <wp:inline distT="0" distB="0" distL="0" distR="0" wp14:anchorId="39721BAB" wp14:editId="47D660E3">
            <wp:extent cx="4572000" cy="3686175"/>
            <wp:effectExtent l="0" t="0" r="0" b="0"/>
            <wp:docPr id="2062267310" name="Picture 206226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3686175"/>
                    </a:xfrm>
                    <a:prstGeom prst="rect">
                      <a:avLst/>
                    </a:prstGeom>
                  </pic:spPr>
                </pic:pic>
              </a:graphicData>
            </a:graphic>
          </wp:inline>
        </w:drawing>
      </w:r>
    </w:p>
    <w:p w14:paraId="73AB6EF3" w14:textId="77777777" w:rsidR="007C5532" w:rsidRDefault="007C5532" w:rsidP="007C5532">
      <w:pPr>
        <w:pStyle w:val="Nadpis3"/>
      </w:pPr>
      <w:bookmarkStart w:id="26" w:name="_Toc100576180"/>
      <w:r>
        <w:lastRenderedPageBreak/>
        <w:t>Typy podpisu</w:t>
      </w:r>
      <w:bookmarkEnd w:id="26"/>
    </w:p>
    <w:p w14:paraId="12CC4AC1" w14:textId="77777777" w:rsidR="007C5532" w:rsidRDefault="007C5532" w:rsidP="007C5532">
      <w:pPr>
        <w:pStyle w:val="Nadpis4"/>
        <w:rPr>
          <w:rFonts w:cs="Arial"/>
        </w:rPr>
      </w:pPr>
      <w:r w:rsidRPr="009275E0">
        <w:t>Kvalifikovaný elektronický podpis a kvalifikované časové razítko</w:t>
      </w:r>
    </w:p>
    <w:p w14:paraId="425C85EF" w14:textId="77777777" w:rsidR="007C5532" w:rsidRDefault="007C5532" w:rsidP="007C5532">
      <w:pPr>
        <w:rPr>
          <w:rFonts w:cs="Arial"/>
        </w:rPr>
      </w:pPr>
      <w:r>
        <w:rPr>
          <w:rFonts w:cs="Arial"/>
        </w:rPr>
        <w:t xml:space="preserve">Kvalifikovaný elektronický podpis s připojeným časovým razítkem </w:t>
      </w:r>
      <w:r w:rsidRPr="000D3CAE">
        <w:rPr>
          <w:rFonts w:cs="Arial"/>
          <w:u w:val="single"/>
        </w:rPr>
        <w:t>musí</w:t>
      </w:r>
      <w:r>
        <w:rPr>
          <w:rFonts w:cs="Arial"/>
        </w:rPr>
        <w:t xml:space="preserve"> v komunikaci se SFDI používat následující subjekty:</w:t>
      </w:r>
    </w:p>
    <w:p w14:paraId="728B0806" w14:textId="77777777" w:rsidR="007C5532" w:rsidRPr="00335BAC" w:rsidRDefault="007C5532" w:rsidP="007C5532">
      <w:pPr>
        <w:pStyle w:val="Odstavecseseznamem"/>
        <w:numPr>
          <w:ilvl w:val="0"/>
          <w:numId w:val="13"/>
        </w:numPr>
        <w:contextualSpacing w:val="0"/>
        <w:rPr>
          <w:rFonts w:cs="Arial"/>
          <w:szCs w:val="24"/>
        </w:rPr>
      </w:pPr>
      <w:r w:rsidRPr="00335BAC">
        <w:rPr>
          <w:rFonts w:cs="Arial"/>
          <w:szCs w:val="24"/>
        </w:rPr>
        <w:t xml:space="preserve">organizační složky státu – </w:t>
      </w:r>
      <w:r w:rsidRPr="00335BAC">
        <w:rPr>
          <w:rFonts w:cs="Arial"/>
          <w:b/>
          <w:szCs w:val="24"/>
        </w:rPr>
        <w:t>Ředitelství vodních cest ČR</w:t>
      </w:r>
      <w:r w:rsidRPr="00335BAC">
        <w:rPr>
          <w:rFonts w:cs="Arial"/>
          <w:szCs w:val="24"/>
        </w:rPr>
        <w:t>,</w:t>
      </w:r>
    </w:p>
    <w:p w14:paraId="5ABFC517" w14:textId="77777777" w:rsidR="007C5532" w:rsidRPr="00335BAC" w:rsidRDefault="007C5532" w:rsidP="007C5532">
      <w:pPr>
        <w:pStyle w:val="Odstavecseseznamem"/>
        <w:numPr>
          <w:ilvl w:val="0"/>
          <w:numId w:val="13"/>
        </w:numPr>
        <w:contextualSpacing w:val="0"/>
        <w:rPr>
          <w:rFonts w:cs="Arial"/>
          <w:szCs w:val="24"/>
        </w:rPr>
      </w:pPr>
      <w:r w:rsidRPr="00335BAC">
        <w:rPr>
          <w:rFonts w:cs="Arial"/>
          <w:szCs w:val="24"/>
        </w:rPr>
        <w:t xml:space="preserve">státní příspěvkové organizace – </w:t>
      </w:r>
      <w:r w:rsidRPr="00335BAC">
        <w:rPr>
          <w:rFonts w:cs="Arial"/>
          <w:b/>
          <w:szCs w:val="24"/>
        </w:rPr>
        <w:t>Ředitelství silnic a dálnic ČR</w:t>
      </w:r>
      <w:r w:rsidRPr="00335BAC">
        <w:rPr>
          <w:rFonts w:cs="Arial"/>
          <w:szCs w:val="24"/>
        </w:rPr>
        <w:t>,</w:t>
      </w:r>
    </w:p>
    <w:p w14:paraId="09F8E763" w14:textId="77777777" w:rsidR="007C5532" w:rsidRPr="00335BAC" w:rsidRDefault="007C5532" w:rsidP="007C5532">
      <w:pPr>
        <w:pStyle w:val="Odstavecseseznamem"/>
        <w:numPr>
          <w:ilvl w:val="0"/>
          <w:numId w:val="13"/>
        </w:numPr>
        <w:contextualSpacing w:val="0"/>
        <w:rPr>
          <w:rFonts w:cs="Arial"/>
          <w:szCs w:val="24"/>
        </w:rPr>
      </w:pPr>
      <w:r w:rsidRPr="00335BAC">
        <w:rPr>
          <w:rFonts w:cs="Arial"/>
          <w:szCs w:val="24"/>
        </w:rPr>
        <w:t xml:space="preserve">státní podniky – </w:t>
      </w:r>
      <w:r w:rsidRPr="00335BAC">
        <w:rPr>
          <w:rFonts w:cs="Arial"/>
          <w:b/>
          <w:szCs w:val="24"/>
        </w:rPr>
        <w:t>státní podniky Povodí</w:t>
      </w:r>
      <w:r w:rsidRPr="00335BAC">
        <w:rPr>
          <w:rFonts w:cs="Arial"/>
          <w:szCs w:val="24"/>
        </w:rPr>
        <w:t>,</w:t>
      </w:r>
    </w:p>
    <w:p w14:paraId="2CD18740" w14:textId="77777777" w:rsidR="007C5532" w:rsidRPr="00335BAC" w:rsidRDefault="007C5532" w:rsidP="007C5532">
      <w:pPr>
        <w:pStyle w:val="Odstavecseseznamem"/>
        <w:numPr>
          <w:ilvl w:val="0"/>
          <w:numId w:val="13"/>
        </w:numPr>
        <w:contextualSpacing w:val="0"/>
        <w:rPr>
          <w:rFonts w:cs="Arial"/>
          <w:szCs w:val="24"/>
        </w:rPr>
      </w:pPr>
      <w:r w:rsidRPr="00335BAC">
        <w:rPr>
          <w:rFonts w:cs="Arial"/>
          <w:szCs w:val="24"/>
        </w:rPr>
        <w:t xml:space="preserve">územní samosprávné celky – </w:t>
      </w:r>
      <w:r w:rsidRPr="00335BAC">
        <w:rPr>
          <w:rFonts w:cs="Arial"/>
          <w:b/>
          <w:szCs w:val="24"/>
        </w:rPr>
        <w:t>kraje a obce</w:t>
      </w:r>
      <w:r w:rsidRPr="00335BAC">
        <w:rPr>
          <w:rFonts w:cs="Arial"/>
          <w:szCs w:val="24"/>
        </w:rPr>
        <w:t>,</w:t>
      </w:r>
    </w:p>
    <w:p w14:paraId="7D3E6442" w14:textId="77777777" w:rsidR="007C5532" w:rsidRPr="00335BAC" w:rsidRDefault="007C5532" w:rsidP="007C5532">
      <w:pPr>
        <w:pStyle w:val="Odstavecseseznamem"/>
        <w:numPr>
          <w:ilvl w:val="0"/>
          <w:numId w:val="13"/>
        </w:numPr>
        <w:contextualSpacing w:val="0"/>
        <w:rPr>
          <w:rFonts w:cs="Arial"/>
          <w:szCs w:val="24"/>
        </w:rPr>
      </w:pPr>
      <w:r w:rsidRPr="00335BAC">
        <w:rPr>
          <w:rFonts w:cs="Arial"/>
          <w:szCs w:val="24"/>
        </w:rPr>
        <w:t xml:space="preserve">organizační složky územních samosprávných celků – </w:t>
      </w:r>
      <w:r w:rsidRPr="00335BAC">
        <w:rPr>
          <w:rFonts w:cs="Arial"/>
          <w:b/>
          <w:szCs w:val="24"/>
        </w:rPr>
        <w:t>krajské SÚS</w:t>
      </w:r>
      <w:r w:rsidRPr="00335BAC">
        <w:rPr>
          <w:rFonts w:cs="Arial"/>
          <w:szCs w:val="24"/>
        </w:rPr>
        <w:t>,</w:t>
      </w:r>
    </w:p>
    <w:p w14:paraId="5D993927" w14:textId="77777777" w:rsidR="007C5532" w:rsidRPr="00335BAC" w:rsidRDefault="007C5532" w:rsidP="007C5532">
      <w:pPr>
        <w:pStyle w:val="Odstavecseseznamem"/>
        <w:numPr>
          <w:ilvl w:val="0"/>
          <w:numId w:val="13"/>
        </w:numPr>
        <w:contextualSpacing w:val="0"/>
        <w:rPr>
          <w:rFonts w:cs="Arial"/>
          <w:szCs w:val="24"/>
        </w:rPr>
      </w:pPr>
      <w:r w:rsidRPr="00335BAC">
        <w:rPr>
          <w:rFonts w:cs="Arial"/>
          <w:szCs w:val="24"/>
        </w:rPr>
        <w:t xml:space="preserve">právnické osoby zřízené nebo založené územními samosprávnými celky – </w:t>
      </w:r>
      <w:r>
        <w:rPr>
          <w:rFonts w:cs="Arial"/>
          <w:szCs w:val="24"/>
        </w:rPr>
        <w:t>Dopravní podniky měst/obcí, které byly městem/obcí založeny</w:t>
      </w:r>
      <w:r w:rsidRPr="00335BAC">
        <w:rPr>
          <w:rFonts w:cs="Arial"/>
          <w:szCs w:val="24"/>
        </w:rPr>
        <w:t>,</w:t>
      </w:r>
    </w:p>
    <w:p w14:paraId="5A326CB3" w14:textId="77777777" w:rsidR="007C5532" w:rsidRPr="00335BAC" w:rsidRDefault="007C5532" w:rsidP="007C5532">
      <w:pPr>
        <w:pStyle w:val="Odstavecseseznamem"/>
        <w:numPr>
          <w:ilvl w:val="0"/>
          <w:numId w:val="13"/>
        </w:numPr>
        <w:contextualSpacing w:val="0"/>
        <w:rPr>
          <w:rFonts w:cs="Arial"/>
          <w:sz w:val="20"/>
        </w:rPr>
      </w:pPr>
      <w:r w:rsidRPr="00335BAC">
        <w:rPr>
          <w:rFonts w:cs="Arial"/>
          <w:szCs w:val="24"/>
        </w:rPr>
        <w:t xml:space="preserve">právnické osoby zřízené zákonem – </w:t>
      </w:r>
      <w:r w:rsidRPr="00335BAC">
        <w:rPr>
          <w:rFonts w:cs="Arial"/>
          <w:b/>
          <w:szCs w:val="24"/>
        </w:rPr>
        <w:t xml:space="preserve">Správa železniční a dopravní cesty, </w:t>
      </w:r>
      <w:proofErr w:type="spellStart"/>
      <w:r w:rsidRPr="00335BAC">
        <w:rPr>
          <w:rFonts w:cs="Arial"/>
          <w:b/>
          <w:szCs w:val="24"/>
        </w:rPr>
        <w:t>s.o</w:t>
      </w:r>
      <w:proofErr w:type="spellEnd"/>
      <w:r w:rsidRPr="00335BAC">
        <w:rPr>
          <w:rFonts w:cs="Arial"/>
          <w:b/>
          <w:szCs w:val="24"/>
        </w:rPr>
        <w:t>.</w:t>
      </w:r>
    </w:p>
    <w:p w14:paraId="5B80FF91" w14:textId="77777777" w:rsidR="007C5532" w:rsidRPr="000D3CAE" w:rsidRDefault="007C5532" w:rsidP="007C5532">
      <w:pPr>
        <w:pStyle w:val="Odstavecseseznamem"/>
        <w:numPr>
          <w:ilvl w:val="0"/>
          <w:numId w:val="13"/>
        </w:numPr>
        <w:rPr>
          <w:rFonts w:cs="Arial"/>
        </w:rPr>
      </w:pPr>
      <w:r w:rsidRPr="000D3CAE">
        <w:rPr>
          <w:rFonts w:cs="Arial"/>
          <w:szCs w:val="24"/>
        </w:rPr>
        <w:t xml:space="preserve">právnické osoby zřízené nebo založené státem – </w:t>
      </w:r>
      <w:r w:rsidRPr="000D3CAE">
        <w:rPr>
          <w:rFonts w:cs="Arial"/>
          <w:b/>
          <w:szCs w:val="24"/>
        </w:rPr>
        <w:t>Centrum dopravního výzkumu</w:t>
      </w:r>
      <w:r w:rsidRPr="000D3CAE">
        <w:rPr>
          <w:rFonts w:cs="Arial"/>
          <w:szCs w:val="24"/>
        </w:rPr>
        <w:t>.</w:t>
      </w:r>
    </w:p>
    <w:p w14:paraId="7ED95722" w14:textId="77777777" w:rsidR="007C5532" w:rsidRDefault="007C5532" w:rsidP="007C5532">
      <w:pPr>
        <w:rPr>
          <w:rFonts w:cs="Arial"/>
        </w:rPr>
      </w:pPr>
      <w:r>
        <w:rPr>
          <w:rFonts w:cs="Arial"/>
        </w:rPr>
        <w:t>Podepisovaný dokument musí být ve formátu .</w:t>
      </w:r>
      <w:proofErr w:type="spellStart"/>
      <w:r>
        <w:rPr>
          <w:rFonts w:cs="Arial"/>
        </w:rPr>
        <w:t>pdf</w:t>
      </w:r>
      <w:proofErr w:type="spellEnd"/>
      <w:r>
        <w:rPr>
          <w:rFonts w:cs="Arial"/>
        </w:rPr>
        <w:t>. Elektronický podpis musí splňovat všechny dále uvedené náležitosti:</w:t>
      </w:r>
    </w:p>
    <w:p w14:paraId="72F09E0C" w14:textId="77777777" w:rsidR="007C5532" w:rsidRDefault="007C5532" w:rsidP="007C5532">
      <w:pPr>
        <w:pStyle w:val="Odstavecseseznamem"/>
        <w:numPr>
          <w:ilvl w:val="0"/>
          <w:numId w:val="14"/>
        </w:numPr>
        <w:rPr>
          <w:rFonts w:cs="Arial"/>
        </w:rPr>
      </w:pPr>
      <w:r>
        <w:rPr>
          <w:rFonts w:cs="Arial"/>
        </w:rPr>
        <w:t>p</w:t>
      </w:r>
      <w:r w:rsidRPr="000D3CAE">
        <w:rPr>
          <w:rFonts w:cs="Arial"/>
        </w:rPr>
        <w:t>odpis musí být kvalifikovaný a certifikát podpisu musí splňovat podmínky dle nařízení č. 910/2014, příloha I</w:t>
      </w:r>
      <w:r>
        <w:rPr>
          <w:rFonts w:cs="Arial"/>
        </w:rPr>
        <w:t>.;</w:t>
      </w:r>
    </w:p>
    <w:p w14:paraId="13EC2561" w14:textId="77777777" w:rsidR="007C5532" w:rsidRPr="000D3CAE" w:rsidRDefault="007C5532" w:rsidP="007C5532">
      <w:pPr>
        <w:pStyle w:val="Odstavecseseznamem"/>
        <w:numPr>
          <w:ilvl w:val="0"/>
          <w:numId w:val="14"/>
        </w:numPr>
        <w:rPr>
          <w:rFonts w:cs="Arial"/>
        </w:rPr>
      </w:pPr>
      <w:r>
        <w:rPr>
          <w:rFonts w:cs="Arial"/>
        </w:rPr>
        <w:t>m</w:t>
      </w:r>
      <w:r w:rsidRPr="000D3CAE">
        <w:rPr>
          <w:rFonts w:cs="Arial"/>
        </w:rPr>
        <w:t xml:space="preserve">usí být použita akceptovatelná úroveň podpisu </w:t>
      </w:r>
      <w:proofErr w:type="spellStart"/>
      <w:r w:rsidRPr="000D3CAE">
        <w:rPr>
          <w:rFonts w:cs="Arial"/>
        </w:rPr>
        <w:t>PAdEeS</w:t>
      </w:r>
      <w:proofErr w:type="spellEnd"/>
      <w:r w:rsidRPr="000D3CAE">
        <w:rPr>
          <w:rFonts w:cs="Arial"/>
        </w:rPr>
        <w:t xml:space="preserve">: </w:t>
      </w:r>
      <w:r w:rsidRPr="000D3CAE">
        <w:rPr>
          <w:rFonts w:cs="Arial"/>
          <w:b/>
        </w:rPr>
        <w:t>B-T, B-LT, B-LTA</w:t>
      </w:r>
      <w:r>
        <w:rPr>
          <w:rFonts w:cs="Arial"/>
          <w:b/>
        </w:rPr>
        <w:t>;</w:t>
      </w:r>
    </w:p>
    <w:p w14:paraId="6562A6D2" w14:textId="77777777" w:rsidR="007C5532" w:rsidRDefault="007C5532" w:rsidP="007C5532">
      <w:pPr>
        <w:pStyle w:val="Odstavecseseznamem"/>
        <w:numPr>
          <w:ilvl w:val="0"/>
          <w:numId w:val="14"/>
        </w:numPr>
        <w:rPr>
          <w:rFonts w:cs="Arial"/>
        </w:rPr>
      </w:pPr>
      <w:r>
        <w:rPr>
          <w:rFonts w:cs="Arial"/>
        </w:rPr>
        <w:t>p</w:t>
      </w:r>
      <w:r w:rsidRPr="000D3CAE">
        <w:rPr>
          <w:rFonts w:cs="Arial"/>
        </w:rPr>
        <w:t>ři podpisu musí být použit kvalifikovaný prostředek (token)</w:t>
      </w:r>
      <w:r>
        <w:rPr>
          <w:rFonts w:cs="Arial"/>
        </w:rPr>
        <w:t>;</w:t>
      </w:r>
    </w:p>
    <w:p w14:paraId="14A6A30E" w14:textId="77777777" w:rsidR="007C5532" w:rsidRDefault="007C5532" w:rsidP="007C5532">
      <w:pPr>
        <w:pStyle w:val="Odstavecseseznamem"/>
        <w:numPr>
          <w:ilvl w:val="0"/>
          <w:numId w:val="14"/>
        </w:numPr>
        <w:rPr>
          <w:rFonts w:cs="Arial"/>
        </w:rPr>
      </w:pPr>
      <w:r>
        <w:rPr>
          <w:rFonts w:cs="Arial"/>
        </w:rPr>
        <w:t>p</w:t>
      </w:r>
      <w:r w:rsidRPr="000D3CAE">
        <w:rPr>
          <w:rFonts w:cs="Arial"/>
        </w:rPr>
        <w:t>ři podpisu musí být použito časové razítko</w:t>
      </w:r>
      <w:r>
        <w:rPr>
          <w:rFonts w:cs="Arial"/>
        </w:rPr>
        <w:t>.</w:t>
      </w:r>
    </w:p>
    <w:p w14:paraId="57C9FE9E" w14:textId="77777777" w:rsidR="007C5532" w:rsidRDefault="007C5532" w:rsidP="00E90F50">
      <w:pPr>
        <w:pStyle w:val="Nadpis4"/>
        <w:rPr>
          <w:rFonts w:cs="Arial"/>
        </w:rPr>
      </w:pPr>
      <w:r w:rsidRPr="000D3CAE">
        <w:t>Uznávaný elektronický podpis (bez časového razítka)</w:t>
      </w:r>
    </w:p>
    <w:p w14:paraId="7B39C584" w14:textId="77777777" w:rsidR="007C5532" w:rsidRDefault="007C5532" w:rsidP="007C5532">
      <w:pPr>
        <w:rPr>
          <w:rFonts w:cs="Arial"/>
          <w:szCs w:val="24"/>
        </w:rPr>
      </w:pPr>
      <w:r>
        <w:rPr>
          <w:rFonts w:cs="Arial"/>
        </w:rPr>
        <w:t xml:space="preserve">Uznávaný elektronický podpis bez připojeného časového razítka </w:t>
      </w:r>
      <w:r w:rsidRPr="0059236E">
        <w:rPr>
          <w:rFonts w:cs="Arial"/>
          <w:u w:val="single"/>
        </w:rPr>
        <w:t>musí</w:t>
      </w:r>
      <w:r>
        <w:rPr>
          <w:rFonts w:cs="Arial"/>
        </w:rPr>
        <w:t xml:space="preserve"> v </w:t>
      </w:r>
      <w:r w:rsidRPr="0059236E">
        <w:rPr>
          <w:rFonts w:cs="Arial"/>
        </w:rPr>
        <w:t>komunikac</w:t>
      </w:r>
      <w:r>
        <w:rPr>
          <w:rFonts w:cs="Arial"/>
        </w:rPr>
        <w:t xml:space="preserve">i se SFDI používat </w:t>
      </w:r>
      <w:r>
        <w:rPr>
          <w:rFonts w:cs="Arial"/>
          <w:szCs w:val="24"/>
        </w:rPr>
        <w:t>ostatní s</w:t>
      </w:r>
      <w:r w:rsidRPr="00335BAC">
        <w:rPr>
          <w:rFonts w:cs="Arial"/>
          <w:szCs w:val="24"/>
        </w:rPr>
        <w:t xml:space="preserve">ubjekty, které právně jednají vůči SFDI, a jiný právní předpis vyžaduje jejich podepsání – svazky obcí, občanská sdružení, a.s., </w:t>
      </w:r>
      <w:r>
        <w:rPr>
          <w:rFonts w:cs="Arial"/>
          <w:szCs w:val="24"/>
        </w:rPr>
        <w:t>s.r.o., v.o.s., sdružení obcí.</w:t>
      </w:r>
    </w:p>
    <w:p w14:paraId="20259B40" w14:textId="2339308A" w:rsidR="00D11D98" w:rsidRDefault="003A6E25" w:rsidP="007C5532">
      <w:pPr>
        <w:rPr>
          <w:rFonts w:cs="Arial"/>
          <w:szCs w:val="24"/>
        </w:rPr>
      </w:pPr>
      <w:r>
        <w:rPr>
          <w:rFonts w:cs="Arial"/>
          <w:szCs w:val="24"/>
        </w:rPr>
        <w:t>V</w:t>
      </w:r>
      <w:r w:rsidR="00726C9F">
        <w:rPr>
          <w:rFonts w:cs="Arial"/>
          <w:szCs w:val="24"/>
        </w:rPr>
        <w:t xml:space="preserve"> praxi tedy nelze vůči SFDI využít </w:t>
      </w:r>
      <w:r w:rsidR="00CD3B77">
        <w:rPr>
          <w:rFonts w:cs="Arial"/>
          <w:szCs w:val="24"/>
        </w:rPr>
        <w:t>fikci podpisu dokume</w:t>
      </w:r>
      <w:r w:rsidR="00CC6546">
        <w:rPr>
          <w:rFonts w:cs="Arial"/>
          <w:szCs w:val="24"/>
        </w:rPr>
        <w:t>n</w:t>
      </w:r>
      <w:r w:rsidR="00CD3B77">
        <w:rPr>
          <w:rFonts w:cs="Arial"/>
          <w:szCs w:val="24"/>
        </w:rPr>
        <w:t>tů, u kterých je v pravidlech/metodických pokynech výslovně napsáno, že mají být pod</w:t>
      </w:r>
      <w:r w:rsidR="00CC6546">
        <w:rPr>
          <w:rFonts w:cs="Arial"/>
          <w:szCs w:val="24"/>
        </w:rPr>
        <w:t>ep</w:t>
      </w:r>
      <w:r w:rsidR="00CD3B77">
        <w:rPr>
          <w:rFonts w:cs="Arial"/>
          <w:szCs w:val="24"/>
        </w:rPr>
        <w:t>sané</w:t>
      </w:r>
    </w:p>
    <w:p w14:paraId="725B5C26" w14:textId="77777777" w:rsidR="007C5532" w:rsidRDefault="007C5532" w:rsidP="007C5532">
      <w:pPr>
        <w:rPr>
          <w:rFonts w:cs="Arial"/>
        </w:rPr>
      </w:pPr>
      <w:r>
        <w:rPr>
          <w:rFonts w:cs="Arial"/>
        </w:rPr>
        <w:t>Podepisovaný dokument musí být ve formátu .</w:t>
      </w:r>
      <w:proofErr w:type="spellStart"/>
      <w:r>
        <w:rPr>
          <w:rFonts w:cs="Arial"/>
        </w:rPr>
        <w:t>pdf</w:t>
      </w:r>
      <w:proofErr w:type="spellEnd"/>
      <w:r>
        <w:rPr>
          <w:rFonts w:cs="Arial"/>
        </w:rPr>
        <w:t>. Elektronický podpis musí splňovat všechny dále uvedené náležitosti:</w:t>
      </w:r>
    </w:p>
    <w:p w14:paraId="35EB201B" w14:textId="77777777" w:rsidR="007C5532" w:rsidRDefault="007C5532" w:rsidP="007C5532">
      <w:pPr>
        <w:pStyle w:val="Odstavecseseznamem"/>
        <w:numPr>
          <w:ilvl w:val="0"/>
          <w:numId w:val="14"/>
        </w:numPr>
        <w:rPr>
          <w:rFonts w:cs="Arial"/>
        </w:rPr>
      </w:pPr>
      <w:r>
        <w:rPr>
          <w:rFonts w:cs="Arial"/>
        </w:rPr>
        <w:t>p</w:t>
      </w:r>
      <w:r w:rsidRPr="000D3CAE">
        <w:rPr>
          <w:rFonts w:cs="Arial"/>
        </w:rPr>
        <w:t>odpis musí být kvalifikovaný a certifikát podpisu musí splňovat podmínky dle nařízení č. 910/2014, příloha I</w:t>
      </w:r>
      <w:r>
        <w:rPr>
          <w:rFonts w:cs="Arial"/>
        </w:rPr>
        <w:t>.;</w:t>
      </w:r>
    </w:p>
    <w:p w14:paraId="52CC9B46" w14:textId="46D222F7" w:rsidR="00E145F7" w:rsidRPr="00614CD8" w:rsidRDefault="007C5532" w:rsidP="00517D15">
      <w:pPr>
        <w:pStyle w:val="Odstavecseseznamem"/>
        <w:numPr>
          <w:ilvl w:val="0"/>
          <w:numId w:val="14"/>
        </w:numPr>
        <w:rPr>
          <w:rFonts w:cs="Arial"/>
        </w:rPr>
      </w:pPr>
      <w:r>
        <w:rPr>
          <w:rFonts w:cs="Arial"/>
        </w:rPr>
        <w:t>m</w:t>
      </w:r>
      <w:r w:rsidRPr="000D3CAE">
        <w:rPr>
          <w:rFonts w:cs="Arial"/>
        </w:rPr>
        <w:t xml:space="preserve">usí být použita akceptovatelná úroveň podpisu </w:t>
      </w:r>
      <w:proofErr w:type="spellStart"/>
      <w:r w:rsidRPr="000D3CAE">
        <w:rPr>
          <w:rFonts w:cs="Arial"/>
        </w:rPr>
        <w:t>PAdEeS</w:t>
      </w:r>
      <w:proofErr w:type="spellEnd"/>
      <w:r w:rsidRPr="000D3CAE">
        <w:rPr>
          <w:rFonts w:cs="Arial"/>
        </w:rPr>
        <w:t xml:space="preserve">: </w:t>
      </w:r>
      <w:r>
        <w:rPr>
          <w:rFonts w:cs="Arial"/>
          <w:b/>
        </w:rPr>
        <w:t>B-B a vyšší.</w:t>
      </w:r>
    </w:p>
    <w:p w14:paraId="629F54E6" w14:textId="77777777" w:rsidR="005E68DF" w:rsidRDefault="005E68DF" w:rsidP="00A97926">
      <w:pPr>
        <w:pStyle w:val="Nadpis2"/>
      </w:pPr>
      <w:bookmarkStart w:id="27" w:name="_Toc100576181"/>
      <w:r w:rsidRPr="00A97926">
        <w:t>Jak</w:t>
      </w:r>
      <w:r>
        <w:t xml:space="preserve"> vyplňovat formuláře</w:t>
      </w:r>
      <w:bookmarkEnd w:id="27"/>
    </w:p>
    <w:p w14:paraId="1588E67B" w14:textId="73E41535" w:rsidR="005E68DF" w:rsidRDefault="005E68DF" w:rsidP="005E68DF">
      <w:pPr>
        <w:rPr>
          <w:rFonts w:cs="Arial"/>
        </w:rPr>
      </w:pPr>
      <w:r>
        <w:rPr>
          <w:rFonts w:cs="Arial"/>
        </w:rPr>
        <w:t>Všechny formuláře SFDI, které příjemce vyplňuje, jsou postaveny na stejném principu. Formuláře obsahují vždy záhlaví, prostřednictvím kterého je identifikován příjemce (název, IČO) a soubor, který je načítán.</w:t>
      </w:r>
    </w:p>
    <w:p w14:paraId="3FFEB7E1" w14:textId="77777777" w:rsidR="005E68DF" w:rsidRDefault="005E68DF" w:rsidP="005E68DF">
      <w:pPr>
        <w:rPr>
          <w:rFonts w:cs="Arial"/>
        </w:rPr>
      </w:pPr>
      <w:r>
        <w:rPr>
          <w:rFonts w:cs="Arial"/>
        </w:rPr>
        <w:t xml:space="preserve">Pak formulář obsahuje hlavní tabulku s načítanými daty. Tabulka nesmí být svévolně měněna, protože by pak nešla načíst. Lze pouze přidávat řádky. V souboru nesmí být žádné skryté řádky, ani vyplněné ani nevyplněné. Systém při načítání neumí přeskakovat skryté řádky. Pokud budou vyplněné, pak se načtou i tato data. Pokud budou prázdné a budou </w:t>
      </w:r>
      <w:r>
        <w:rPr>
          <w:rFonts w:cs="Arial"/>
        </w:rPr>
        <w:lastRenderedPageBreak/>
        <w:t>následovat ihned po záhlaví tabulky, tak systém bude považovat načítaný soubor za prázdný.</w:t>
      </w:r>
    </w:p>
    <w:p w14:paraId="29E0F93F" w14:textId="77777777" w:rsidR="005E68DF" w:rsidRDefault="005E68DF" w:rsidP="005E68DF">
      <w:pPr>
        <w:rPr>
          <w:rFonts w:cs="Arial"/>
        </w:rPr>
      </w:pPr>
      <w:r>
        <w:rPr>
          <w:rFonts w:cs="Arial"/>
        </w:rPr>
        <w:t>Hlavní tabulka se vždy skládá z identifikace akce (ISPROFOND, název, kód, zdroj, případně další údaje k akci) a načítaných údajů. Pro SFDI je stěžejní číslo ISPROFOND, kód a zdroj akce. Změna kódu a zdroje akce znamená provedení rozpočtové změny.</w:t>
      </w:r>
    </w:p>
    <w:p w14:paraId="36C6BCCE" w14:textId="77777777" w:rsidR="005E68DF" w:rsidRDefault="005E68DF" w:rsidP="005E68DF">
      <w:pPr>
        <w:rPr>
          <w:rFonts w:cs="Arial"/>
        </w:rPr>
      </w:pPr>
      <w:r>
        <w:rPr>
          <w:rFonts w:cs="Arial"/>
        </w:rPr>
        <w:t>Údaje se rozlišují na rozhodující ukazatele a orientační ukazatele (odst. 4.2.4 Pravidel). Rozhodující ukazatele nelze jen tak měnit. Jedná se o ISPROFOND, název akce, kód akce a schválená částka pro daný rok. Orientační ukazatele jsou druh financování, celkové náklady, realizace. Tyto orientační ukazatele mohou být měněny prostřednictvím formuláře pro RO/ZŘ.</w:t>
      </w:r>
    </w:p>
    <w:p w14:paraId="0145F94A" w14:textId="77777777" w:rsidR="005E68DF" w:rsidRPr="003D2C52" w:rsidRDefault="005E68DF" w:rsidP="005E68DF">
      <w:pPr>
        <w:rPr>
          <w:rFonts w:cs="Arial"/>
        </w:rPr>
      </w:pPr>
      <w:r>
        <w:rPr>
          <w:rFonts w:cs="Arial"/>
        </w:rPr>
        <w:t>Příjemci může být na požádání vygenerována šablona se všemi akcemi a údaji vedenými u SFDI. Příjemce pak může pouze aktualizovat údaje, zadat rozpočtovou změnu nebo zadat novou akci.</w:t>
      </w:r>
    </w:p>
    <w:p w14:paraId="7479462D" w14:textId="77777777" w:rsidR="005E68DF" w:rsidRDefault="005E68DF" w:rsidP="005E68DF">
      <w:pPr>
        <w:pStyle w:val="Nadpis3"/>
      </w:pPr>
      <w:bookmarkStart w:id="28" w:name="_Toc100576182"/>
      <w:r>
        <w:t>Rozpočtové opaření/změnové řízení</w:t>
      </w:r>
      <w:bookmarkEnd w:id="28"/>
    </w:p>
    <w:p w14:paraId="6B861253" w14:textId="77777777" w:rsidR="005E68DF" w:rsidRPr="00E13878" w:rsidRDefault="005E68DF" w:rsidP="00793612">
      <w:pPr>
        <w:pStyle w:val="Nadpis4"/>
      </w:pPr>
      <w:r>
        <w:t>Záhlaví formuláře</w:t>
      </w:r>
    </w:p>
    <w:p w14:paraId="1179E7C7" w14:textId="77777777" w:rsidR="005E68DF" w:rsidRDefault="005E68DF" w:rsidP="005E68DF">
      <w:pPr>
        <w:rPr>
          <w:rFonts w:cs="Arial"/>
        </w:rPr>
      </w:pPr>
      <w:r>
        <w:rPr>
          <w:noProof/>
          <w:lang w:eastAsia="cs-CZ"/>
        </w:rPr>
        <w:drawing>
          <wp:inline distT="0" distB="0" distL="0" distR="0" wp14:anchorId="68536FF9" wp14:editId="63FB9B1E">
            <wp:extent cx="5114925" cy="1641951"/>
            <wp:effectExtent l="0" t="0" r="0" b="0"/>
            <wp:docPr id="110" name="Obrázek 110"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Obrázek 110" descr="Obsah obrázku stůl&#10;&#10;Popis byl vytvořen automaticky"/>
                    <pic:cNvPicPr/>
                  </pic:nvPicPr>
                  <pic:blipFill rotWithShape="1">
                    <a:blip r:embed="rId13"/>
                    <a:srcRect l="7611" t="35000" r="53189" b="42630"/>
                    <a:stretch/>
                  </pic:blipFill>
                  <pic:spPr bwMode="auto">
                    <a:xfrm>
                      <a:off x="0" y="0"/>
                      <a:ext cx="5122001" cy="1644222"/>
                    </a:xfrm>
                    <a:prstGeom prst="rect">
                      <a:avLst/>
                    </a:prstGeom>
                    <a:ln>
                      <a:noFill/>
                    </a:ln>
                    <a:extLst>
                      <a:ext uri="{53640926-AAD7-44D8-BBD7-CCE9431645EC}">
                        <a14:shadowObscured xmlns:a14="http://schemas.microsoft.com/office/drawing/2010/main"/>
                      </a:ext>
                    </a:extLst>
                  </pic:spPr>
                </pic:pic>
              </a:graphicData>
            </a:graphic>
          </wp:inline>
        </w:drawing>
      </w:r>
    </w:p>
    <w:p w14:paraId="0CBD66E2" w14:textId="77777777" w:rsidR="005E68DF" w:rsidRDefault="005E68DF" w:rsidP="005E68DF">
      <w:pPr>
        <w:rPr>
          <w:rFonts w:cs="Arial"/>
        </w:rPr>
      </w:pPr>
      <w:r>
        <w:rPr>
          <w:rFonts w:cs="Arial"/>
        </w:rPr>
        <w:t>IČO musí být zadáno přesně, je to identifikátor, podle kterého se v našem systému dohledává, ke komu má být načteno RO/ZŘ.</w:t>
      </w:r>
    </w:p>
    <w:p w14:paraId="5920984F" w14:textId="77777777" w:rsidR="005E68DF" w:rsidRDefault="005E68DF" w:rsidP="005E68DF">
      <w:pPr>
        <w:rPr>
          <w:rFonts w:cs="Arial"/>
        </w:rPr>
      </w:pPr>
      <w:r>
        <w:rPr>
          <w:rFonts w:cs="Arial"/>
        </w:rPr>
        <w:t xml:space="preserve">Číslo RO/ZŘ je </w:t>
      </w:r>
      <w:r w:rsidRPr="00E13878">
        <w:rPr>
          <w:rFonts w:cs="Arial"/>
        </w:rPr>
        <w:t>jedinečné pořadové číslo změny v rozpočtovém roce (např. dvoučíslí aktuálního roku a dvoumístné pořadové číslo změny v roce)</w:t>
      </w:r>
      <w:r>
        <w:rPr>
          <w:rFonts w:cs="Arial"/>
        </w:rPr>
        <w:t>, tj. každý soubor musí mít své číslo.</w:t>
      </w:r>
    </w:p>
    <w:p w14:paraId="527FEEFB" w14:textId="77777777" w:rsidR="005E68DF" w:rsidRDefault="005E68DF" w:rsidP="005E68DF">
      <w:pPr>
        <w:rPr>
          <w:rFonts w:cs="Arial"/>
        </w:rPr>
      </w:pPr>
      <w:r>
        <w:rPr>
          <w:rFonts w:cs="Arial"/>
        </w:rPr>
        <w:t>Rozpočtový rok je aktuální rok.</w:t>
      </w:r>
    </w:p>
    <w:p w14:paraId="10FFFCB0" w14:textId="77777777" w:rsidR="005E68DF" w:rsidRDefault="005E68DF" w:rsidP="00793612">
      <w:pPr>
        <w:pStyle w:val="Nadpis4"/>
      </w:pPr>
      <w:r>
        <w:t>Identifikační údaje o akci</w:t>
      </w:r>
    </w:p>
    <w:p w14:paraId="478D95D3" w14:textId="77777777" w:rsidR="005E68DF" w:rsidRDefault="005E68DF" w:rsidP="005E68DF">
      <w:pPr>
        <w:rPr>
          <w:rFonts w:cs="Arial"/>
        </w:rPr>
      </w:pPr>
      <w:r w:rsidRPr="00E13878">
        <w:rPr>
          <w:noProof/>
          <w:lang w:eastAsia="cs-CZ"/>
        </w:rPr>
        <w:drawing>
          <wp:inline distT="0" distB="0" distL="0" distR="0" wp14:anchorId="467AC1D0" wp14:editId="6E6A2253">
            <wp:extent cx="5760720" cy="90482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904825"/>
                    </a:xfrm>
                    <a:prstGeom prst="rect">
                      <a:avLst/>
                    </a:prstGeom>
                    <a:noFill/>
                    <a:ln>
                      <a:noFill/>
                    </a:ln>
                  </pic:spPr>
                </pic:pic>
              </a:graphicData>
            </a:graphic>
          </wp:inline>
        </w:drawing>
      </w:r>
    </w:p>
    <w:p w14:paraId="1DB987BC" w14:textId="77777777" w:rsidR="005E68DF" w:rsidRPr="00460653" w:rsidRDefault="005E68DF" w:rsidP="005E68DF">
      <w:pPr>
        <w:rPr>
          <w:rFonts w:cs="Arial"/>
        </w:rPr>
      </w:pPr>
      <w:r>
        <w:rPr>
          <w:rFonts w:cs="Arial"/>
        </w:rPr>
        <w:t xml:space="preserve">Evidenční číslo = číslo ISPROFOND. Pokud akce nemá přiděleno číslo ISPROFOND, musí se požádat na adresu </w:t>
      </w:r>
      <w:hyperlink r:id="rId15" w:history="1">
        <w:r w:rsidRPr="00CF0F6B">
          <w:rPr>
            <w:rStyle w:val="Hypertextovodkaz"/>
            <w:rFonts w:cs="Arial"/>
          </w:rPr>
          <w:t>tomas.jandl</w:t>
        </w:r>
        <w:r w:rsidRPr="007563FE">
          <w:rPr>
            <w:rStyle w:val="Hypertextovodkaz"/>
            <w:rFonts w:cs="Arial"/>
          </w:rPr>
          <w:t>@</w:t>
        </w:r>
        <w:r w:rsidRPr="00CF0F6B">
          <w:rPr>
            <w:rStyle w:val="Hypertextovodkaz"/>
            <w:rFonts w:cs="Arial"/>
          </w:rPr>
          <w:t>sfdi.cz</w:t>
        </w:r>
      </w:hyperlink>
      <w:r>
        <w:rPr>
          <w:rFonts w:cs="Arial"/>
        </w:rPr>
        <w:t xml:space="preserve"> o jeho přidělení.</w:t>
      </w:r>
    </w:p>
    <w:p w14:paraId="71990718" w14:textId="77777777" w:rsidR="005E68DF" w:rsidRDefault="005E68DF" w:rsidP="005E68DF">
      <w:pPr>
        <w:rPr>
          <w:rFonts w:cs="Arial"/>
        </w:rPr>
      </w:pPr>
      <w:r>
        <w:rPr>
          <w:rFonts w:cs="Arial"/>
        </w:rPr>
        <w:t xml:space="preserve">Kód 50 je </w:t>
      </w:r>
      <w:proofErr w:type="spellStart"/>
      <w:r>
        <w:rPr>
          <w:rFonts w:cs="Arial"/>
        </w:rPr>
        <w:t>neinvestice</w:t>
      </w:r>
      <w:proofErr w:type="spellEnd"/>
      <w:r>
        <w:rPr>
          <w:rFonts w:cs="Arial"/>
        </w:rPr>
        <w:t xml:space="preserve">, 60 pro investice. Nelze použít finanční prostředky investiční na </w:t>
      </w:r>
      <w:proofErr w:type="spellStart"/>
      <w:r>
        <w:rPr>
          <w:rFonts w:cs="Arial"/>
        </w:rPr>
        <w:t>neinvestice</w:t>
      </w:r>
      <w:proofErr w:type="spellEnd"/>
      <w:r>
        <w:rPr>
          <w:rFonts w:cs="Arial"/>
        </w:rPr>
        <w:t xml:space="preserve"> a naopak.</w:t>
      </w:r>
    </w:p>
    <w:p w14:paraId="16B20EB8" w14:textId="77777777" w:rsidR="005E68DF" w:rsidRDefault="005E68DF" w:rsidP="005E68DF">
      <w:pPr>
        <w:rPr>
          <w:rFonts w:cs="Arial"/>
        </w:rPr>
      </w:pPr>
      <w:r>
        <w:rPr>
          <w:rFonts w:cs="Arial"/>
        </w:rPr>
        <w:t>Zdroj většinou označení 1, pro každý rok mohou být specifické zdroje. Význam zdrojů je pak uveden v legendě.</w:t>
      </w:r>
    </w:p>
    <w:p w14:paraId="47EB6B01" w14:textId="77777777" w:rsidR="005E68DF" w:rsidRDefault="005E68DF" w:rsidP="005E68DF">
      <w:pPr>
        <w:rPr>
          <w:rFonts w:cs="Arial"/>
        </w:rPr>
      </w:pPr>
      <w:r>
        <w:rPr>
          <w:rFonts w:cs="Arial"/>
        </w:rPr>
        <w:lastRenderedPageBreak/>
        <w:t>D – označení typu akce/ infrastruktury. Jedná se o údaj, který příjemce uvádí při žádosti o číslo ISPROFOND a nemůže být svévolně měněn. Seznam všech přípustných hodnot a jejich význam je uveden v legendě k formuláři.</w:t>
      </w:r>
    </w:p>
    <w:p w14:paraId="2D74EE1D" w14:textId="77777777" w:rsidR="005E68DF" w:rsidRDefault="005E68DF" w:rsidP="005E68DF">
      <w:pPr>
        <w:rPr>
          <w:rFonts w:cs="Arial"/>
        </w:rPr>
      </w:pPr>
      <w:r>
        <w:rPr>
          <w:rFonts w:cs="Arial"/>
        </w:rPr>
        <w:t>T – druh financování. V případě HMP mohou nastávat standardně hodnoty N a G. N je národní akce (hrazena pouze z národních prostředků) a G je globální položka.</w:t>
      </w:r>
    </w:p>
    <w:p w14:paraId="79DFA5D3" w14:textId="77777777" w:rsidR="005E68DF" w:rsidRDefault="005E68DF" w:rsidP="005E68DF">
      <w:pPr>
        <w:rPr>
          <w:rFonts w:cs="Arial"/>
        </w:rPr>
      </w:pPr>
      <w:r>
        <w:rPr>
          <w:rFonts w:cs="Arial"/>
        </w:rPr>
        <w:t xml:space="preserve">Stav akce se odvíjí od hodnoty druh financování. Pro národní akce mohou nastávat hodnoty </w:t>
      </w:r>
      <w:r w:rsidRPr="00460653">
        <w:rPr>
          <w:rFonts w:cs="Arial"/>
        </w:rPr>
        <w:t xml:space="preserve">R, R-D, </w:t>
      </w:r>
      <w:proofErr w:type="spellStart"/>
      <w:r w:rsidRPr="00460653">
        <w:rPr>
          <w:rFonts w:cs="Arial"/>
        </w:rPr>
        <w:t>Rxx</w:t>
      </w:r>
      <w:proofErr w:type="spellEnd"/>
      <w:r w:rsidRPr="00460653">
        <w:rPr>
          <w:rFonts w:cs="Arial"/>
        </w:rPr>
        <w:t>, U2</w:t>
      </w:r>
      <w:r>
        <w:rPr>
          <w:rFonts w:cs="Arial"/>
        </w:rPr>
        <w:t xml:space="preserve">. Pro globální položky mohou nastávat hodnoty </w:t>
      </w:r>
      <w:r w:rsidRPr="00460653">
        <w:rPr>
          <w:rFonts w:cs="Arial"/>
        </w:rPr>
        <w:t>G, GP, GS, GPS</w:t>
      </w:r>
      <w:r>
        <w:rPr>
          <w:rFonts w:cs="Arial"/>
        </w:rPr>
        <w:t>. Stav akce může být měněn prostřednictvím formuláře RO/ZŘ. Význam stavu akce pro globální položky byl již uveden v předcházejících kapitolách.</w:t>
      </w:r>
    </w:p>
    <w:p w14:paraId="13E980F2" w14:textId="77777777" w:rsidR="005E68DF" w:rsidRDefault="005E68DF" w:rsidP="000F7BC7">
      <w:pPr>
        <w:jc w:val="left"/>
        <w:rPr>
          <w:rFonts w:cs="Arial"/>
        </w:rPr>
      </w:pPr>
      <w:r>
        <w:rPr>
          <w:rFonts w:cs="Arial"/>
        </w:rPr>
        <w:t>Hodnoty stavu akce:</w:t>
      </w:r>
      <w:r>
        <w:rPr>
          <w:rFonts w:cs="Arial"/>
        </w:rPr>
        <w:br/>
        <w:t>R = v realizaci</w:t>
      </w:r>
      <w:r>
        <w:rPr>
          <w:rFonts w:cs="Arial"/>
        </w:rPr>
        <w:br/>
        <w:t>R-D = doplatek, nebo se předpokládá zprovoznění v aktuálním roce</w:t>
      </w:r>
      <w:r>
        <w:rPr>
          <w:rFonts w:cs="Arial"/>
        </w:rPr>
        <w:br/>
      </w:r>
      <w:proofErr w:type="spellStart"/>
      <w:r>
        <w:rPr>
          <w:rFonts w:cs="Arial"/>
        </w:rPr>
        <w:t>Rxx</w:t>
      </w:r>
      <w:proofErr w:type="spellEnd"/>
      <w:r>
        <w:rPr>
          <w:rFonts w:cs="Arial"/>
        </w:rPr>
        <w:t xml:space="preserve"> = akce s předpokládaným zahájením v roce </w:t>
      </w:r>
      <w:proofErr w:type="spellStart"/>
      <w:r>
        <w:rPr>
          <w:rFonts w:cs="Arial"/>
        </w:rPr>
        <w:t>xx</w:t>
      </w:r>
      <w:proofErr w:type="spellEnd"/>
    </w:p>
    <w:p w14:paraId="00048FF8" w14:textId="77777777" w:rsidR="005E68DF" w:rsidRDefault="005E68DF" w:rsidP="005E68DF">
      <w:pPr>
        <w:rPr>
          <w:rFonts w:cs="Arial"/>
        </w:rPr>
      </w:pPr>
      <w:r>
        <w:rPr>
          <w:rFonts w:cs="Arial"/>
        </w:rPr>
        <w:t>Název akce se musí shodovat s názvem v knihovně akcí, tj. s názvem, který byl uveden při žádosti o ISPROFOND.</w:t>
      </w:r>
    </w:p>
    <w:p w14:paraId="4A13DE95" w14:textId="77777777" w:rsidR="005E68DF" w:rsidRDefault="005E68DF" w:rsidP="005E68DF">
      <w:pPr>
        <w:rPr>
          <w:rFonts w:cs="Arial"/>
        </w:rPr>
      </w:pPr>
      <w:r>
        <w:rPr>
          <w:rFonts w:cs="Arial"/>
        </w:rPr>
        <w:t xml:space="preserve">Celkem akce odpovídá u jmenovitých akcí celkovým nákladům na realizaci celé akce. U globálních položek odpovídá celkovým nákladům všech </w:t>
      </w:r>
      <w:proofErr w:type="spellStart"/>
      <w:r>
        <w:rPr>
          <w:rFonts w:cs="Arial"/>
        </w:rPr>
        <w:t>podakcí</w:t>
      </w:r>
      <w:proofErr w:type="spellEnd"/>
      <w:r>
        <w:rPr>
          <w:rFonts w:cs="Arial"/>
        </w:rPr>
        <w:t xml:space="preserve"> nebo ročnímu rozpočtu, podle toho, zda se jedná o globální položku speciální či nikoli.</w:t>
      </w:r>
    </w:p>
    <w:p w14:paraId="774ECA86" w14:textId="77777777" w:rsidR="005E68DF" w:rsidRDefault="005E68DF" w:rsidP="00793612">
      <w:pPr>
        <w:pStyle w:val="Nadpis4"/>
      </w:pPr>
      <w:r>
        <w:t>Rozpočtová změna</w:t>
      </w:r>
    </w:p>
    <w:p w14:paraId="24BC80ED" w14:textId="77777777" w:rsidR="005E68DF" w:rsidRDefault="005E68DF" w:rsidP="005E68DF">
      <w:pPr>
        <w:rPr>
          <w:rFonts w:cs="Arial"/>
        </w:rPr>
      </w:pPr>
      <w:r w:rsidRPr="00A53182">
        <w:rPr>
          <w:noProof/>
          <w:lang w:eastAsia="cs-CZ"/>
        </w:rPr>
        <w:drawing>
          <wp:inline distT="0" distB="0" distL="0" distR="0" wp14:anchorId="78B3BB37" wp14:editId="222230EE">
            <wp:extent cx="5760720" cy="986820"/>
            <wp:effectExtent l="0" t="0" r="0" b="381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986820"/>
                    </a:xfrm>
                    <a:prstGeom prst="rect">
                      <a:avLst/>
                    </a:prstGeom>
                    <a:noFill/>
                    <a:ln>
                      <a:noFill/>
                    </a:ln>
                  </pic:spPr>
                </pic:pic>
              </a:graphicData>
            </a:graphic>
          </wp:inline>
        </w:drawing>
      </w:r>
    </w:p>
    <w:p w14:paraId="6EAABC84" w14:textId="77777777" w:rsidR="005E68DF" w:rsidRDefault="005E68DF" w:rsidP="005E68DF">
      <w:pPr>
        <w:rPr>
          <w:rFonts w:cs="Arial"/>
        </w:rPr>
      </w:pPr>
      <w:r>
        <w:rPr>
          <w:rFonts w:cs="Arial"/>
        </w:rPr>
        <w:t xml:space="preserve">V části rozpočtové změny se do kolonky Upravený rozpočet uvádí aktuálně </w:t>
      </w:r>
      <w:proofErr w:type="spellStart"/>
      <w:r>
        <w:rPr>
          <w:rFonts w:cs="Arial"/>
        </w:rPr>
        <w:t>zesmluvněná</w:t>
      </w:r>
      <w:proofErr w:type="spellEnd"/>
      <w:r>
        <w:rPr>
          <w:rFonts w:cs="Arial"/>
        </w:rPr>
        <w:t xml:space="preserve"> částka, případně poslední částka rozpočtu, pokud existuje ještě </w:t>
      </w:r>
      <w:proofErr w:type="spellStart"/>
      <w:r>
        <w:rPr>
          <w:rFonts w:cs="Arial"/>
        </w:rPr>
        <w:t>nezesmluvněná</w:t>
      </w:r>
      <w:proofErr w:type="spellEnd"/>
      <w:r>
        <w:rPr>
          <w:rFonts w:cs="Arial"/>
        </w:rPr>
        <w:t xml:space="preserve"> změna rozpočtu (kvůli návaznosti změn).</w:t>
      </w:r>
    </w:p>
    <w:p w14:paraId="270F0B8A" w14:textId="77777777" w:rsidR="005E68DF" w:rsidRDefault="005E68DF" w:rsidP="005E68DF">
      <w:pPr>
        <w:rPr>
          <w:rFonts w:cs="Arial"/>
        </w:rPr>
      </w:pPr>
      <w:r>
        <w:rPr>
          <w:rFonts w:cs="Arial"/>
        </w:rPr>
        <w:t>V kolonce Návrh RO/ZŘ uvede příjemce požadovanou změnu. Kolonka Upravený rozpočet po změně se dopočítá automaticky. Částky se zadávají v tisících. Pokud potřebujete zadat částku na haléře, lze zadat formou desetinných míst.</w:t>
      </w:r>
    </w:p>
    <w:p w14:paraId="073A8314" w14:textId="77777777" w:rsidR="005E68DF" w:rsidRDefault="005E68DF" w:rsidP="005E68DF">
      <w:pPr>
        <w:rPr>
          <w:rFonts w:cs="Arial"/>
        </w:rPr>
      </w:pPr>
      <w:r>
        <w:rPr>
          <w:rFonts w:cs="Arial"/>
        </w:rPr>
        <w:t>Údaj z toho příprava je pouze informativní a vyjadřuje, kolik z poskytovaných finančních prostředků připadá na výdaje spojené s přípravou akce.</w:t>
      </w:r>
    </w:p>
    <w:p w14:paraId="6AC356DA" w14:textId="77777777" w:rsidR="005E68DF" w:rsidRDefault="005E68DF" w:rsidP="005E68DF">
      <w:pPr>
        <w:rPr>
          <w:rFonts w:cs="Arial"/>
        </w:rPr>
      </w:pPr>
      <w:r>
        <w:rPr>
          <w:rFonts w:cs="Arial"/>
        </w:rPr>
        <w:t>Do kolonek od-do se uvádí termín realizace ve formátu MM/RR.</w:t>
      </w:r>
    </w:p>
    <w:p w14:paraId="62E7D910" w14:textId="5962268C" w:rsidR="005E68DF" w:rsidRDefault="005E68DF" w:rsidP="005E68DF">
      <w:pPr>
        <w:rPr>
          <w:rFonts w:cs="Arial"/>
        </w:rPr>
      </w:pPr>
      <w:r>
        <w:rPr>
          <w:rFonts w:cs="Arial"/>
        </w:rPr>
        <w:t xml:space="preserve">Kraj je vždy </w:t>
      </w:r>
      <w:r w:rsidR="00FC24BA">
        <w:rPr>
          <w:rFonts w:cs="Arial"/>
        </w:rPr>
        <w:t xml:space="preserve">trojmístné označení kraje. Pokud akce zasahuje do více krajů, uvádí </w:t>
      </w:r>
      <w:r w:rsidR="00D81D11">
        <w:rPr>
          <w:rFonts w:cs="Arial"/>
        </w:rPr>
        <w:t>se</w:t>
      </w:r>
      <w:r w:rsidR="00FC24BA">
        <w:rPr>
          <w:rFonts w:cs="Arial"/>
        </w:rPr>
        <w:t xml:space="preserve"> zkratka BAL</w:t>
      </w:r>
      <w:r w:rsidR="00C201A4">
        <w:rPr>
          <w:rFonts w:cs="Arial"/>
        </w:rPr>
        <w:t>. O</w:t>
      </w:r>
      <w:r>
        <w:rPr>
          <w:rFonts w:cs="Arial"/>
        </w:rPr>
        <w:t>rganizační jednotka je nepovinný údaj (je využívána především ŘSD a SŽ).</w:t>
      </w:r>
    </w:p>
    <w:p w14:paraId="737F1BEB" w14:textId="77777777" w:rsidR="005E68DF" w:rsidRDefault="005E68DF" w:rsidP="005E68DF">
      <w:pPr>
        <w:rPr>
          <w:rFonts w:cs="Arial"/>
        </w:rPr>
      </w:pPr>
      <w:r>
        <w:rPr>
          <w:rFonts w:cs="Arial"/>
        </w:rPr>
        <w:t xml:space="preserve">V kolonce stručné zdůvodnění požadované změny rozpočtu musí příjemce (odst. 4.3.6) </w:t>
      </w:r>
      <w:r w:rsidRPr="003A3298">
        <w:rPr>
          <w:rFonts w:cs="Arial"/>
        </w:rPr>
        <w:t>stručně charakterizovat důvody, pro</w:t>
      </w:r>
      <w:r>
        <w:rPr>
          <w:rFonts w:cs="Arial"/>
        </w:rPr>
        <w:t xml:space="preserve"> </w:t>
      </w:r>
      <w:r w:rsidRPr="003A3298">
        <w:rPr>
          <w:rFonts w:cs="Arial"/>
        </w:rPr>
        <w:t>které</w:t>
      </w:r>
      <w:r>
        <w:rPr>
          <w:rFonts w:cs="Arial"/>
        </w:rPr>
        <w:t xml:space="preserve"> </w:t>
      </w:r>
      <w:r w:rsidRPr="003A3298">
        <w:rPr>
          <w:rFonts w:cs="Arial"/>
        </w:rPr>
        <w:t>je rozpočtové opatření/změnové řízení</w:t>
      </w:r>
      <w:r>
        <w:rPr>
          <w:rFonts w:cs="Arial"/>
        </w:rPr>
        <w:t xml:space="preserve"> </w:t>
      </w:r>
      <w:r w:rsidRPr="003A3298">
        <w:rPr>
          <w:rFonts w:cs="Arial"/>
        </w:rPr>
        <w:t>navrhováno.</w:t>
      </w:r>
      <w:r>
        <w:rPr>
          <w:rFonts w:cs="Arial"/>
        </w:rPr>
        <w:t xml:space="preserve"> </w:t>
      </w:r>
      <w:r w:rsidRPr="003A3298">
        <w:rPr>
          <w:rFonts w:cs="Arial"/>
        </w:rPr>
        <w:t>V</w:t>
      </w:r>
      <w:r>
        <w:rPr>
          <w:rFonts w:cs="Arial"/>
        </w:rPr>
        <w:t xml:space="preserve"> případě hrozících ekonomických škod</w:t>
      </w:r>
      <w:r w:rsidRPr="003A3298">
        <w:rPr>
          <w:rFonts w:cs="Arial"/>
        </w:rPr>
        <w:t xml:space="preserve"> musí zdůvodnění obsahovat</w:t>
      </w:r>
      <w:r>
        <w:rPr>
          <w:rFonts w:cs="Arial"/>
        </w:rPr>
        <w:t xml:space="preserve"> </w:t>
      </w:r>
      <w:r w:rsidRPr="003A3298">
        <w:rPr>
          <w:rFonts w:cs="Arial"/>
        </w:rPr>
        <w:t>i popsání důsledků, které nastanou, nebude-li změna provedena. Pokud žádost nebude řádně vyplněna,</w:t>
      </w:r>
      <w:r>
        <w:rPr>
          <w:rFonts w:cs="Arial"/>
        </w:rPr>
        <w:t xml:space="preserve"> </w:t>
      </w:r>
      <w:r w:rsidRPr="003A3298">
        <w:rPr>
          <w:rFonts w:cs="Arial"/>
        </w:rPr>
        <w:t>bude vrácena příjemci (žadateli) k</w:t>
      </w:r>
      <w:r>
        <w:rPr>
          <w:rFonts w:cs="Arial"/>
        </w:rPr>
        <w:t xml:space="preserve"> </w:t>
      </w:r>
      <w:r w:rsidRPr="003A3298">
        <w:rPr>
          <w:rFonts w:cs="Arial"/>
        </w:rPr>
        <w:t>dopracování.</w:t>
      </w:r>
    </w:p>
    <w:p w14:paraId="6E5EEFCB" w14:textId="77777777" w:rsidR="005E68DF" w:rsidRDefault="005E68DF" w:rsidP="00793612">
      <w:pPr>
        <w:pStyle w:val="Nadpis3"/>
      </w:pPr>
      <w:bookmarkStart w:id="29" w:name="_Toc100576183"/>
      <w:r>
        <w:lastRenderedPageBreak/>
        <w:t>Soupiska faktur</w:t>
      </w:r>
      <w:bookmarkEnd w:id="29"/>
    </w:p>
    <w:p w14:paraId="4B222E77" w14:textId="741EF0AF" w:rsidR="005E68DF" w:rsidRPr="0013150D" w:rsidRDefault="005E68DF" w:rsidP="005E68DF">
      <w:pPr>
        <w:pStyle w:val="Nzev"/>
        <w:rPr>
          <w:rFonts w:eastAsiaTheme="minorHAnsi" w:cs="Arial"/>
          <w:b w:val="0"/>
          <w:color w:val="auto"/>
          <w:spacing w:val="0"/>
          <w:kern w:val="0"/>
          <w:szCs w:val="22"/>
        </w:rPr>
      </w:pPr>
      <w:r>
        <w:rPr>
          <w:rFonts w:eastAsiaTheme="minorHAnsi" w:cs="Arial"/>
          <w:b w:val="0"/>
          <w:color w:val="auto"/>
          <w:spacing w:val="0"/>
          <w:kern w:val="0"/>
          <w:szCs w:val="22"/>
        </w:rPr>
        <w:t>Soupiska faktur je připojena k Metodickému pokynu k uvolňování, vyúčtování a vratkám</w:t>
      </w:r>
      <w:r w:rsidR="008C27F6">
        <w:rPr>
          <w:rFonts w:eastAsiaTheme="minorHAnsi" w:cs="Arial"/>
          <w:b w:val="0"/>
          <w:color w:val="auto"/>
          <w:spacing w:val="0"/>
          <w:kern w:val="0"/>
          <w:szCs w:val="22"/>
        </w:rPr>
        <w:t xml:space="preserve"> a mohou ji používat příjemci, </w:t>
      </w:r>
      <w:r w:rsidR="00162BAC">
        <w:rPr>
          <w:rFonts w:eastAsiaTheme="minorHAnsi" w:cs="Arial"/>
          <w:b w:val="0"/>
          <w:color w:val="auto"/>
          <w:spacing w:val="0"/>
          <w:kern w:val="0"/>
          <w:szCs w:val="22"/>
        </w:rPr>
        <w:t>u nichž není z rozpočtu SFDI financována nebo spolufinancována akce z EU.</w:t>
      </w:r>
      <w:r w:rsidR="008C27F6">
        <w:rPr>
          <w:rFonts w:eastAsiaTheme="minorHAnsi" w:cs="Arial"/>
          <w:b w:val="0"/>
          <w:color w:val="auto"/>
          <w:spacing w:val="0"/>
          <w:kern w:val="0"/>
          <w:szCs w:val="22"/>
        </w:rPr>
        <w:t xml:space="preserve"> </w:t>
      </w:r>
    </w:p>
    <w:p w14:paraId="795D5E79" w14:textId="77777777" w:rsidR="005E68DF" w:rsidRPr="00E13878" w:rsidRDefault="005E68DF" w:rsidP="00793612">
      <w:pPr>
        <w:pStyle w:val="Nadpis4"/>
      </w:pPr>
      <w:r>
        <w:t>Záhlaví formuláře</w:t>
      </w:r>
    </w:p>
    <w:p w14:paraId="0DFE4098" w14:textId="77777777" w:rsidR="005E68DF" w:rsidRDefault="005E68DF" w:rsidP="005E68DF">
      <w:pPr>
        <w:rPr>
          <w:rFonts w:cs="Arial"/>
        </w:rPr>
      </w:pPr>
      <w:r w:rsidRPr="00554833">
        <w:rPr>
          <w:noProof/>
          <w:lang w:eastAsia="cs-CZ"/>
        </w:rPr>
        <w:drawing>
          <wp:inline distT="0" distB="0" distL="0" distR="0" wp14:anchorId="14BBEF5C" wp14:editId="08DA482F">
            <wp:extent cx="5619750" cy="1438275"/>
            <wp:effectExtent l="0" t="0" r="0" b="9525"/>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0" cy="1438275"/>
                    </a:xfrm>
                    <a:prstGeom prst="rect">
                      <a:avLst/>
                    </a:prstGeom>
                    <a:noFill/>
                    <a:ln>
                      <a:noFill/>
                    </a:ln>
                  </pic:spPr>
                </pic:pic>
              </a:graphicData>
            </a:graphic>
          </wp:inline>
        </w:drawing>
      </w:r>
    </w:p>
    <w:p w14:paraId="6E00CBC7" w14:textId="77777777" w:rsidR="005E68DF" w:rsidRDefault="005E68DF" w:rsidP="005E68DF">
      <w:pPr>
        <w:rPr>
          <w:rFonts w:cs="Arial"/>
        </w:rPr>
      </w:pPr>
      <w:r>
        <w:rPr>
          <w:rFonts w:cs="Arial"/>
        </w:rPr>
        <w:t>IČO musí být zadáno přesně, je to identifikátor, podle kterého se v našem systému dohledává, ke komu má být načten požadavek.</w:t>
      </w:r>
    </w:p>
    <w:p w14:paraId="2F9672DA" w14:textId="51D38DC4" w:rsidR="005E68DF" w:rsidRDefault="005E68DF" w:rsidP="005E68DF">
      <w:pPr>
        <w:rPr>
          <w:rFonts w:cs="Arial"/>
        </w:rPr>
      </w:pPr>
      <w:r>
        <w:rPr>
          <w:rFonts w:cs="Arial"/>
        </w:rPr>
        <w:t xml:space="preserve">Číslo dávky je </w:t>
      </w:r>
      <w:r w:rsidRPr="00E13878">
        <w:rPr>
          <w:rFonts w:cs="Arial"/>
        </w:rPr>
        <w:t xml:space="preserve">jedinečné pořadové číslo </w:t>
      </w:r>
      <w:r>
        <w:rPr>
          <w:rFonts w:cs="Arial"/>
        </w:rPr>
        <w:t>soupisky</w:t>
      </w:r>
      <w:r w:rsidRPr="00E13878">
        <w:rPr>
          <w:rFonts w:cs="Arial"/>
        </w:rPr>
        <w:t xml:space="preserve"> </w:t>
      </w:r>
      <w:r w:rsidR="00471F0E">
        <w:rPr>
          <w:rFonts w:cs="Arial"/>
        </w:rPr>
        <w:t xml:space="preserve">příjemce </w:t>
      </w:r>
      <w:r w:rsidRPr="00E13878">
        <w:rPr>
          <w:rFonts w:cs="Arial"/>
        </w:rPr>
        <w:t>v rozpočtovém roce (např. dvoučíslí aktuálního roku a dvoumístné pořadové číslo změny v roce)</w:t>
      </w:r>
      <w:r>
        <w:rPr>
          <w:rFonts w:cs="Arial"/>
        </w:rPr>
        <w:t>, tj. každý soubor požadavku musí mít své číslo</w:t>
      </w:r>
      <w:r w:rsidR="00802CD2">
        <w:rPr>
          <w:rFonts w:cs="Arial"/>
        </w:rPr>
        <w:t xml:space="preserve"> bez ohledu na to, na </w:t>
      </w:r>
      <w:proofErr w:type="gramStart"/>
      <w:r w:rsidR="00802CD2">
        <w:rPr>
          <w:rFonts w:cs="Arial"/>
        </w:rPr>
        <w:t>základě</w:t>
      </w:r>
      <w:proofErr w:type="gramEnd"/>
      <w:r w:rsidR="00802CD2">
        <w:rPr>
          <w:rFonts w:cs="Arial"/>
        </w:rPr>
        <w:t xml:space="preserve"> které smlouvy/dodatku příjemce soupisku zasílá. </w:t>
      </w:r>
    </w:p>
    <w:p w14:paraId="39C0DBDA" w14:textId="77777777" w:rsidR="005E68DF" w:rsidRDefault="005E68DF" w:rsidP="005E68DF">
      <w:pPr>
        <w:rPr>
          <w:rFonts w:cs="Arial"/>
        </w:rPr>
      </w:pPr>
      <w:r>
        <w:rPr>
          <w:rFonts w:cs="Arial"/>
        </w:rPr>
        <w:t>V kolonce druh soupisky příjemce uvádí, zda žádá finanční prostředky, nebo zda vyúčtovává použité finanční prostředky.</w:t>
      </w:r>
    </w:p>
    <w:p w14:paraId="36BF1F0D" w14:textId="77777777" w:rsidR="005E68DF" w:rsidRDefault="005E68DF" w:rsidP="005E68DF">
      <w:pPr>
        <w:rPr>
          <w:rFonts w:cs="Arial"/>
        </w:rPr>
      </w:pPr>
      <w:r>
        <w:rPr>
          <w:rFonts w:cs="Arial"/>
        </w:rPr>
        <w:t xml:space="preserve">Kolonka kontaktní osoba </w:t>
      </w:r>
      <w:proofErr w:type="gramStart"/>
      <w:r>
        <w:rPr>
          <w:rFonts w:cs="Arial"/>
        </w:rPr>
        <w:t>slouží</w:t>
      </w:r>
      <w:proofErr w:type="gramEnd"/>
      <w:r>
        <w:rPr>
          <w:rFonts w:cs="Arial"/>
        </w:rPr>
        <w:t xml:space="preserve"> pro zadání e-mailu, na který budou chodit informace o nevyúčtovaných zálohách. Informace o nevyúčtovaných zálohách je automaticky generovaný e-mail s informací, kolik bylo proplaceno na zálohách a kolik ještě příjemce nevyúčtoval.</w:t>
      </w:r>
    </w:p>
    <w:p w14:paraId="5D16FBEE" w14:textId="77777777" w:rsidR="005E68DF" w:rsidRDefault="005E68DF" w:rsidP="005E68DF">
      <w:pPr>
        <w:pStyle w:val="Nzev"/>
      </w:pPr>
      <w:r>
        <w:t>Identifikační údaje o akci</w:t>
      </w:r>
    </w:p>
    <w:p w14:paraId="55CBBADE" w14:textId="77777777" w:rsidR="005E68DF" w:rsidRDefault="005E68DF" w:rsidP="005E68DF">
      <w:pPr>
        <w:rPr>
          <w:rFonts w:cs="Arial"/>
        </w:rPr>
      </w:pPr>
      <w:r w:rsidRPr="00AC796C">
        <w:rPr>
          <w:noProof/>
          <w:lang w:eastAsia="cs-CZ"/>
        </w:rPr>
        <w:drawing>
          <wp:inline distT="0" distB="0" distL="0" distR="0" wp14:anchorId="390FE98C" wp14:editId="327F7BB9">
            <wp:extent cx="5760720" cy="1294292"/>
            <wp:effectExtent l="0" t="0" r="0" b="127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294292"/>
                    </a:xfrm>
                    <a:prstGeom prst="rect">
                      <a:avLst/>
                    </a:prstGeom>
                    <a:noFill/>
                    <a:ln>
                      <a:noFill/>
                    </a:ln>
                  </pic:spPr>
                </pic:pic>
              </a:graphicData>
            </a:graphic>
          </wp:inline>
        </w:drawing>
      </w:r>
    </w:p>
    <w:p w14:paraId="03CCB596" w14:textId="77777777" w:rsidR="005E68DF" w:rsidRDefault="005E68DF" w:rsidP="005E68DF">
      <w:pPr>
        <w:rPr>
          <w:rFonts w:cs="Arial"/>
        </w:rPr>
      </w:pPr>
      <w:r>
        <w:rPr>
          <w:rFonts w:cs="Arial"/>
        </w:rPr>
        <w:t>ID každý záznam (řádek v soupisce) musí mít jedinečné ID v daném roce napříč soupiskami. Je na příjemci, zda si zvolí řadu od 1 do n, nebo zda bude používat nějaké své interní označení dokladů. Nicméně v situaci, kdy jedna faktura musí být rozdělena mezi dva zdroje (rozdělení do dvou řádků), musí být u každého řádku jiné ID.</w:t>
      </w:r>
    </w:p>
    <w:p w14:paraId="5F5EF449" w14:textId="77777777" w:rsidR="005E68DF" w:rsidRDefault="005E68DF" w:rsidP="005E68DF">
      <w:pPr>
        <w:rPr>
          <w:rFonts w:cs="Arial"/>
        </w:rPr>
      </w:pPr>
      <w:r>
        <w:rPr>
          <w:rFonts w:cs="Arial"/>
        </w:rPr>
        <w:t>ISPROFOND je jedinečné označení akce na úrovni rozpočtu (1. úroveň).</w:t>
      </w:r>
    </w:p>
    <w:p w14:paraId="58CE8895" w14:textId="77777777" w:rsidR="005E68DF" w:rsidRPr="00460653" w:rsidRDefault="005E68DF" w:rsidP="005E68DF">
      <w:pPr>
        <w:rPr>
          <w:rFonts w:cs="Arial"/>
        </w:rPr>
      </w:pPr>
      <w:proofErr w:type="spellStart"/>
      <w:r>
        <w:rPr>
          <w:rFonts w:cs="Arial"/>
        </w:rPr>
        <w:t>SubISPROFOND</w:t>
      </w:r>
      <w:proofErr w:type="spellEnd"/>
      <w:r>
        <w:rPr>
          <w:rFonts w:cs="Arial"/>
        </w:rPr>
        <w:t xml:space="preserve"> je jedineční označení akce zařazené v globální položce (2. úroveň). V případě, že příjemce žádá prostředky na jmenovitou akci, </w:t>
      </w:r>
      <w:proofErr w:type="spellStart"/>
      <w:r>
        <w:rPr>
          <w:rFonts w:cs="Arial"/>
        </w:rPr>
        <w:t>subISPROFOND</w:t>
      </w:r>
      <w:proofErr w:type="spellEnd"/>
      <w:r>
        <w:rPr>
          <w:rFonts w:cs="Arial"/>
        </w:rPr>
        <w:t xml:space="preserve"> se nevyplňuje. Pokud příjemce žádá finanční prostředky na </w:t>
      </w:r>
      <w:proofErr w:type="spellStart"/>
      <w:r>
        <w:rPr>
          <w:rFonts w:cs="Arial"/>
        </w:rPr>
        <w:t>podakci</w:t>
      </w:r>
      <w:proofErr w:type="spellEnd"/>
      <w:r>
        <w:rPr>
          <w:rFonts w:cs="Arial"/>
        </w:rPr>
        <w:t xml:space="preserve"> zařazenou v globální položce, musí být vyplněny ISPROFOND i </w:t>
      </w:r>
      <w:proofErr w:type="spellStart"/>
      <w:r>
        <w:rPr>
          <w:rFonts w:cs="Arial"/>
        </w:rPr>
        <w:t>SubISPROFOND</w:t>
      </w:r>
      <w:proofErr w:type="spellEnd"/>
      <w:r>
        <w:rPr>
          <w:rFonts w:cs="Arial"/>
        </w:rPr>
        <w:t>.</w:t>
      </w:r>
    </w:p>
    <w:p w14:paraId="065AA3D5" w14:textId="77777777" w:rsidR="005E68DF" w:rsidRDefault="005E68DF" w:rsidP="005E68DF">
      <w:pPr>
        <w:rPr>
          <w:rFonts w:cs="Arial"/>
        </w:rPr>
      </w:pPr>
      <w:r>
        <w:rPr>
          <w:rFonts w:cs="Arial"/>
        </w:rPr>
        <w:t xml:space="preserve">Kód 50 je </w:t>
      </w:r>
      <w:proofErr w:type="spellStart"/>
      <w:r>
        <w:rPr>
          <w:rFonts w:cs="Arial"/>
        </w:rPr>
        <w:t>neinvestice</w:t>
      </w:r>
      <w:proofErr w:type="spellEnd"/>
      <w:r>
        <w:rPr>
          <w:rFonts w:cs="Arial"/>
        </w:rPr>
        <w:t>, 60 pro investice. Pokud by u investiční akce byl zadán kód 50, nelze uvolnit finanční prostředky.</w:t>
      </w:r>
    </w:p>
    <w:p w14:paraId="5E4BE4D7" w14:textId="314C62AB" w:rsidR="005E68DF" w:rsidRDefault="00C72674" w:rsidP="005E68DF">
      <w:pPr>
        <w:rPr>
          <w:rFonts w:cs="Arial"/>
        </w:rPr>
      </w:pPr>
      <w:r>
        <w:rPr>
          <w:rFonts w:cs="Arial"/>
        </w:rPr>
        <w:lastRenderedPageBreak/>
        <w:t>Zdroje jednotlivých akcí</w:t>
      </w:r>
      <w:r w:rsidR="005E68DF">
        <w:rPr>
          <w:rFonts w:cs="Arial"/>
        </w:rPr>
        <w:t xml:space="preserve"> </w:t>
      </w:r>
      <w:r w:rsidR="00A34635">
        <w:rPr>
          <w:rFonts w:cs="Arial"/>
        </w:rPr>
        <w:t xml:space="preserve">jsou uvedeny </w:t>
      </w:r>
      <w:r w:rsidR="00000737">
        <w:rPr>
          <w:rFonts w:cs="Arial"/>
        </w:rPr>
        <w:t>v příloze</w:t>
      </w:r>
      <w:r w:rsidR="00A34635">
        <w:rPr>
          <w:rFonts w:cs="Arial"/>
        </w:rPr>
        <w:t xml:space="preserve"> </w:t>
      </w:r>
      <w:r w:rsidR="00000737">
        <w:rPr>
          <w:rFonts w:cs="Arial"/>
        </w:rPr>
        <w:t>smlouvy</w:t>
      </w:r>
      <w:r w:rsidR="00A34635">
        <w:rPr>
          <w:rFonts w:cs="Arial"/>
        </w:rPr>
        <w:t>/</w:t>
      </w:r>
      <w:r w:rsidR="00000737">
        <w:rPr>
          <w:rFonts w:cs="Arial"/>
        </w:rPr>
        <w:t xml:space="preserve">dodatku. Pokud </w:t>
      </w:r>
      <w:r w:rsidR="00632F74">
        <w:rPr>
          <w:rFonts w:cs="Arial"/>
        </w:rPr>
        <w:t>zdroj</w:t>
      </w:r>
      <w:r w:rsidR="005E68DF">
        <w:rPr>
          <w:rFonts w:cs="Arial"/>
        </w:rPr>
        <w:t xml:space="preserve"> </w:t>
      </w:r>
      <w:r w:rsidR="00632F74">
        <w:rPr>
          <w:rFonts w:cs="Arial"/>
        </w:rPr>
        <w:t>uveden není</w:t>
      </w:r>
      <w:r w:rsidR="004F7434">
        <w:rPr>
          <w:rFonts w:cs="Arial"/>
        </w:rPr>
        <w:t>, použije se</w:t>
      </w:r>
      <w:r w:rsidR="005E68DF">
        <w:rPr>
          <w:rFonts w:cs="Arial"/>
        </w:rPr>
        <w:t xml:space="preserve"> označení 1</w:t>
      </w:r>
      <w:r w:rsidR="00154B01">
        <w:rPr>
          <w:rFonts w:cs="Arial"/>
        </w:rPr>
        <w:t>.</w:t>
      </w:r>
      <w:r w:rsidR="005E68DF">
        <w:rPr>
          <w:rFonts w:cs="Arial"/>
        </w:rPr>
        <w:t xml:space="preserve"> </w:t>
      </w:r>
      <w:r w:rsidR="007F40A9">
        <w:rPr>
          <w:rFonts w:cs="Arial"/>
        </w:rPr>
        <w:t>Pro</w:t>
      </w:r>
      <w:r w:rsidR="005E68DF">
        <w:rPr>
          <w:rFonts w:cs="Arial"/>
        </w:rPr>
        <w:t xml:space="preserve"> každý rok mohou být specifické zdroje.</w:t>
      </w:r>
    </w:p>
    <w:p w14:paraId="2096EA5E" w14:textId="77777777" w:rsidR="005E68DF" w:rsidRDefault="005E68DF" w:rsidP="005E68DF">
      <w:pPr>
        <w:rPr>
          <w:rFonts w:cs="Arial"/>
        </w:rPr>
      </w:pPr>
      <w:r>
        <w:rPr>
          <w:rFonts w:cs="Arial"/>
        </w:rPr>
        <w:t>Název akce se musí shodovat s názvem v knihovně akcí, tj. s názvem, který byl uveden při žádosti o ISPROFOND.</w:t>
      </w:r>
    </w:p>
    <w:p w14:paraId="58A9DEF4" w14:textId="6F26DC53" w:rsidR="005E68DF" w:rsidRDefault="005E68DF" w:rsidP="005E68DF">
      <w:pPr>
        <w:rPr>
          <w:rFonts w:cs="Arial"/>
        </w:rPr>
      </w:pPr>
      <w:r>
        <w:rPr>
          <w:rFonts w:cs="Arial"/>
        </w:rPr>
        <w:t>Do kolonky číslo účtu příjemce se uvede číslo účtu, kam mají být odeslány finanční prostředky.</w:t>
      </w:r>
      <w:r w:rsidR="004B56C2">
        <w:rPr>
          <w:rFonts w:cs="Arial"/>
        </w:rPr>
        <w:t xml:space="preserve"> U dvojstranných smluv je to účet příjemce, u třístranných smluv je to účet zřizovatele příjemce. </w:t>
      </w:r>
    </w:p>
    <w:p w14:paraId="07DB296F" w14:textId="77777777" w:rsidR="005E68DF" w:rsidRDefault="005E68DF" w:rsidP="00793612">
      <w:pPr>
        <w:pStyle w:val="Nadpis4"/>
      </w:pPr>
      <w:r>
        <w:t>Údaje o faktuře</w:t>
      </w:r>
    </w:p>
    <w:p w14:paraId="7DD14549" w14:textId="77777777" w:rsidR="005E68DF" w:rsidRDefault="005E68DF" w:rsidP="005E68DF">
      <w:pPr>
        <w:rPr>
          <w:rFonts w:cs="Arial"/>
        </w:rPr>
      </w:pPr>
      <w:r w:rsidRPr="007A4240">
        <w:rPr>
          <w:noProof/>
          <w:lang w:eastAsia="cs-CZ"/>
        </w:rPr>
        <w:drawing>
          <wp:inline distT="0" distB="0" distL="0" distR="0" wp14:anchorId="5FBA3635" wp14:editId="05BE6C78">
            <wp:extent cx="5760720" cy="1648236"/>
            <wp:effectExtent l="0" t="0" r="0" b="9525"/>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648236"/>
                    </a:xfrm>
                    <a:prstGeom prst="rect">
                      <a:avLst/>
                    </a:prstGeom>
                    <a:noFill/>
                    <a:ln>
                      <a:noFill/>
                    </a:ln>
                  </pic:spPr>
                </pic:pic>
              </a:graphicData>
            </a:graphic>
          </wp:inline>
        </w:drawing>
      </w:r>
    </w:p>
    <w:p w14:paraId="605C0A0A" w14:textId="77777777" w:rsidR="005E68DF" w:rsidRDefault="005E68DF" w:rsidP="005E68DF">
      <w:pPr>
        <w:rPr>
          <w:rFonts w:cs="Arial"/>
        </w:rPr>
      </w:pPr>
      <w:r>
        <w:rPr>
          <w:rFonts w:cs="Arial"/>
        </w:rPr>
        <w:t>Údaje o dodavateli musí odpovídat údajům na faktuře.</w:t>
      </w:r>
    </w:p>
    <w:p w14:paraId="45F9F9AC" w14:textId="77777777" w:rsidR="005E68DF" w:rsidRDefault="005E68DF" w:rsidP="005E68DF">
      <w:pPr>
        <w:rPr>
          <w:rFonts w:cs="Arial"/>
        </w:rPr>
      </w:pPr>
      <w:r>
        <w:rPr>
          <w:rFonts w:cs="Arial"/>
        </w:rPr>
        <w:t>Variabilní symbol, většinou se shoduje s číslem faktury. Musí odpovídat VS, pod kterým budou odeslány finanční prostředky zhotoviteli.</w:t>
      </w:r>
    </w:p>
    <w:p w14:paraId="21EC25BC" w14:textId="77777777" w:rsidR="005E68DF" w:rsidRDefault="005E68DF" w:rsidP="005E68DF">
      <w:pPr>
        <w:rPr>
          <w:rFonts w:cs="Arial"/>
        </w:rPr>
      </w:pPr>
      <w:r>
        <w:rPr>
          <w:rFonts w:cs="Arial"/>
        </w:rPr>
        <w:t>Neuznatelné náklady – jedná se o náklady, které nemohou být proplaceny z prostředků SFDI a o tyto prostředky musí být požadavek na SFDI pokrácen.</w:t>
      </w:r>
    </w:p>
    <w:p w14:paraId="7B706680" w14:textId="77777777" w:rsidR="005E68DF" w:rsidRDefault="005E68DF" w:rsidP="005E68DF">
      <w:pPr>
        <w:rPr>
          <w:rFonts w:cs="Arial"/>
        </w:rPr>
      </w:pPr>
      <w:r>
        <w:rPr>
          <w:rFonts w:cs="Arial"/>
        </w:rPr>
        <w:t>Vlastní podíl – uznatelné náklady vyplňuje příjemce, pokud je mu stanovena spoluúčast a zároveň spoluúčast prokazuje podílem úhrady z faktury. O tyto prostředky se ponižuje požadavek na SFDI.</w:t>
      </w:r>
    </w:p>
    <w:p w14:paraId="22192819" w14:textId="77777777" w:rsidR="005E68DF" w:rsidRDefault="005E68DF" w:rsidP="005E68DF">
      <w:pPr>
        <w:rPr>
          <w:rFonts w:cs="Arial"/>
        </w:rPr>
      </w:pPr>
      <w:r>
        <w:rPr>
          <w:rFonts w:cs="Arial"/>
        </w:rPr>
        <w:t>Požadavek na SFDI – uznatelné náklady v Kč odpovídají finančním prostředkům, které budou odeslány příjemci na účet.</w:t>
      </w:r>
    </w:p>
    <w:p w14:paraId="3A241AA1" w14:textId="77777777" w:rsidR="005E68DF" w:rsidRDefault="005E68DF" w:rsidP="005E68DF">
      <w:pPr>
        <w:rPr>
          <w:rFonts w:cs="Arial"/>
        </w:rPr>
      </w:pPr>
      <w:r>
        <w:rPr>
          <w:rFonts w:cs="Arial"/>
        </w:rPr>
        <w:t>Splatnost faktury musí odpovídat splatnosti uvedené na faktuře. Z finančních prostředků roku „N“ nelze hradit faktury se splatností v roce „N-1“.</w:t>
      </w:r>
    </w:p>
    <w:p w14:paraId="161E5A46" w14:textId="77777777" w:rsidR="005E68DF" w:rsidRDefault="005E68DF" w:rsidP="00793612">
      <w:pPr>
        <w:pStyle w:val="Nadpis4"/>
      </w:pPr>
      <w:r>
        <w:t>Doplňující údaje</w:t>
      </w:r>
    </w:p>
    <w:p w14:paraId="2579E35B" w14:textId="77777777" w:rsidR="005E68DF" w:rsidRDefault="005E68DF" w:rsidP="005E68DF">
      <w:pPr>
        <w:rPr>
          <w:rFonts w:cs="Arial"/>
        </w:rPr>
      </w:pPr>
      <w:r w:rsidRPr="00167FFD">
        <w:rPr>
          <w:noProof/>
          <w:lang w:eastAsia="cs-CZ"/>
        </w:rPr>
        <w:drawing>
          <wp:inline distT="0" distB="0" distL="0" distR="0" wp14:anchorId="7553E991" wp14:editId="2F3465CC">
            <wp:extent cx="2700337" cy="2232070"/>
            <wp:effectExtent l="0" t="0" r="508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0337" cy="2232070"/>
                    </a:xfrm>
                    <a:prstGeom prst="rect">
                      <a:avLst/>
                    </a:prstGeom>
                    <a:noFill/>
                    <a:ln>
                      <a:noFill/>
                    </a:ln>
                  </pic:spPr>
                </pic:pic>
              </a:graphicData>
            </a:graphic>
          </wp:inline>
        </w:drawing>
      </w:r>
    </w:p>
    <w:p w14:paraId="5013EF2D" w14:textId="35192595" w:rsidR="005E68DF" w:rsidRDefault="005E68DF" w:rsidP="005E68DF">
      <w:pPr>
        <w:rPr>
          <w:rFonts w:cs="Arial"/>
        </w:rPr>
      </w:pPr>
      <w:r w:rsidRPr="443B578B">
        <w:rPr>
          <w:rFonts w:cs="Arial"/>
        </w:rPr>
        <w:lastRenderedPageBreak/>
        <w:t>Forma platby je vždy ex-ante, pokud Smlouva neuvádí jinak. Pokud je umožněna forma úhrady ex-post, je toto ve smlouvě výslovně uvedeno.</w:t>
      </w:r>
    </w:p>
    <w:p w14:paraId="27CB7860" w14:textId="77777777" w:rsidR="005E68DF" w:rsidRDefault="005E68DF" w:rsidP="005E68DF">
      <w:pPr>
        <w:rPr>
          <w:rFonts w:cs="Arial"/>
        </w:rPr>
      </w:pPr>
      <w:r>
        <w:rPr>
          <w:rFonts w:cs="Arial"/>
        </w:rPr>
        <w:t>Datum úhrady se v rámci soupisky pro uvolnění finančních prostředků a formu platby ex-ante neuvádí.</w:t>
      </w:r>
    </w:p>
    <w:p w14:paraId="43D5CB59" w14:textId="77777777" w:rsidR="005E68DF" w:rsidRDefault="005E68DF" w:rsidP="005E68DF">
      <w:pPr>
        <w:rPr>
          <w:rFonts w:cs="Arial"/>
        </w:rPr>
      </w:pPr>
      <w:r>
        <w:rPr>
          <w:rFonts w:cs="Arial"/>
        </w:rPr>
        <w:t>Všichni příjemci mají povinnost vyúčtovat poskytnuté finanční prostředky zpravidla do 15. dne kalendářního měsíce následujícího po tom, co byly finanční prostředky uvolněny. Pokud příjemce žádá na základě faktur (způsob žádání o zálohu vyplývá ze smlouvy), pro vyúčtování použije stejnou soupisku, pouze změní v záhlaví soupisky druh soupisky na vyúčtování finančních prostředků a vyplní data úhrady zhotoviteli. Soupisku spolu s výpisy z účtu zašle SFDI.</w:t>
      </w:r>
    </w:p>
    <w:p w14:paraId="7BE6F251" w14:textId="77777777" w:rsidR="005E68DF" w:rsidRDefault="005E68DF" w:rsidP="00793612">
      <w:pPr>
        <w:pStyle w:val="Nadpis3"/>
      </w:pPr>
      <w:bookmarkStart w:id="30" w:name="_Toc100576184"/>
      <w:r>
        <w:t>Oznámení o vrácení finančních prostředků</w:t>
      </w:r>
      <w:bookmarkEnd w:id="30"/>
    </w:p>
    <w:p w14:paraId="65EAF739" w14:textId="77777777" w:rsidR="005E68DF" w:rsidRDefault="005E68DF" w:rsidP="005E68DF">
      <w:pPr>
        <w:rPr>
          <w:rFonts w:cs="Arial"/>
        </w:rPr>
      </w:pPr>
      <w:r w:rsidRPr="00F45AFC">
        <w:rPr>
          <w:noProof/>
          <w:lang w:eastAsia="cs-CZ"/>
        </w:rPr>
        <w:drawing>
          <wp:inline distT="0" distB="0" distL="0" distR="0" wp14:anchorId="08322259" wp14:editId="065C5EA4">
            <wp:extent cx="5760720" cy="850325"/>
            <wp:effectExtent l="0" t="0" r="0" b="6985"/>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850325"/>
                    </a:xfrm>
                    <a:prstGeom prst="rect">
                      <a:avLst/>
                    </a:prstGeom>
                    <a:noFill/>
                    <a:ln>
                      <a:noFill/>
                    </a:ln>
                  </pic:spPr>
                </pic:pic>
              </a:graphicData>
            </a:graphic>
          </wp:inline>
        </w:drawing>
      </w:r>
    </w:p>
    <w:p w14:paraId="7C7D0114" w14:textId="71CE0413" w:rsidR="005E68DF" w:rsidRPr="00793612" w:rsidRDefault="005E68DF" w:rsidP="00793612">
      <w:pPr>
        <w:rPr>
          <w:rFonts w:cs="Arial"/>
        </w:rPr>
      </w:pPr>
      <w:r>
        <w:rPr>
          <w:rFonts w:cs="Arial"/>
        </w:rPr>
        <w:t xml:space="preserve">V případě, že příjemce vrací finanční prostředky zpět na účet SFDI, musí vždy zaslat nejpozději v den, kdy je dán příkaz k úhradě, </w:t>
      </w:r>
      <w:r w:rsidRPr="001210C2">
        <w:rPr>
          <w:rFonts w:cs="Arial"/>
          <w:color w:val="00B0F0"/>
          <w:u w:val="single"/>
        </w:rPr>
        <w:t xml:space="preserve">Oznámení o vrácení finančních prostředků </w:t>
      </w:r>
      <w:r>
        <w:rPr>
          <w:rFonts w:cs="Arial"/>
        </w:rPr>
        <w:t>(avízo), ve kterém SFDI říká, jaké prostředky vlastně vrací a proč. Vysvětlivky k jednotlivým sloupcům a hodnoty, kterých mohou nabývat, jsou uvedeny v legendě pod tabulkou. Formulář je přílohou č. 3 Metodického pokynu k uvolňováním vyúčtování a vratkám.</w:t>
      </w:r>
    </w:p>
    <w:p w14:paraId="42A9B3D3" w14:textId="43039BCE" w:rsidR="00CB6FFC" w:rsidRDefault="00CB6FFC" w:rsidP="00E145F7">
      <w:pPr>
        <w:pStyle w:val="Nadpis2"/>
      </w:pPr>
      <w:bookmarkStart w:id="31" w:name="_Toc100576185"/>
      <w:r>
        <w:t>Záměry projektů</w:t>
      </w:r>
      <w:bookmarkEnd w:id="31"/>
    </w:p>
    <w:p w14:paraId="03E77E6C" w14:textId="445BB904" w:rsidR="00614CD8" w:rsidRDefault="000A670C" w:rsidP="00614CD8">
      <w:pPr>
        <w:rPr>
          <w:rFonts w:cs="Arial"/>
        </w:rPr>
      </w:pPr>
      <w:r>
        <w:rPr>
          <w:rFonts w:cs="Arial"/>
        </w:rPr>
        <w:t>Záměr projektu je</w:t>
      </w:r>
      <w:r w:rsidR="00614CD8">
        <w:rPr>
          <w:rFonts w:cs="Arial"/>
        </w:rPr>
        <w:t xml:space="preserve"> dokumentace, která věcně a</w:t>
      </w:r>
      <w:r w:rsidR="00614CD8" w:rsidRPr="00A1477D">
        <w:rPr>
          <w:rFonts w:cs="Arial"/>
        </w:rPr>
        <w:t xml:space="preserve"> funkčně vymezuje požadavky na přípravu a realizaci akce, určuje</w:t>
      </w:r>
      <w:r w:rsidR="00614CD8">
        <w:rPr>
          <w:rFonts w:cs="Arial"/>
        </w:rPr>
        <w:t xml:space="preserve"> </w:t>
      </w:r>
      <w:r w:rsidR="00614CD8" w:rsidRPr="00A1477D">
        <w:rPr>
          <w:rFonts w:cs="Arial"/>
        </w:rPr>
        <w:t>časový a finanční průběh její přípravy a realizace, a jejíž obsah je zpracován v</w:t>
      </w:r>
      <w:r w:rsidR="00614CD8">
        <w:rPr>
          <w:rFonts w:cs="Arial"/>
        </w:rPr>
        <w:t xml:space="preserve"> </w:t>
      </w:r>
      <w:r w:rsidR="00614CD8" w:rsidRPr="00A1477D">
        <w:rPr>
          <w:rFonts w:cs="Arial"/>
        </w:rPr>
        <w:t xml:space="preserve">souladu se </w:t>
      </w:r>
      <w:r w:rsidR="00614CD8" w:rsidRPr="00841569">
        <w:rPr>
          <w:rStyle w:val="Odkazintenzivn"/>
        </w:rPr>
        <w:t>Směrnicí č. V – 2/2012</w:t>
      </w:r>
      <w:r w:rsidR="00614CD8" w:rsidRPr="00A1477D">
        <w:rPr>
          <w:rFonts w:cs="Arial"/>
        </w:rPr>
        <w:t xml:space="preserve"> upravuj</w:t>
      </w:r>
      <w:r w:rsidR="00614CD8">
        <w:rPr>
          <w:rFonts w:cs="Arial"/>
        </w:rPr>
        <w:t>ící postupy Ministerstva dopravy, investorských  organizací a SFDI</w:t>
      </w:r>
      <w:r w:rsidR="00614CD8" w:rsidRPr="00A1477D">
        <w:rPr>
          <w:rFonts w:cs="Arial"/>
        </w:rPr>
        <w:t xml:space="preserve"> v</w:t>
      </w:r>
      <w:r w:rsidR="00614CD8">
        <w:rPr>
          <w:rFonts w:cs="Arial"/>
        </w:rPr>
        <w:t xml:space="preserve"> </w:t>
      </w:r>
      <w:r w:rsidR="00614CD8" w:rsidRPr="00A1477D">
        <w:rPr>
          <w:rFonts w:cs="Arial"/>
        </w:rPr>
        <w:t>průběhu přípravy a realizace  investičních  a  neinvestičních akcí  dopravní  infrastruktury, financovaných bez účasti státního rozpočtu,</w:t>
      </w:r>
      <w:r w:rsidR="00614CD8">
        <w:rPr>
          <w:rFonts w:cs="Arial"/>
        </w:rPr>
        <w:t xml:space="preserve"> </w:t>
      </w:r>
      <w:r w:rsidR="00614CD8" w:rsidRPr="00A1477D">
        <w:rPr>
          <w:rFonts w:cs="Arial"/>
        </w:rPr>
        <w:t>v</w:t>
      </w:r>
      <w:r w:rsidR="00614CD8">
        <w:rPr>
          <w:rFonts w:cs="Arial"/>
        </w:rPr>
        <w:t> </w:t>
      </w:r>
      <w:r w:rsidR="00614CD8" w:rsidRPr="00A1477D">
        <w:rPr>
          <w:rFonts w:cs="Arial"/>
        </w:rPr>
        <w:t>platném znění,</w:t>
      </w:r>
      <w:r w:rsidR="00614CD8">
        <w:rPr>
          <w:rFonts w:cs="Arial"/>
        </w:rPr>
        <w:t xml:space="preserve"> </w:t>
      </w:r>
      <w:r w:rsidR="00614CD8" w:rsidRPr="00A1477D">
        <w:rPr>
          <w:rFonts w:cs="Arial"/>
        </w:rPr>
        <w:t>schválenou Ministerstvem do</w:t>
      </w:r>
      <w:r w:rsidR="00614CD8">
        <w:rPr>
          <w:rFonts w:cs="Arial"/>
        </w:rPr>
        <w:t>pravy (čl. 1 odst. 37 Pravidel).</w:t>
      </w:r>
    </w:p>
    <w:p w14:paraId="62E9A8B5" w14:textId="77777777" w:rsidR="00614CD8" w:rsidRDefault="00614CD8" w:rsidP="00614CD8">
      <w:pPr>
        <w:rPr>
          <w:rFonts w:cs="Arial"/>
        </w:rPr>
      </w:pPr>
      <w:r w:rsidRPr="00016B34">
        <w:rPr>
          <w:rFonts w:cs="Arial"/>
        </w:rPr>
        <w:t>V případě žádosti o zařazení nové jmenovité</w:t>
      </w:r>
      <w:r>
        <w:rPr>
          <w:rFonts w:cs="Arial"/>
        </w:rPr>
        <w:t xml:space="preserve"> </w:t>
      </w:r>
      <w:r w:rsidRPr="00016B34">
        <w:rPr>
          <w:rFonts w:cs="Arial"/>
        </w:rPr>
        <w:t>akce do rozpočtu SFDI</w:t>
      </w:r>
      <w:r>
        <w:rPr>
          <w:rFonts w:cs="Arial"/>
        </w:rPr>
        <w:t xml:space="preserve"> </w:t>
      </w:r>
      <w:r w:rsidRPr="00016B34">
        <w:rPr>
          <w:rFonts w:cs="Arial"/>
          <w:b/>
        </w:rPr>
        <w:t>v rámci rozpočtového opatření musí žadatel současně předložit schválený záměr projektu</w:t>
      </w:r>
      <w:r>
        <w:rPr>
          <w:rFonts w:cs="Arial"/>
        </w:rPr>
        <w:t xml:space="preserve"> </w:t>
      </w:r>
      <w:r w:rsidRPr="00016B34">
        <w:rPr>
          <w:rFonts w:cs="Arial"/>
        </w:rPr>
        <w:t>s</w:t>
      </w:r>
      <w:r>
        <w:rPr>
          <w:rFonts w:cs="Arial"/>
        </w:rPr>
        <w:t xml:space="preserve"> </w:t>
      </w:r>
      <w:r w:rsidRPr="00016B34">
        <w:rPr>
          <w:rFonts w:cs="Arial"/>
        </w:rPr>
        <w:t xml:space="preserve">výjimkou případů, kde se záměr projektu </w:t>
      </w:r>
      <w:r>
        <w:rPr>
          <w:rFonts w:cs="Arial"/>
        </w:rPr>
        <w:t xml:space="preserve">nevyžaduje (odst. </w:t>
      </w:r>
      <w:proofErr w:type="gramStart"/>
      <w:r>
        <w:rPr>
          <w:rFonts w:cs="Arial"/>
        </w:rPr>
        <w:t>4.3.6. ,</w:t>
      </w:r>
      <w:proofErr w:type="gramEnd"/>
      <w:r>
        <w:rPr>
          <w:rFonts w:cs="Arial"/>
        </w:rPr>
        <w:t xml:space="preserve"> 6.2, Pravidel).</w:t>
      </w:r>
    </w:p>
    <w:p w14:paraId="38FA1FCA" w14:textId="77777777" w:rsidR="00614CD8" w:rsidRDefault="00614CD8" w:rsidP="00614CD8">
      <w:pPr>
        <w:rPr>
          <w:rFonts w:cs="Arial"/>
        </w:rPr>
      </w:pPr>
      <w:r>
        <w:rPr>
          <w:rFonts w:cs="Arial"/>
        </w:rPr>
        <w:t xml:space="preserve">Záměr projektu </w:t>
      </w:r>
      <w:proofErr w:type="gramStart"/>
      <w:r>
        <w:rPr>
          <w:rFonts w:cs="Arial"/>
        </w:rPr>
        <w:t>řeší</w:t>
      </w:r>
      <w:proofErr w:type="gramEnd"/>
      <w:r>
        <w:rPr>
          <w:rFonts w:cs="Arial"/>
        </w:rPr>
        <w:t xml:space="preserve"> akci jako celek, ať už pohledu nákladů, prací či harmonogramu, případně zdrojů financování. Záměr projektu se standardně dělá v rámci přípravy stavby, nikoli těsně před realizací nebo v průběhu realizace. V záměru projektu jsou obsaženy celkové náklady akce za celé období realizace, nikoli jen náklady pro konkrétní rok čerpání. V případě, že v průběhu dalších stupňů přípravy dojde k navýšení celkových nákladů akce </w:t>
      </w:r>
      <w:r>
        <w:rPr>
          <w:rFonts w:cs="Arial"/>
          <w:b/>
        </w:rPr>
        <w:t>o více jak 10 </w:t>
      </w:r>
      <w:r w:rsidRPr="00016B34">
        <w:rPr>
          <w:rFonts w:cs="Arial"/>
          <w:b/>
        </w:rPr>
        <w:t>%,</w:t>
      </w:r>
      <w:r>
        <w:rPr>
          <w:rFonts w:cs="Arial"/>
        </w:rPr>
        <w:t xml:space="preserve"> musí být provedena aktualizace záměru projektu a </w:t>
      </w:r>
      <w:proofErr w:type="spellStart"/>
      <w:r w:rsidRPr="00016B34">
        <w:rPr>
          <w:rFonts w:cs="Arial"/>
          <w:b/>
        </w:rPr>
        <w:t>přeschválení</w:t>
      </w:r>
      <w:proofErr w:type="spellEnd"/>
      <w:r>
        <w:rPr>
          <w:rFonts w:cs="Arial"/>
        </w:rPr>
        <w:t xml:space="preserve"> Centrální komisí.</w:t>
      </w:r>
    </w:p>
    <w:p w14:paraId="75FC1575" w14:textId="260D1A5F" w:rsidR="00C46B2D" w:rsidRDefault="00614CD8" w:rsidP="00614CD8">
      <w:pPr>
        <w:rPr>
          <w:rFonts w:cs="Arial"/>
        </w:rPr>
      </w:pPr>
      <w:r>
        <w:rPr>
          <w:rFonts w:cs="Arial"/>
        </w:rPr>
        <w:t xml:space="preserve">Kdy se vyžaduje záměr projektu, co má obsahovat a další pokyny jsou uvedeny ve </w:t>
      </w:r>
      <w:r w:rsidR="008F7DCB" w:rsidRPr="00841569">
        <w:rPr>
          <w:rStyle w:val="Odkazintenzivn"/>
        </w:rPr>
        <w:t>S</w:t>
      </w:r>
      <w:r w:rsidRPr="00841569">
        <w:rPr>
          <w:rStyle w:val="Odkazintenzivn"/>
        </w:rPr>
        <w:t xml:space="preserve">měrnici </w:t>
      </w:r>
      <w:proofErr w:type="gramStart"/>
      <w:r w:rsidRPr="00841569">
        <w:rPr>
          <w:rStyle w:val="Odkazintenzivn"/>
        </w:rPr>
        <w:t>V – 2</w:t>
      </w:r>
      <w:proofErr w:type="gramEnd"/>
      <w:r w:rsidRPr="00841569">
        <w:rPr>
          <w:rStyle w:val="Odkazintenzivn"/>
        </w:rPr>
        <w:t>/2012</w:t>
      </w:r>
      <w:r>
        <w:rPr>
          <w:rFonts w:cs="Arial"/>
        </w:rPr>
        <w:t>. Aktuálně platí, že záměr projektu se předkládá</w:t>
      </w:r>
      <w:r w:rsidR="00EF3FD6">
        <w:rPr>
          <w:rFonts w:cs="Arial"/>
        </w:rPr>
        <w:t>:</w:t>
      </w:r>
    </w:p>
    <w:p w14:paraId="5FB9868D" w14:textId="54AFD841" w:rsidR="00033B67" w:rsidRPr="00434C7C" w:rsidRDefault="001C25DD" w:rsidP="00434C7C">
      <w:pPr>
        <w:pStyle w:val="Odstavecseseznamem"/>
        <w:numPr>
          <w:ilvl w:val="0"/>
          <w:numId w:val="23"/>
        </w:numPr>
        <w:rPr>
          <w:rFonts w:cs="Arial"/>
        </w:rPr>
      </w:pPr>
      <w:r>
        <w:rPr>
          <w:rFonts w:cs="Arial"/>
        </w:rPr>
        <w:t xml:space="preserve">U resortních příjemců </w:t>
      </w:r>
    </w:p>
    <w:p w14:paraId="6EA261C5" w14:textId="77F4CD72" w:rsidR="00614CD8" w:rsidRPr="00082E5F" w:rsidRDefault="00614CD8" w:rsidP="00082E5F">
      <w:pPr>
        <w:pStyle w:val="Odstavecseseznamem"/>
        <w:numPr>
          <w:ilvl w:val="0"/>
          <w:numId w:val="20"/>
        </w:numPr>
        <w:rPr>
          <w:rFonts w:cs="Arial"/>
        </w:rPr>
      </w:pPr>
      <w:r w:rsidRPr="00082E5F">
        <w:rPr>
          <w:rFonts w:cs="Arial"/>
        </w:rPr>
        <w:t>k</w:t>
      </w:r>
      <w:r w:rsidR="00C46B2D" w:rsidRPr="00082E5F">
        <w:rPr>
          <w:rFonts w:cs="Arial"/>
        </w:rPr>
        <w:t> </w:t>
      </w:r>
      <w:r w:rsidR="00C46B2D" w:rsidRPr="00082E5F">
        <w:rPr>
          <w:rFonts w:cs="Arial"/>
          <w:b/>
          <w:bCs/>
        </w:rPr>
        <w:t>investičním</w:t>
      </w:r>
      <w:r w:rsidR="00C46B2D" w:rsidRPr="00082E5F">
        <w:rPr>
          <w:rFonts w:cs="Arial"/>
        </w:rPr>
        <w:t xml:space="preserve"> </w:t>
      </w:r>
      <w:r w:rsidRPr="00082E5F">
        <w:rPr>
          <w:rFonts w:cs="Arial"/>
        </w:rPr>
        <w:t xml:space="preserve">akcím, jejichž </w:t>
      </w:r>
      <w:r w:rsidRPr="00082E5F">
        <w:rPr>
          <w:rFonts w:cs="Arial"/>
          <w:b/>
        </w:rPr>
        <w:t>celkové náklady jsou vyšší než 30 mil. Kč bez DPH</w:t>
      </w:r>
      <w:r w:rsidR="00C46B2D" w:rsidRPr="00082E5F">
        <w:rPr>
          <w:rFonts w:cs="Arial"/>
        </w:rPr>
        <w:t>;</w:t>
      </w:r>
    </w:p>
    <w:p w14:paraId="4B1425D4" w14:textId="0D007026" w:rsidR="00C46B2D" w:rsidRPr="00082E5F" w:rsidRDefault="00C46B2D" w:rsidP="00082E5F">
      <w:pPr>
        <w:pStyle w:val="Odstavecseseznamem"/>
        <w:numPr>
          <w:ilvl w:val="0"/>
          <w:numId w:val="20"/>
        </w:numPr>
        <w:rPr>
          <w:rFonts w:cs="Arial"/>
        </w:rPr>
      </w:pPr>
      <w:r w:rsidRPr="00082E5F">
        <w:rPr>
          <w:rFonts w:cs="Arial"/>
        </w:rPr>
        <w:t xml:space="preserve">k akcím </w:t>
      </w:r>
      <w:r w:rsidRPr="00082E5F">
        <w:rPr>
          <w:rFonts w:cs="Arial"/>
          <w:b/>
          <w:bCs/>
        </w:rPr>
        <w:t>ITS</w:t>
      </w:r>
      <w:r w:rsidRPr="00082E5F">
        <w:rPr>
          <w:rFonts w:cs="Arial"/>
        </w:rPr>
        <w:t xml:space="preserve">, jejichž </w:t>
      </w:r>
      <w:r w:rsidRPr="00082E5F">
        <w:rPr>
          <w:rFonts w:cs="Arial"/>
          <w:b/>
          <w:bCs/>
        </w:rPr>
        <w:t>celkové náklady jsou vyšší než 6 mil. Kč bez DPH</w:t>
      </w:r>
      <w:r w:rsidR="00082E5F" w:rsidRPr="00082E5F">
        <w:rPr>
          <w:rFonts w:cs="Arial"/>
          <w:b/>
          <w:bCs/>
        </w:rPr>
        <w:t>;</w:t>
      </w:r>
    </w:p>
    <w:p w14:paraId="5A63EE72" w14:textId="31AC4DFC" w:rsidR="00082E5F" w:rsidRPr="00082E5F" w:rsidRDefault="00082E5F" w:rsidP="00082E5F">
      <w:pPr>
        <w:pStyle w:val="Odstavecseseznamem"/>
        <w:numPr>
          <w:ilvl w:val="0"/>
          <w:numId w:val="20"/>
        </w:numPr>
        <w:rPr>
          <w:rFonts w:cs="Arial"/>
        </w:rPr>
      </w:pPr>
      <w:r w:rsidRPr="00082E5F">
        <w:rPr>
          <w:rFonts w:cs="Arial"/>
        </w:rPr>
        <w:lastRenderedPageBreak/>
        <w:t>k </w:t>
      </w:r>
      <w:r w:rsidRPr="00082E5F">
        <w:rPr>
          <w:rFonts w:cs="Arial"/>
          <w:b/>
          <w:bCs/>
        </w:rPr>
        <w:t>neinvestičním</w:t>
      </w:r>
      <w:r w:rsidRPr="00082E5F">
        <w:rPr>
          <w:rFonts w:cs="Arial"/>
        </w:rPr>
        <w:t xml:space="preserve"> akcí, jejichž </w:t>
      </w:r>
      <w:r w:rsidRPr="00082E5F">
        <w:rPr>
          <w:rFonts w:cs="Arial"/>
          <w:b/>
          <w:bCs/>
        </w:rPr>
        <w:t>celkové náklady jsou vyšší než 150 mil. Kč bez DPH.</w:t>
      </w:r>
      <w:r w:rsidR="003E0CAD">
        <w:rPr>
          <w:rFonts w:cs="Arial"/>
          <w:b/>
          <w:bCs/>
        </w:rPr>
        <w:t xml:space="preserve"> </w:t>
      </w:r>
    </w:p>
    <w:p w14:paraId="3A388E98" w14:textId="29F5C5A5" w:rsidR="00AD1134" w:rsidRPr="00082E5F" w:rsidRDefault="0030140E" w:rsidP="0030140E">
      <w:pPr>
        <w:pStyle w:val="Odstavecseseznamem"/>
        <w:numPr>
          <w:ilvl w:val="0"/>
          <w:numId w:val="23"/>
        </w:numPr>
        <w:rPr>
          <w:rFonts w:cs="Arial"/>
        </w:rPr>
      </w:pPr>
      <w:r>
        <w:rPr>
          <w:rFonts w:cs="Arial"/>
        </w:rPr>
        <w:t xml:space="preserve"> U ostatních příjemců </w:t>
      </w:r>
    </w:p>
    <w:p w14:paraId="54AC1F03" w14:textId="6803069D" w:rsidR="0030140E" w:rsidRPr="00776F33" w:rsidRDefault="004B1679" w:rsidP="00A274FF">
      <w:pPr>
        <w:pStyle w:val="Odstavecseseznamem"/>
        <w:numPr>
          <w:ilvl w:val="0"/>
          <w:numId w:val="24"/>
        </w:numPr>
        <w:rPr>
          <w:rFonts w:cs="Arial"/>
          <w:b/>
        </w:rPr>
      </w:pPr>
      <w:r>
        <w:rPr>
          <w:rFonts w:cs="Arial"/>
        </w:rPr>
        <w:t xml:space="preserve">U akcí, jejichž </w:t>
      </w:r>
      <w:r w:rsidRPr="00DC28EE">
        <w:rPr>
          <w:rFonts w:cs="Arial"/>
          <w:b/>
        </w:rPr>
        <w:t xml:space="preserve">celkové náklady </w:t>
      </w:r>
      <w:r w:rsidR="00705DAF" w:rsidRPr="00DC28EE">
        <w:rPr>
          <w:rFonts w:cs="Arial"/>
          <w:b/>
        </w:rPr>
        <w:t>jsou vyšší</w:t>
      </w:r>
      <w:r w:rsidRPr="00DC28EE">
        <w:rPr>
          <w:rFonts w:cs="Arial"/>
          <w:b/>
        </w:rPr>
        <w:t xml:space="preserve"> </w:t>
      </w:r>
      <w:r w:rsidR="00705DAF" w:rsidRPr="00DC28EE">
        <w:rPr>
          <w:rFonts w:cs="Arial"/>
          <w:b/>
        </w:rPr>
        <w:t>než 30 mil. Kč bez DP</w:t>
      </w:r>
      <w:r w:rsidR="00705DAF" w:rsidRPr="00776F33">
        <w:rPr>
          <w:rFonts w:cs="Arial"/>
          <w:b/>
        </w:rPr>
        <w:t>H</w:t>
      </w:r>
    </w:p>
    <w:p w14:paraId="668DB727" w14:textId="77777777" w:rsidR="00614CD8" w:rsidRDefault="00614CD8" w:rsidP="00614CD8">
      <w:pPr>
        <w:rPr>
          <w:rFonts w:cs="Arial"/>
        </w:rPr>
      </w:pPr>
      <w:r>
        <w:rPr>
          <w:rFonts w:cs="Arial"/>
        </w:rPr>
        <w:t>Pokud příjemce dá SFDI k dispozici kontakt na osobu řešící záměry projektu, může na tento kontaktní e-mail chodit informace o akceptaci záměru projektu, případně o obdržení schvalovací doložky. Pro odblokování financování je nutné, aby SFDI obdrželo schvalovací doložku od Ministerstva dopravy, ale příjemce zároveň musí SFDI předložit podepsaný záměr projektu.</w:t>
      </w:r>
    </w:p>
    <w:p w14:paraId="64FE6D23" w14:textId="5422CB5E" w:rsidR="00CB6FFC" w:rsidRDefault="00CB6FFC" w:rsidP="00E145F7">
      <w:pPr>
        <w:pStyle w:val="Nadpis2"/>
      </w:pPr>
      <w:bookmarkStart w:id="32" w:name="_Toc100576186"/>
      <w:r>
        <w:t>Globální položk</w:t>
      </w:r>
      <w:r w:rsidR="00B62DFE">
        <w:t>y</w:t>
      </w:r>
      <w:bookmarkEnd w:id="32"/>
    </w:p>
    <w:p w14:paraId="46DBB0D4" w14:textId="62FE2F41" w:rsidR="00DA27D8" w:rsidRDefault="00DA27D8" w:rsidP="00DA27D8">
      <w:pPr>
        <w:rPr>
          <w:rFonts w:cs="Arial"/>
        </w:rPr>
      </w:pPr>
      <w:r>
        <w:rPr>
          <w:rFonts w:cs="Arial"/>
        </w:rPr>
        <w:t>Definice: p</w:t>
      </w:r>
      <w:r w:rsidRPr="00B90BDA">
        <w:rPr>
          <w:rFonts w:cs="Arial"/>
        </w:rPr>
        <w:t>oložka v</w:t>
      </w:r>
      <w:r>
        <w:rPr>
          <w:rFonts w:cs="Arial"/>
        </w:rPr>
        <w:t xml:space="preserve"> </w:t>
      </w:r>
      <w:proofErr w:type="gramStart"/>
      <w:r>
        <w:rPr>
          <w:rFonts w:cs="Arial"/>
        </w:rPr>
        <w:t>rozpočtu  SFDI</w:t>
      </w:r>
      <w:proofErr w:type="gramEnd"/>
      <w:r>
        <w:rPr>
          <w:rFonts w:cs="Arial"/>
        </w:rPr>
        <w:t xml:space="preserve">, ze </w:t>
      </w:r>
      <w:r w:rsidRPr="00B90BDA">
        <w:rPr>
          <w:rFonts w:cs="Arial"/>
        </w:rPr>
        <w:t>které</w:t>
      </w:r>
      <w:r>
        <w:rPr>
          <w:rFonts w:cs="Arial"/>
        </w:rPr>
        <w:t>……..</w:t>
      </w:r>
      <w:r w:rsidRPr="00B90BDA">
        <w:rPr>
          <w:rFonts w:cs="Arial"/>
        </w:rPr>
        <w:t xml:space="preserve"> jsou financovány zejména druhově stejné akce, které nejsou v</w:t>
      </w:r>
      <w:r>
        <w:rPr>
          <w:rFonts w:cs="Arial"/>
        </w:rPr>
        <w:t xml:space="preserve"> </w:t>
      </w:r>
      <w:r w:rsidRPr="00B90BDA">
        <w:rPr>
          <w:rFonts w:cs="Arial"/>
        </w:rPr>
        <w:t>rozpočtu SFDI zařazené jako samostatné polo</w:t>
      </w:r>
      <w:r>
        <w:rPr>
          <w:rFonts w:cs="Arial"/>
        </w:rPr>
        <w:t xml:space="preserve">žky. Globální položka může být dále rozepsána na jednotlivé </w:t>
      </w:r>
      <w:proofErr w:type="spellStart"/>
      <w:r>
        <w:rPr>
          <w:rFonts w:cs="Arial"/>
        </w:rPr>
        <w:t>podakce</w:t>
      </w:r>
      <w:proofErr w:type="spellEnd"/>
      <w:r>
        <w:rPr>
          <w:rFonts w:cs="Arial"/>
        </w:rPr>
        <w:t xml:space="preserve">, příp. </w:t>
      </w:r>
      <w:proofErr w:type="spellStart"/>
      <w:r>
        <w:rPr>
          <w:rFonts w:cs="Arial"/>
        </w:rPr>
        <w:t>podglobální</w:t>
      </w:r>
      <w:proofErr w:type="spellEnd"/>
      <w:r w:rsidRPr="00B90BDA">
        <w:rPr>
          <w:rFonts w:cs="Arial"/>
        </w:rPr>
        <w:t xml:space="preserve"> položky.</w:t>
      </w:r>
      <w:r>
        <w:rPr>
          <w:rFonts w:cs="Arial"/>
        </w:rPr>
        <w:t xml:space="preserve"> </w:t>
      </w:r>
    </w:p>
    <w:p w14:paraId="751B87F5" w14:textId="5009A9A9" w:rsidR="00DA27D8" w:rsidRDefault="00DA27D8" w:rsidP="00DA27D8">
      <w:pPr>
        <w:rPr>
          <w:rFonts w:cs="Arial"/>
        </w:rPr>
      </w:pPr>
      <w:r>
        <w:rPr>
          <w:rFonts w:cs="Arial"/>
        </w:rPr>
        <w:t xml:space="preserve">ISPROFOND je </w:t>
      </w:r>
      <w:r w:rsidRPr="00B90BDA">
        <w:rPr>
          <w:rFonts w:cs="Arial"/>
        </w:rPr>
        <w:t xml:space="preserve">jedinečné číslo globální položky dle číselníku SFDI. Číslo ISPROFOND vydává SFDI na základě </w:t>
      </w:r>
      <w:r w:rsidR="00B75F98" w:rsidRPr="00B75F98">
        <w:rPr>
          <w:rStyle w:val="Odkazintenzivn"/>
        </w:rPr>
        <w:t>žádosti příjemce</w:t>
      </w:r>
      <w:r w:rsidRPr="00B90BDA">
        <w:rPr>
          <w:rFonts w:cs="Arial"/>
        </w:rPr>
        <w:t xml:space="preserve">. Pro potřeby rozlišení, zda se jedná o globální položku (1. úroveň) nebo akci, resp. </w:t>
      </w:r>
      <w:proofErr w:type="spellStart"/>
      <w:r w:rsidRPr="00B90BDA">
        <w:rPr>
          <w:rFonts w:cs="Arial"/>
        </w:rPr>
        <w:t>podakci</w:t>
      </w:r>
      <w:proofErr w:type="spellEnd"/>
      <w:r w:rsidRPr="00B90BDA">
        <w:rPr>
          <w:rFonts w:cs="Arial"/>
        </w:rPr>
        <w:t xml:space="preserve"> v ní zařazenou (2. úroveň), se u </w:t>
      </w:r>
      <w:proofErr w:type="spellStart"/>
      <w:r w:rsidRPr="00B90BDA">
        <w:rPr>
          <w:rFonts w:cs="Arial"/>
        </w:rPr>
        <w:t>podakcí</w:t>
      </w:r>
      <w:proofErr w:type="spellEnd"/>
      <w:r w:rsidRPr="00B90BDA">
        <w:rPr>
          <w:rFonts w:cs="Arial"/>
        </w:rPr>
        <w:t xml:space="preserve"> používá výraz </w:t>
      </w:r>
      <w:proofErr w:type="spellStart"/>
      <w:r w:rsidRPr="00B90BDA">
        <w:rPr>
          <w:rFonts w:cs="Arial"/>
        </w:rPr>
        <w:t>subISPROFOND</w:t>
      </w:r>
      <w:proofErr w:type="spellEnd"/>
      <w:r w:rsidRPr="00B90BDA">
        <w:rPr>
          <w:rFonts w:cs="Arial"/>
        </w:rPr>
        <w:t>.</w:t>
      </w:r>
    </w:p>
    <w:p w14:paraId="3C3BC521" w14:textId="77777777" w:rsidR="00DA27D8" w:rsidRDefault="00DA27D8" w:rsidP="00DA27D8">
      <w:pPr>
        <w:rPr>
          <w:rFonts w:cs="Arial"/>
        </w:rPr>
      </w:pPr>
      <w:r w:rsidRPr="00B90BDA">
        <w:rPr>
          <w:rFonts w:cs="Arial"/>
        </w:rPr>
        <w:t xml:space="preserve">Sledovaná globální položka </w:t>
      </w:r>
      <w:r>
        <w:rPr>
          <w:rFonts w:cs="Arial"/>
        </w:rPr>
        <w:t xml:space="preserve">je taková </w:t>
      </w:r>
      <w:r w:rsidRPr="00B90BDA">
        <w:rPr>
          <w:rFonts w:cs="Arial"/>
        </w:rPr>
        <w:t>globální položk</w:t>
      </w:r>
      <w:r>
        <w:rPr>
          <w:rFonts w:cs="Arial"/>
        </w:rPr>
        <w:t>a</w:t>
      </w:r>
      <w:r w:rsidRPr="00B90BDA">
        <w:rPr>
          <w:rFonts w:cs="Arial"/>
        </w:rPr>
        <w:t xml:space="preserve">, která obsahuje </w:t>
      </w:r>
      <w:proofErr w:type="spellStart"/>
      <w:r w:rsidRPr="00B90BDA">
        <w:rPr>
          <w:rFonts w:cs="Arial"/>
        </w:rPr>
        <w:t>podakce</w:t>
      </w:r>
      <w:proofErr w:type="spellEnd"/>
      <w:r w:rsidRPr="00B90BDA">
        <w:rPr>
          <w:rFonts w:cs="Arial"/>
        </w:rPr>
        <w:t xml:space="preserve"> s přidělenými </w:t>
      </w:r>
      <w:proofErr w:type="spellStart"/>
      <w:r w:rsidRPr="00B90BDA">
        <w:rPr>
          <w:rFonts w:cs="Arial"/>
        </w:rPr>
        <w:t>ISPROFONDy</w:t>
      </w:r>
      <w:proofErr w:type="spellEnd"/>
      <w:r w:rsidRPr="00B90BDA">
        <w:rPr>
          <w:rFonts w:cs="Arial"/>
        </w:rPr>
        <w:t xml:space="preserve">, resp. </w:t>
      </w:r>
      <w:proofErr w:type="spellStart"/>
      <w:r w:rsidRPr="00B90BDA">
        <w:rPr>
          <w:rFonts w:cs="Arial"/>
        </w:rPr>
        <w:t>subISPROFONDy</w:t>
      </w:r>
      <w:proofErr w:type="spellEnd"/>
      <w:r w:rsidRPr="00B90BDA">
        <w:rPr>
          <w:rFonts w:cs="Arial"/>
        </w:rPr>
        <w:t xml:space="preserve">, tj. SFDI sleduje čerpání na jednotlivé </w:t>
      </w:r>
      <w:proofErr w:type="spellStart"/>
      <w:r w:rsidRPr="00B90BDA">
        <w:rPr>
          <w:rFonts w:cs="Arial"/>
        </w:rPr>
        <w:t>podakce</w:t>
      </w:r>
      <w:proofErr w:type="spellEnd"/>
      <w:r w:rsidRPr="00B90BDA">
        <w:rPr>
          <w:rFonts w:cs="Arial"/>
        </w:rPr>
        <w:t xml:space="preserve"> zařazené v globální položce. Sledování v rámci globálních položek se provádí pouze do druhé úrovně.</w:t>
      </w:r>
    </w:p>
    <w:p w14:paraId="7375EA17" w14:textId="77777777" w:rsidR="00E47CA5" w:rsidRDefault="00E47CA5" w:rsidP="00DA27D8">
      <w:pPr>
        <w:rPr>
          <w:rFonts w:cs="Arial"/>
        </w:rPr>
      </w:pPr>
    </w:p>
    <w:p w14:paraId="66C5B37D" w14:textId="77777777" w:rsidR="00A477E8" w:rsidRPr="007563FE" w:rsidRDefault="00A477E8">
      <w:pPr>
        <w:spacing w:after="200"/>
        <w:rPr>
          <w:rFonts w:cs="Arial"/>
          <w:noProof/>
          <w:lang w:eastAsia="cs-CZ"/>
        </w:rPr>
      </w:pPr>
      <w:r w:rsidRPr="007563FE">
        <w:rPr>
          <w:rFonts w:cs="Arial"/>
          <w:noProof/>
          <w:lang w:eastAsia="cs-CZ"/>
        </w:rPr>
        <w:br w:type="page"/>
      </w:r>
    </w:p>
    <w:p w14:paraId="6C4F2ACF" w14:textId="41A4B522" w:rsidR="00E47CA5" w:rsidRDefault="00BB6E21" w:rsidP="00DA27D8">
      <w:pPr>
        <w:rPr>
          <w:rFonts w:cs="Arial"/>
        </w:rPr>
      </w:pPr>
      <w:r>
        <w:rPr>
          <w:rFonts w:cs="Arial"/>
          <w:noProof/>
          <w:lang w:val="en-US" w:eastAsia="cs-CZ"/>
        </w:rPr>
        <w:lastRenderedPageBreak/>
        <w:t>[Obrazky/Globalni_polozky]</w:t>
      </w:r>
    </w:p>
    <w:p w14:paraId="2DABCE01" w14:textId="633E0EA1" w:rsidR="00DA27D8" w:rsidRDefault="00DA27D8" w:rsidP="71D52371">
      <w:pPr>
        <w:jc w:val="center"/>
        <w:rPr>
          <w:rFonts w:cs="Arial"/>
        </w:rPr>
      </w:pPr>
      <w:r>
        <w:rPr>
          <w:rFonts w:cs="Arial"/>
          <w:noProof/>
          <w:lang w:eastAsia="cs-CZ"/>
        </w:rPr>
        <mc:AlternateContent>
          <mc:Choice Requires="wps">
            <w:drawing>
              <wp:anchor distT="0" distB="0" distL="114300" distR="114300" simplePos="0" relativeHeight="251657216" behindDoc="0" locked="0" layoutInCell="1" allowOverlap="1" wp14:anchorId="24324E8F" wp14:editId="38FC782D">
                <wp:simplePos x="0" y="0"/>
                <wp:positionH relativeFrom="column">
                  <wp:posOffset>23495</wp:posOffset>
                </wp:positionH>
                <wp:positionV relativeFrom="paragraph">
                  <wp:posOffset>2284095</wp:posOffset>
                </wp:positionV>
                <wp:extent cx="5753735" cy="0"/>
                <wp:effectExtent l="13970" t="17145" r="13970" b="11430"/>
                <wp:wrapNone/>
                <wp:docPr id="92" name="Přímá spojnice se šipkou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8EE5CB" id="_x0000_t32" coordsize="21600,21600" o:spt="32" o:oned="t" path="m,l21600,21600e" filled="f">
                <v:path arrowok="t" fillok="f" o:connecttype="none"/>
                <o:lock v:ext="edit" shapetype="t"/>
              </v:shapetype>
              <v:shape id="Přímá spojnice se šipkou 92" o:spid="_x0000_s1026" type="#_x0000_t32" style="position:absolute;margin-left:1.85pt;margin-top:179.85pt;width:453.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" strokeweight="1.5pt">
                <v:stroke dashstyle="1 1" endcap="round"/>
              </v:shape>
            </w:pict>
          </mc:Fallback>
        </mc:AlternateContent>
      </w:r>
      <w:r w:rsidR="05117A56">
        <w:rPr>
          <w:noProof/>
        </w:rPr>
        <w:drawing>
          <wp:inline distT="0" distB="0" distL="0" distR="0" wp14:anchorId="06BC2CC5" wp14:editId="0EFAD552">
            <wp:extent cx="5491656" cy="3981450"/>
            <wp:effectExtent l="0" t="0" r="0" b="0"/>
            <wp:docPr id="382649397" name="Picture 382649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91656" cy="3981450"/>
                    </a:xfrm>
                    <a:prstGeom prst="rect">
                      <a:avLst/>
                    </a:prstGeom>
                  </pic:spPr>
                </pic:pic>
              </a:graphicData>
            </a:graphic>
          </wp:inline>
        </w:drawing>
      </w:r>
    </w:p>
    <w:p w14:paraId="40D9C54C" w14:textId="3CF7475A" w:rsidR="00DA27D8" w:rsidRDefault="00DA27D8" w:rsidP="00DA27D8">
      <w:pPr>
        <w:rPr>
          <w:rFonts w:eastAsia="Calibri" w:cs="Arial"/>
        </w:rPr>
      </w:pPr>
    </w:p>
    <w:p w14:paraId="7D72CAC6" w14:textId="7F2DD82B" w:rsidR="00DA27D8" w:rsidRDefault="00DA27D8" w:rsidP="00DA27D8">
      <w:pPr>
        <w:rPr>
          <w:rFonts w:cs="Arial"/>
        </w:rPr>
      </w:pPr>
      <w:r w:rsidRPr="00E22122">
        <w:rPr>
          <w:rFonts w:cs="Arial"/>
        </w:rPr>
        <w:t>Rozpis globální položky je nutné předložit v předepsaném .</w:t>
      </w:r>
      <w:proofErr w:type="spellStart"/>
      <w:r w:rsidRPr="00E22122">
        <w:rPr>
          <w:rFonts w:cs="Arial"/>
        </w:rPr>
        <w:t>xls</w:t>
      </w:r>
      <w:proofErr w:type="spellEnd"/>
      <w:r w:rsidRPr="00E22122">
        <w:rPr>
          <w:rFonts w:cs="Arial"/>
        </w:rPr>
        <w:t xml:space="preserve"> formátu s tím, že </w:t>
      </w:r>
      <w:r>
        <w:rPr>
          <w:rFonts w:cs="Arial"/>
        </w:rPr>
        <w:t xml:space="preserve">všechny globální položky a jejich </w:t>
      </w:r>
      <w:proofErr w:type="spellStart"/>
      <w:r>
        <w:rPr>
          <w:rFonts w:cs="Arial"/>
        </w:rPr>
        <w:t>podakce</w:t>
      </w:r>
      <w:proofErr w:type="spellEnd"/>
      <w:r>
        <w:rPr>
          <w:rFonts w:cs="Arial"/>
        </w:rPr>
        <w:t xml:space="preserve"> jsou uvedeny v jednom souboru.</w:t>
      </w:r>
    </w:p>
    <w:p w14:paraId="1CCAED93" w14:textId="635FB211" w:rsidR="000E3DE3" w:rsidRDefault="002A7739" w:rsidP="00DA27D8">
      <w:pPr>
        <w:rPr>
          <w:rFonts w:cs="Arial"/>
        </w:rPr>
      </w:pPr>
      <w:proofErr w:type="gramStart"/>
      <w:r>
        <w:rPr>
          <w:rFonts w:cs="Arial"/>
        </w:rPr>
        <w:t>Rezortní</w:t>
      </w:r>
      <w:proofErr w:type="gramEnd"/>
      <w:r w:rsidR="000E3DE3">
        <w:rPr>
          <w:rFonts w:cs="Arial"/>
        </w:rPr>
        <w:t xml:space="preserve"> příjemci, kteří předkládají rozpisy globálních položek </w:t>
      </w:r>
      <w:r w:rsidR="0030698D">
        <w:rPr>
          <w:rFonts w:cs="Arial"/>
        </w:rPr>
        <w:t xml:space="preserve">ke schválení CK, použijí pro </w:t>
      </w:r>
      <w:r w:rsidR="00642D23">
        <w:rPr>
          <w:rFonts w:cs="Arial"/>
        </w:rPr>
        <w:t xml:space="preserve">předložení rozpisu ke schválení tuto </w:t>
      </w:r>
      <w:r w:rsidR="004757A6">
        <w:rPr>
          <w:rFonts w:cs="Arial"/>
        </w:rPr>
        <w:t>šablonu</w:t>
      </w:r>
      <w:r w:rsidR="00642D23">
        <w:rPr>
          <w:rFonts w:cs="Arial"/>
        </w:rPr>
        <w:t xml:space="preserve">. </w:t>
      </w:r>
      <w:r w:rsidR="00D56499">
        <w:rPr>
          <w:rFonts w:cs="Arial"/>
        </w:rPr>
        <w:t xml:space="preserve">Následně pro </w:t>
      </w:r>
      <w:r w:rsidR="00EE76B5">
        <w:rPr>
          <w:rFonts w:cs="Arial"/>
        </w:rPr>
        <w:t>načtení</w:t>
      </w:r>
      <w:r w:rsidR="00D56499">
        <w:rPr>
          <w:rFonts w:cs="Arial"/>
        </w:rPr>
        <w:t xml:space="preserve"> rozpisu do Evidence SFDI použijí </w:t>
      </w:r>
      <w:r w:rsidR="005F5697">
        <w:rPr>
          <w:rFonts w:cs="Arial"/>
        </w:rPr>
        <w:t>tuto</w:t>
      </w:r>
      <w:r w:rsidR="00323773">
        <w:rPr>
          <w:rFonts w:cs="Arial"/>
        </w:rPr>
        <w:t xml:space="preserve"> šablonu</w:t>
      </w:r>
      <w:r w:rsidR="004757A6">
        <w:rPr>
          <w:rFonts w:cs="Arial"/>
        </w:rPr>
        <w:t>.</w:t>
      </w:r>
      <w:r w:rsidR="00323773">
        <w:rPr>
          <w:rFonts w:cs="Arial"/>
        </w:rPr>
        <w:t xml:space="preserve"> </w:t>
      </w:r>
    </w:p>
    <w:p w14:paraId="693F1C13" w14:textId="73A701FE" w:rsidR="004757A6" w:rsidRDefault="0013291A" w:rsidP="00DA27D8">
      <w:pPr>
        <w:rPr>
          <w:rFonts w:cs="Arial"/>
        </w:rPr>
      </w:pPr>
      <w:r>
        <w:rPr>
          <w:rFonts w:cs="Arial"/>
        </w:rPr>
        <w:t xml:space="preserve">Příjemci, u kterých zajišťuje předání rozpisu </w:t>
      </w:r>
      <w:r w:rsidR="0057353E">
        <w:rPr>
          <w:rFonts w:cs="Arial"/>
        </w:rPr>
        <w:t xml:space="preserve">CK ke schválení SFDI, zašlou tuto šablonu a po schválení </w:t>
      </w:r>
      <w:r w:rsidR="00AD15D5">
        <w:rPr>
          <w:rFonts w:cs="Arial"/>
        </w:rPr>
        <w:t xml:space="preserve">CK zajistí SFDI její načtení do Evidence. </w:t>
      </w:r>
    </w:p>
    <w:p w14:paraId="37DA09C9" w14:textId="77777777" w:rsidR="00DA27D8" w:rsidRDefault="00DA27D8" w:rsidP="00DA27D8">
      <w:pPr>
        <w:rPr>
          <w:rFonts w:cs="Arial"/>
        </w:rPr>
      </w:pPr>
      <w:r>
        <w:rPr>
          <w:rFonts w:cs="Arial"/>
        </w:rPr>
        <w:t>Globální položky jsou v rozpočtu značeny příznakem G (globální položka obecně) nebo U (globální položka na opravy a údržbu).</w:t>
      </w:r>
    </w:p>
    <w:p w14:paraId="42B64799" w14:textId="77777777" w:rsidR="00DA27D8" w:rsidRDefault="00DA27D8" w:rsidP="00DA27D8">
      <w:pPr>
        <w:rPr>
          <w:rFonts w:cs="Arial"/>
        </w:rPr>
      </w:pPr>
      <w:r>
        <w:rPr>
          <w:rFonts w:cs="Arial"/>
        </w:rPr>
        <w:t>V rámci položky typu G rozeznáváme několik variant stavu akce:</w:t>
      </w:r>
    </w:p>
    <w:tbl>
      <w:tblPr>
        <w:tblStyle w:val="Svtlstnovnzvraznn1"/>
        <w:tblW w:w="0" w:type="auto"/>
        <w:tblLook w:val="04A0" w:firstRow="1" w:lastRow="0" w:firstColumn="1" w:lastColumn="0" w:noHBand="0" w:noVBand="1"/>
      </w:tblPr>
      <w:tblGrid>
        <w:gridCol w:w="1101"/>
        <w:gridCol w:w="8111"/>
      </w:tblGrid>
      <w:tr w:rsidR="00DA27D8" w14:paraId="7D250B41" w14:textId="77777777" w:rsidTr="00B64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65E5A1C8" w14:textId="77777777" w:rsidR="00DA27D8" w:rsidRDefault="00DA27D8" w:rsidP="00B64655">
            <w:pPr>
              <w:rPr>
                <w:rFonts w:cs="Arial"/>
              </w:rPr>
            </w:pPr>
            <w:r>
              <w:rPr>
                <w:rFonts w:cs="Arial"/>
              </w:rPr>
              <w:t>Stav akce</w:t>
            </w:r>
          </w:p>
        </w:tc>
        <w:tc>
          <w:tcPr>
            <w:tcW w:w="8111" w:type="dxa"/>
            <w:vAlign w:val="center"/>
          </w:tcPr>
          <w:p w14:paraId="357C5065" w14:textId="77777777" w:rsidR="00DA27D8" w:rsidRDefault="00DA27D8" w:rsidP="00B64655">
            <w:pPr>
              <w:cnfStyle w:val="100000000000" w:firstRow="1" w:lastRow="0" w:firstColumn="0" w:lastColumn="0" w:oddVBand="0" w:evenVBand="0" w:oddHBand="0" w:evenHBand="0" w:firstRowFirstColumn="0" w:firstRowLastColumn="0" w:lastRowFirstColumn="0" w:lastRowLastColumn="0"/>
              <w:rPr>
                <w:rFonts w:cs="Arial"/>
              </w:rPr>
            </w:pPr>
            <w:r>
              <w:rPr>
                <w:rFonts w:cs="Arial"/>
              </w:rPr>
              <w:t>Popis</w:t>
            </w:r>
          </w:p>
        </w:tc>
      </w:tr>
      <w:tr w:rsidR="00DA27D8" w14:paraId="35BA46AE" w14:textId="77777777" w:rsidTr="00B64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12DB148" w14:textId="77777777" w:rsidR="00DA27D8" w:rsidRDefault="00DA27D8" w:rsidP="00B64655">
            <w:pPr>
              <w:rPr>
                <w:rFonts w:cs="Arial"/>
              </w:rPr>
            </w:pPr>
            <w:r>
              <w:rPr>
                <w:rFonts w:cs="Arial"/>
              </w:rPr>
              <w:t>G</w:t>
            </w:r>
          </w:p>
        </w:tc>
        <w:tc>
          <w:tcPr>
            <w:tcW w:w="8111" w:type="dxa"/>
          </w:tcPr>
          <w:p w14:paraId="20F6C397" w14:textId="77777777" w:rsidR="00DA27D8" w:rsidRDefault="00DA27D8" w:rsidP="00B64655">
            <w:pPr>
              <w:cnfStyle w:val="000000100000" w:firstRow="0" w:lastRow="0" w:firstColumn="0" w:lastColumn="0" w:oddVBand="0" w:evenVBand="0" w:oddHBand="1" w:evenHBand="0" w:firstRowFirstColumn="0" w:firstRowLastColumn="0" w:lastRowFirstColumn="0" w:lastRowLastColumn="0"/>
              <w:rPr>
                <w:rFonts w:cs="Arial"/>
              </w:rPr>
            </w:pPr>
            <w:r w:rsidRPr="002C1945">
              <w:rPr>
                <w:rFonts w:cs="Arial"/>
              </w:rPr>
              <w:t>globální položky obecně; celkové náklady akce jsou stejné jako rozpočet pro daný rok, doba realizace se uvádí od 01 do 12 daného roku</w:t>
            </w:r>
          </w:p>
        </w:tc>
      </w:tr>
      <w:tr w:rsidR="00DA27D8" w14:paraId="3B87D645" w14:textId="77777777" w:rsidTr="00B64655">
        <w:tc>
          <w:tcPr>
            <w:cnfStyle w:val="001000000000" w:firstRow="0" w:lastRow="0" w:firstColumn="1" w:lastColumn="0" w:oddVBand="0" w:evenVBand="0" w:oddHBand="0" w:evenHBand="0" w:firstRowFirstColumn="0" w:firstRowLastColumn="0" w:lastRowFirstColumn="0" w:lastRowLastColumn="0"/>
            <w:tcW w:w="1101" w:type="dxa"/>
          </w:tcPr>
          <w:p w14:paraId="46365E59" w14:textId="77777777" w:rsidR="00DA27D8" w:rsidRDefault="00DA27D8" w:rsidP="00B64655">
            <w:pPr>
              <w:rPr>
                <w:rFonts w:cs="Arial"/>
              </w:rPr>
            </w:pPr>
            <w:r>
              <w:rPr>
                <w:rFonts w:cs="Arial"/>
              </w:rPr>
              <w:t>GP</w:t>
            </w:r>
          </w:p>
        </w:tc>
        <w:tc>
          <w:tcPr>
            <w:tcW w:w="8111" w:type="dxa"/>
          </w:tcPr>
          <w:p w14:paraId="2ECE4DB5" w14:textId="77777777" w:rsidR="00DA27D8" w:rsidRDefault="00DA27D8" w:rsidP="00B64655">
            <w:pPr>
              <w:cnfStyle w:val="000000000000" w:firstRow="0" w:lastRow="0" w:firstColumn="0" w:lastColumn="0" w:oddVBand="0" w:evenVBand="0" w:oddHBand="0" w:evenHBand="0" w:firstRowFirstColumn="0" w:firstRowLastColumn="0" w:lastRowFirstColumn="0" w:lastRowLastColumn="0"/>
              <w:rPr>
                <w:rFonts w:cs="Arial"/>
              </w:rPr>
            </w:pPr>
            <w:r w:rsidRPr="00AE4855">
              <w:rPr>
                <w:rFonts w:cs="Arial"/>
              </w:rPr>
              <w:t>globální položky na přípravu; celkové náklady akce jsou stejné jako rozpočet pro daný rok, doba realizace se uvádí od 01 do 12 daného roku</w:t>
            </w:r>
          </w:p>
        </w:tc>
      </w:tr>
      <w:tr w:rsidR="00DA27D8" w14:paraId="69F54BEC" w14:textId="77777777" w:rsidTr="00B64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533F3C6" w14:textId="77777777" w:rsidR="00DA27D8" w:rsidRDefault="00DA27D8" w:rsidP="00B64655">
            <w:pPr>
              <w:rPr>
                <w:rFonts w:cs="Arial"/>
              </w:rPr>
            </w:pPr>
            <w:r>
              <w:rPr>
                <w:rFonts w:cs="Arial"/>
              </w:rPr>
              <w:t>GS</w:t>
            </w:r>
          </w:p>
        </w:tc>
        <w:tc>
          <w:tcPr>
            <w:tcW w:w="8111" w:type="dxa"/>
          </w:tcPr>
          <w:p w14:paraId="151BE38D" w14:textId="77777777" w:rsidR="00DA27D8" w:rsidRDefault="00DA27D8" w:rsidP="00B64655">
            <w:pPr>
              <w:cnfStyle w:val="000000100000" w:firstRow="0" w:lastRow="0" w:firstColumn="0" w:lastColumn="0" w:oddVBand="0" w:evenVBand="0" w:oddHBand="1" w:evenHBand="0" w:firstRowFirstColumn="0" w:firstRowLastColumn="0" w:lastRowFirstColumn="0" w:lastRowLastColumn="0"/>
              <w:rPr>
                <w:rFonts w:cs="Arial"/>
              </w:rPr>
            </w:pPr>
            <w:r w:rsidRPr="002D203B">
              <w:rPr>
                <w:rFonts w:cs="Arial"/>
              </w:rPr>
              <w:t xml:space="preserve">globální položka s pevně stanoveným rozpisem globální položky, v </w:t>
            </w:r>
            <w:proofErr w:type="gramStart"/>
            <w:r w:rsidRPr="002D203B">
              <w:rPr>
                <w:rFonts w:cs="Arial"/>
              </w:rPr>
              <w:t>rámci</w:t>
            </w:r>
            <w:proofErr w:type="gramEnd"/>
            <w:r w:rsidRPr="002D203B">
              <w:rPr>
                <w:rFonts w:cs="Arial"/>
              </w:rPr>
              <w:t xml:space="preserve"> které se hradí realizace akcí zařazených do této globální položky včetně případných nákladů na přípravu; uvedou se skutečné celkové náklady a skutečný doba realizace</w:t>
            </w:r>
          </w:p>
        </w:tc>
      </w:tr>
      <w:tr w:rsidR="00DA27D8" w14:paraId="5D897EB5" w14:textId="77777777" w:rsidTr="00B64655">
        <w:tc>
          <w:tcPr>
            <w:cnfStyle w:val="001000000000" w:firstRow="0" w:lastRow="0" w:firstColumn="1" w:lastColumn="0" w:oddVBand="0" w:evenVBand="0" w:oddHBand="0" w:evenHBand="0" w:firstRowFirstColumn="0" w:firstRowLastColumn="0" w:lastRowFirstColumn="0" w:lastRowLastColumn="0"/>
            <w:tcW w:w="1101" w:type="dxa"/>
          </w:tcPr>
          <w:p w14:paraId="026E8351" w14:textId="77777777" w:rsidR="00DA27D8" w:rsidRDefault="00DA27D8" w:rsidP="00B64655">
            <w:pPr>
              <w:rPr>
                <w:rFonts w:cs="Arial"/>
              </w:rPr>
            </w:pPr>
            <w:r>
              <w:rPr>
                <w:rFonts w:cs="Arial"/>
              </w:rPr>
              <w:lastRenderedPageBreak/>
              <w:t>GPS</w:t>
            </w:r>
          </w:p>
        </w:tc>
        <w:tc>
          <w:tcPr>
            <w:tcW w:w="8111" w:type="dxa"/>
          </w:tcPr>
          <w:p w14:paraId="64B06116" w14:textId="77777777" w:rsidR="00DA27D8" w:rsidRDefault="00DA27D8" w:rsidP="00B64655">
            <w:pPr>
              <w:cnfStyle w:val="000000000000" w:firstRow="0" w:lastRow="0" w:firstColumn="0" w:lastColumn="0" w:oddVBand="0" w:evenVBand="0" w:oddHBand="0" w:evenHBand="0" w:firstRowFirstColumn="0" w:firstRowLastColumn="0" w:lastRowFirstColumn="0" w:lastRowLastColumn="0"/>
              <w:rPr>
                <w:rFonts w:cs="Arial"/>
              </w:rPr>
            </w:pPr>
            <w:r w:rsidRPr="002D203B">
              <w:rPr>
                <w:rFonts w:cs="Arial"/>
              </w:rPr>
              <w:t xml:space="preserve">globální položka s pevně stanoveným rozpisem globální položky, v </w:t>
            </w:r>
            <w:proofErr w:type="gramStart"/>
            <w:r w:rsidRPr="002D203B">
              <w:rPr>
                <w:rFonts w:cs="Arial"/>
              </w:rPr>
              <w:t>rámci</w:t>
            </w:r>
            <w:proofErr w:type="gramEnd"/>
            <w:r w:rsidRPr="002D203B">
              <w:rPr>
                <w:rFonts w:cs="Arial"/>
              </w:rPr>
              <w:t xml:space="preserve"> které se hradí pouze příprava akcí zařazených do této globální položky; uvedou se skutečné celkové náklady a skutečný doba realizace</w:t>
            </w:r>
          </w:p>
        </w:tc>
      </w:tr>
    </w:tbl>
    <w:p w14:paraId="7ECEBDF1" w14:textId="77777777" w:rsidR="00DA27D8" w:rsidRDefault="00DA27D8" w:rsidP="00DA27D8">
      <w:pPr>
        <w:rPr>
          <w:rFonts w:cs="Arial"/>
        </w:rPr>
      </w:pPr>
    </w:p>
    <w:p w14:paraId="5C59BEBC" w14:textId="77777777" w:rsidR="00DA27D8" w:rsidRDefault="00DA27D8" w:rsidP="00DA27D8">
      <w:pPr>
        <w:rPr>
          <w:rFonts w:cs="Arial"/>
        </w:rPr>
      </w:pPr>
      <w:r>
        <w:rPr>
          <w:rFonts w:cs="Arial"/>
        </w:rPr>
        <w:t>V rámci položky typu U rozeznáváme tyto varianty stavu akce:</w:t>
      </w:r>
    </w:p>
    <w:tbl>
      <w:tblPr>
        <w:tblStyle w:val="Svtlstnovnzvraznn1"/>
        <w:tblW w:w="0" w:type="auto"/>
        <w:tblLook w:val="04A0" w:firstRow="1" w:lastRow="0" w:firstColumn="1" w:lastColumn="0" w:noHBand="0" w:noVBand="1"/>
      </w:tblPr>
      <w:tblGrid>
        <w:gridCol w:w="1101"/>
        <w:gridCol w:w="8111"/>
      </w:tblGrid>
      <w:tr w:rsidR="00DA27D8" w14:paraId="43625FD3" w14:textId="77777777" w:rsidTr="00B64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79F7199F" w14:textId="77777777" w:rsidR="00DA27D8" w:rsidRDefault="00DA27D8" w:rsidP="00B64655">
            <w:pPr>
              <w:rPr>
                <w:rFonts w:cs="Arial"/>
              </w:rPr>
            </w:pPr>
            <w:r>
              <w:rPr>
                <w:rFonts w:cs="Arial"/>
              </w:rPr>
              <w:t>Stav akce</w:t>
            </w:r>
          </w:p>
        </w:tc>
        <w:tc>
          <w:tcPr>
            <w:tcW w:w="8111" w:type="dxa"/>
            <w:vAlign w:val="center"/>
          </w:tcPr>
          <w:p w14:paraId="179ED51C" w14:textId="77777777" w:rsidR="00DA27D8" w:rsidRDefault="00DA27D8" w:rsidP="00B64655">
            <w:pPr>
              <w:cnfStyle w:val="100000000000" w:firstRow="1" w:lastRow="0" w:firstColumn="0" w:lastColumn="0" w:oddVBand="0" w:evenVBand="0" w:oddHBand="0" w:evenHBand="0" w:firstRowFirstColumn="0" w:firstRowLastColumn="0" w:lastRowFirstColumn="0" w:lastRowLastColumn="0"/>
              <w:rPr>
                <w:rFonts w:cs="Arial"/>
              </w:rPr>
            </w:pPr>
            <w:r>
              <w:rPr>
                <w:rFonts w:cs="Arial"/>
              </w:rPr>
              <w:t>Popis</w:t>
            </w:r>
          </w:p>
        </w:tc>
      </w:tr>
      <w:tr w:rsidR="00DA27D8" w14:paraId="454590F9" w14:textId="77777777" w:rsidTr="00B64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002F486" w14:textId="77777777" w:rsidR="00DA27D8" w:rsidRDefault="00DA27D8" w:rsidP="00B64655">
            <w:pPr>
              <w:rPr>
                <w:rFonts w:cs="Arial"/>
              </w:rPr>
            </w:pPr>
            <w:r>
              <w:rPr>
                <w:rFonts w:cs="Arial"/>
              </w:rPr>
              <w:t>U1</w:t>
            </w:r>
          </w:p>
        </w:tc>
        <w:tc>
          <w:tcPr>
            <w:tcW w:w="8111" w:type="dxa"/>
          </w:tcPr>
          <w:p w14:paraId="7C6B8E78" w14:textId="77777777" w:rsidR="00DA27D8" w:rsidRDefault="00DA27D8" w:rsidP="00B64655">
            <w:pPr>
              <w:cnfStyle w:val="000000100000" w:firstRow="0" w:lastRow="0" w:firstColumn="0" w:lastColumn="0" w:oddVBand="0" w:evenVBand="0" w:oddHBand="1" w:evenHBand="0" w:firstRowFirstColumn="0" w:firstRowLastColumn="0" w:lastRowFirstColumn="0" w:lastRowLastColumn="0"/>
              <w:rPr>
                <w:rFonts w:cs="Arial"/>
              </w:rPr>
            </w:pPr>
            <w:r w:rsidRPr="002D203B">
              <w:rPr>
                <w:rFonts w:cs="Arial"/>
              </w:rPr>
              <w:t>údržba a opravy</w:t>
            </w:r>
          </w:p>
        </w:tc>
      </w:tr>
      <w:tr w:rsidR="00DA27D8" w14:paraId="214D025B" w14:textId="77777777" w:rsidTr="00B64655">
        <w:tc>
          <w:tcPr>
            <w:cnfStyle w:val="001000000000" w:firstRow="0" w:lastRow="0" w:firstColumn="1" w:lastColumn="0" w:oddVBand="0" w:evenVBand="0" w:oddHBand="0" w:evenHBand="0" w:firstRowFirstColumn="0" w:firstRowLastColumn="0" w:lastRowFirstColumn="0" w:lastRowLastColumn="0"/>
            <w:tcW w:w="1101" w:type="dxa"/>
          </w:tcPr>
          <w:p w14:paraId="18D77235" w14:textId="77777777" w:rsidR="00DA27D8" w:rsidRDefault="00DA27D8" w:rsidP="00B64655">
            <w:pPr>
              <w:rPr>
                <w:rFonts w:cs="Arial"/>
              </w:rPr>
            </w:pPr>
            <w:r>
              <w:rPr>
                <w:rFonts w:cs="Arial"/>
              </w:rPr>
              <w:t>U2</w:t>
            </w:r>
          </w:p>
        </w:tc>
        <w:tc>
          <w:tcPr>
            <w:tcW w:w="8111" w:type="dxa"/>
          </w:tcPr>
          <w:p w14:paraId="1C451540" w14:textId="77777777" w:rsidR="00DA27D8" w:rsidRDefault="00DA27D8" w:rsidP="00B64655">
            <w:pPr>
              <w:cnfStyle w:val="000000000000" w:firstRow="0" w:lastRow="0" w:firstColumn="0" w:lastColumn="0" w:oddVBand="0" w:evenVBand="0" w:oddHBand="0" w:evenHBand="0" w:firstRowFirstColumn="0" w:firstRowLastColumn="0" w:lastRowFirstColumn="0" w:lastRowLastColumn="0"/>
              <w:rPr>
                <w:rFonts w:cs="Arial"/>
              </w:rPr>
            </w:pPr>
            <w:r w:rsidRPr="002D203B">
              <w:rPr>
                <w:rFonts w:cs="Arial"/>
              </w:rPr>
              <w:t>provozní výdaje</w:t>
            </w:r>
          </w:p>
        </w:tc>
      </w:tr>
    </w:tbl>
    <w:p w14:paraId="5E18DEE4" w14:textId="09B06347" w:rsidR="00DA27D8" w:rsidRDefault="00DA27D8" w:rsidP="00DA27D8">
      <w:pPr>
        <w:rPr>
          <w:rFonts w:cs="Arial"/>
        </w:rPr>
      </w:pPr>
    </w:p>
    <w:p w14:paraId="0123DAE5" w14:textId="77777777" w:rsidR="00DA27D8" w:rsidRPr="00DA27D8" w:rsidRDefault="00DA27D8" w:rsidP="00DA27D8">
      <w:pPr>
        <w:pStyle w:val="Nadpis3"/>
      </w:pPr>
      <w:bookmarkStart w:id="33" w:name="_Toc100576187"/>
      <w:r w:rsidRPr="00DA27D8">
        <w:t>Schvalování rozpisu globální položky</w:t>
      </w:r>
      <w:bookmarkEnd w:id="33"/>
    </w:p>
    <w:p w14:paraId="5791310C" w14:textId="77777777" w:rsidR="00DA27D8" w:rsidRPr="00133D62" w:rsidRDefault="00DA27D8" w:rsidP="00DA27D8">
      <w:pPr>
        <w:rPr>
          <w:rFonts w:cs="Arial"/>
        </w:rPr>
      </w:pPr>
      <w:r w:rsidRPr="00133D62">
        <w:rPr>
          <w:rFonts w:cs="Arial"/>
        </w:rPr>
        <w:t xml:space="preserve">Rozpis globální položky se předkládá </w:t>
      </w:r>
      <w:r>
        <w:rPr>
          <w:rFonts w:cs="Arial"/>
        </w:rPr>
        <w:t xml:space="preserve">Centrální komisi </w:t>
      </w:r>
      <w:r w:rsidRPr="00133D62">
        <w:rPr>
          <w:rFonts w:cs="Arial"/>
        </w:rPr>
        <w:t>ke schválení:</w:t>
      </w:r>
    </w:p>
    <w:p w14:paraId="7813797E" w14:textId="77777777" w:rsidR="00DA27D8" w:rsidRPr="00133D62" w:rsidRDefault="00DA27D8" w:rsidP="00DA27D8">
      <w:pPr>
        <w:pStyle w:val="Odstavecseseznamem"/>
        <w:numPr>
          <w:ilvl w:val="0"/>
          <w:numId w:val="10"/>
        </w:numPr>
        <w:rPr>
          <w:rFonts w:cs="Arial"/>
        </w:rPr>
      </w:pPr>
      <w:r w:rsidRPr="00133D62">
        <w:rPr>
          <w:rFonts w:cs="Arial"/>
        </w:rPr>
        <w:t xml:space="preserve">při zařazení nové </w:t>
      </w:r>
      <w:proofErr w:type="spellStart"/>
      <w:r w:rsidRPr="00133D62">
        <w:rPr>
          <w:rFonts w:cs="Arial"/>
        </w:rPr>
        <w:t>podakce</w:t>
      </w:r>
      <w:proofErr w:type="spellEnd"/>
      <w:r w:rsidRPr="00133D62">
        <w:rPr>
          <w:rFonts w:cs="Arial"/>
        </w:rPr>
        <w:t>;</w:t>
      </w:r>
    </w:p>
    <w:p w14:paraId="1E28BDCD" w14:textId="77777777" w:rsidR="00DA27D8" w:rsidRPr="00133D62" w:rsidRDefault="00DA27D8" w:rsidP="00DA27D8">
      <w:pPr>
        <w:pStyle w:val="Odstavecseseznamem"/>
        <w:numPr>
          <w:ilvl w:val="0"/>
          <w:numId w:val="10"/>
        </w:numPr>
        <w:rPr>
          <w:rFonts w:cs="Arial"/>
        </w:rPr>
      </w:pPr>
      <w:r w:rsidRPr="00133D62">
        <w:rPr>
          <w:rFonts w:cs="Arial"/>
        </w:rPr>
        <w:t xml:space="preserve">při změně nákladů </w:t>
      </w:r>
      <w:proofErr w:type="spellStart"/>
      <w:r w:rsidRPr="00133D62">
        <w:rPr>
          <w:rFonts w:cs="Arial"/>
        </w:rPr>
        <w:t>podakce</w:t>
      </w:r>
      <w:proofErr w:type="spellEnd"/>
      <w:r w:rsidRPr="00133D62">
        <w:rPr>
          <w:rFonts w:cs="Arial"/>
        </w:rPr>
        <w:t xml:space="preserve">, </w:t>
      </w:r>
      <w:proofErr w:type="gramStart"/>
      <w:r w:rsidRPr="00133D62">
        <w:rPr>
          <w:rFonts w:cs="Arial"/>
        </w:rPr>
        <w:t>překročí</w:t>
      </w:r>
      <w:proofErr w:type="gramEnd"/>
      <w:r w:rsidRPr="00133D62">
        <w:rPr>
          <w:rFonts w:cs="Arial"/>
        </w:rPr>
        <w:t>-li celkové náklady po navýšení částku 20 mil. Kč b</w:t>
      </w:r>
      <w:r>
        <w:rPr>
          <w:rFonts w:cs="Arial"/>
        </w:rPr>
        <w:t>ez DPH resp. 30 mil. Kč bez DPH</w:t>
      </w:r>
    </w:p>
    <w:p w14:paraId="1C063206" w14:textId="77777777" w:rsidR="00DA27D8" w:rsidRPr="00133D62" w:rsidRDefault="00DA27D8" w:rsidP="00DA27D8">
      <w:pPr>
        <w:rPr>
          <w:rFonts w:cs="Arial"/>
        </w:rPr>
      </w:pPr>
      <w:r w:rsidRPr="00133D62">
        <w:rPr>
          <w:rFonts w:cs="Arial"/>
        </w:rPr>
        <w:t>Ostatní změny se předkládají SFDI na vědomí.</w:t>
      </w:r>
    </w:p>
    <w:p w14:paraId="34B9CDC6" w14:textId="77777777" w:rsidR="00DA27D8" w:rsidRDefault="00DA27D8" w:rsidP="00DA27D8">
      <w:pPr>
        <w:rPr>
          <w:rFonts w:cs="Arial"/>
        </w:rPr>
      </w:pPr>
      <w:r w:rsidRPr="00133D62">
        <w:rPr>
          <w:rFonts w:cs="Arial"/>
        </w:rPr>
        <w:t xml:space="preserve">Pokud je rozpis globální položky dán usnesením Vlády ČR v rozsahu následujících údajů: identifikace </w:t>
      </w:r>
      <w:proofErr w:type="spellStart"/>
      <w:r w:rsidRPr="00133D62">
        <w:rPr>
          <w:rFonts w:cs="Arial"/>
        </w:rPr>
        <w:t>podakce</w:t>
      </w:r>
      <w:proofErr w:type="spellEnd"/>
      <w:r w:rsidRPr="00133D62">
        <w:rPr>
          <w:rFonts w:cs="Arial"/>
        </w:rPr>
        <w:t xml:space="preserve"> a celkové předpokládané náklady, pak nemusí být rozpis globální položky předkládán Centrální komisi a </w:t>
      </w:r>
      <w:proofErr w:type="gramStart"/>
      <w:r w:rsidRPr="00133D62">
        <w:rPr>
          <w:rFonts w:cs="Arial"/>
        </w:rPr>
        <w:t>předloží</w:t>
      </w:r>
      <w:proofErr w:type="gramEnd"/>
      <w:r w:rsidRPr="00133D62">
        <w:rPr>
          <w:rFonts w:cs="Arial"/>
        </w:rPr>
        <w:t xml:space="preserve"> se pouze SFDI. Pokud dojde v rámci rozpisu ke změně nákladů, musí být rozpis předán ke schválení Centrální komisi. Nové akce není možné zařazov</w:t>
      </w:r>
      <w:r>
        <w:rPr>
          <w:rFonts w:cs="Arial"/>
        </w:rPr>
        <w:t xml:space="preserve">at bez změny usnesení Vlády ČR. </w:t>
      </w:r>
      <w:r w:rsidRPr="00133D62">
        <w:rPr>
          <w:rFonts w:cs="Arial"/>
        </w:rPr>
        <w:t>V případě, že dojde k odlišnému řešení, než je popsáno v usnesení V</w:t>
      </w:r>
      <w:r>
        <w:rPr>
          <w:rFonts w:cs="Arial"/>
        </w:rPr>
        <w:t>l</w:t>
      </w:r>
      <w:r w:rsidRPr="00133D62">
        <w:rPr>
          <w:rFonts w:cs="Arial"/>
        </w:rPr>
        <w:t>ády ČR, resp. v materiálu k danému usnesení, musí být tato odlišnost uvedena v poznámce.</w:t>
      </w:r>
    </w:p>
    <w:p w14:paraId="5717E43E" w14:textId="77777777" w:rsidR="00DA27D8" w:rsidRPr="00133D62" w:rsidRDefault="00DA27D8" w:rsidP="00DA27D8">
      <w:pPr>
        <w:rPr>
          <w:rFonts w:cs="Arial"/>
        </w:rPr>
      </w:pPr>
      <w:r w:rsidRPr="00133D62">
        <w:rPr>
          <w:rFonts w:cs="Arial"/>
        </w:rPr>
        <w:t>Rozpisy globálních položek jsou předkládány cestou SFDI ke schválení Centrální komisí MD.</w:t>
      </w:r>
    </w:p>
    <w:p w14:paraId="4A9C0B05" w14:textId="77777777" w:rsidR="00DA27D8" w:rsidRDefault="00DA27D8" w:rsidP="00DA27D8">
      <w:pPr>
        <w:rPr>
          <w:rFonts w:cs="Arial"/>
        </w:rPr>
      </w:pPr>
      <w:r w:rsidRPr="00133D62">
        <w:rPr>
          <w:rFonts w:cs="Arial"/>
        </w:rPr>
        <w:t>V rámci předložení rozpisů globálních polože</w:t>
      </w:r>
      <w:r>
        <w:rPr>
          <w:rFonts w:cs="Arial"/>
        </w:rPr>
        <w:t xml:space="preserve">k musí příjemce zároveň požádat </w:t>
      </w:r>
      <w:r w:rsidRPr="00133D62">
        <w:rPr>
          <w:rFonts w:cs="Arial"/>
        </w:rPr>
        <w:t>o souhlas nebo</w:t>
      </w:r>
      <w:r>
        <w:rPr>
          <w:rFonts w:cs="Arial"/>
        </w:rPr>
        <w:t xml:space="preserve"> o výjimku ze směrnice V-2/2012, pokud jsou celkové náklady akce vyšší než 30 mil. Kč bez DPH. </w:t>
      </w:r>
    </w:p>
    <w:p w14:paraId="5F5F9941" w14:textId="77777777" w:rsidR="00DA27D8" w:rsidRDefault="00DA27D8" w:rsidP="00DA27D8">
      <w:pPr>
        <w:pStyle w:val="Nadpis3"/>
      </w:pPr>
      <w:bookmarkStart w:id="34" w:name="_Toc100576188"/>
      <w:r>
        <w:t xml:space="preserve">Záměry projektu u </w:t>
      </w:r>
      <w:proofErr w:type="spellStart"/>
      <w:r>
        <w:t>podakcí</w:t>
      </w:r>
      <w:proofErr w:type="spellEnd"/>
      <w:r>
        <w:t xml:space="preserve"> v globálních položkách</w:t>
      </w:r>
      <w:bookmarkEnd w:id="34"/>
    </w:p>
    <w:p w14:paraId="718735AA" w14:textId="77777777" w:rsidR="00DA27D8" w:rsidRPr="00133D62" w:rsidRDefault="00DA27D8" w:rsidP="00DA27D8">
      <w:pPr>
        <w:rPr>
          <w:rFonts w:cs="Arial"/>
        </w:rPr>
      </w:pPr>
      <w:r w:rsidRPr="00133D62">
        <w:rPr>
          <w:rFonts w:cs="Arial"/>
        </w:rPr>
        <w:t xml:space="preserve">U </w:t>
      </w:r>
      <w:proofErr w:type="spellStart"/>
      <w:r w:rsidRPr="00133D62">
        <w:rPr>
          <w:rFonts w:cs="Arial"/>
        </w:rPr>
        <w:t>podakcí</w:t>
      </w:r>
      <w:proofErr w:type="spellEnd"/>
      <w:r w:rsidRPr="00133D62">
        <w:rPr>
          <w:rFonts w:cs="Arial"/>
        </w:rPr>
        <w:t>, jejichž celkové náklady jsou nižší než 20 mil. Kč bez DPH,</w:t>
      </w:r>
      <w:r>
        <w:rPr>
          <w:rFonts w:cs="Arial"/>
        </w:rPr>
        <w:t xml:space="preserve"> se záměr projektu nepředkládá.</w:t>
      </w:r>
    </w:p>
    <w:p w14:paraId="6B22BFE7" w14:textId="77777777" w:rsidR="00DA27D8" w:rsidRPr="00133D62" w:rsidRDefault="00DA27D8" w:rsidP="00DA27D8">
      <w:pPr>
        <w:rPr>
          <w:rFonts w:cs="Arial"/>
        </w:rPr>
      </w:pPr>
      <w:r w:rsidRPr="00133D62">
        <w:rPr>
          <w:rFonts w:cs="Arial"/>
        </w:rPr>
        <w:t xml:space="preserve">U </w:t>
      </w:r>
      <w:proofErr w:type="spellStart"/>
      <w:r w:rsidRPr="00133D62">
        <w:rPr>
          <w:rFonts w:cs="Arial"/>
        </w:rPr>
        <w:t>podakcí</w:t>
      </w:r>
      <w:proofErr w:type="spellEnd"/>
      <w:r w:rsidRPr="00133D62">
        <w:rPr>
          <w:rFonts w:cs="Arial"/>
        </w:rPr>
        <w:t xml:space="preserve">, jejichž celkové náklady jsou vyšší než 30 mil. Kč bez DPH, se záměr projektu předkládá. Zároveň příjemce u těchto akcí musí požádat o výjimku ze směrnice V-2/2012, aby </w:t>
      </w:r>
      <w:proofErr w:type="spellStart"/>
      <w:r w:rsidRPr="00133D62">
        <w:rPr>
          <w:rFonts w:cs="Arial"/>
        </w:rPr>
        <w:t>podakce</w:t>
      </w:r>
      <w:proofErr w:type="spellEnd"/>
      <w:r w:rsidRPr="00133D62">
        <w:rPr>
          <w:rFonts w:cs="Arial"/>
        </w:rPr>
        <w:t xml:space="preserve"> mohly být vedeny i nadále v globální položce. Ve sloupci 10 bude automaticky uvedeno „předložit“. Příjemce pak do poznámky uvede, kdy byl záměr projektu schválen Centrální komisí.</w:t>
      </w:r>
    </w:p>
    <w:p w14:paraId="2F28F894" w14:textId="4C86F837" w:rsidR="00DA27D8" w:rsidRPr="00133D62" w:rsidRDefault="00DA27D8" w:rsidP="00DA27D8">
      <w:pPr>
        <w:rPr>
          <w:rFonts w:cs="Arial"/>
        </w:rPr>
      </w:pPr>
      <w:r w:rsidRPr="443B578B">
        <w:rPr>
          <w:rFonts w:cs="Arial"/>
        </w:rPr>
        <w:t xml:space="preserve">U </w:t>
      </w:r>
      <w:proofErr w:type="spellStart"/>
      <w:r w:rsidRPr="443B578B">
        <w:rPr>
          <w:rFonts w:cs="Arial"/>
        </w:rPr>
        <w:t>podakcí</w:t>
      </w:r>
      <w:proofErr w:type="spellEnd"/>
      <w:r w:rsidRPr="443B578B">
        <w:rPr>
          <w:rFonts w:cs="Arial"/>
        </w:rPr>
        <w:t>, jejichž celkové náklady jsou v rozmezí 20 až 30 mil. Kč bez DPH, příjemce musí požádat o souhlas s financováním v rámci globální položky bez předložení záměru projektu. Příjemce pak do poznámky uvede, kdy byl souhlas Centrální komise udělen.</w:t>
      </w:r>
    </w:p>
    <w:p w14:paraId="05D1AA40" w14:textId="54116300" w:rsidR="00E145F7" w:rsidRDefault="00DA27D8" w:rsidP="00517D15">
      <w:pPr>
        <w:rPr>
          <w:rFonts w:cs="Arial"/>
        </w:rPr>
      </w:pPr>
      <w:r w:rsidRPr="00133D62">
        <w:rPr>
          <w:rFonts w:cs="Arial"/>
        </w:rPr>
        <w:t>Příjemce předkládá ke schválení záměry projektu přímo na Ministerstvo dopravy.</w:t>
      </w:r>
    </w:p>
    <w:p w14:paraId="23EE867C" w14:textId="77777777" w:rsidR="00793612" w:rsidRDefault="00793612" w:rsidP="00793612">
      <w:pPr>
        <w:pStyle w:val="Nadpis2"/>
      </w:pPr>
      <w:bookmarkStart w:id="35" w:name="_Toc100576189"/>
      <w:r>
        <w:lastRenderedPageBreak/>
        <w:t>Vzájemná spojitost jednotlivých úkonů</w:t>
      </w:r>
      <w:bookmarkEnd w:id="35"/>
    </w:p>
    <w:p w14:paraId="10A9FE3E" w14:textId="77777777" w:rsidR="00793612" w:rsidRDefault="00793612" w:rsidP="00793612">
      <w:pPr>
        <w:pStyle w:val="Nadpis3"/>
      </w:pPr>
      <w:bookmarkStart w:id="36" w:name="_Toc100576190"/>
      <w:r>
        <w:t>Příprava rozpočtu</w:t>
      </w:r>
      <w:bookmarkEnd w:id="36"/>
    </w:p>
    <w:p w14:paraId="648B5707" w14:textId="77777777" w:rsidR="00793612" w:rsidRDefault="00793612" w:rsidP="00793612">
      <w:pPr>
        <w:rPr>
          <w:rFonts w:cs="Arial"/>
        </w:rPr>
      </w:pPr>
      <w:r>
        <w:rPr>
          <w:rFonts w:cs="Arial"/>
        </w:rPr>
        <w:t>V rámci přípravy rozpočtu na další rok by měl příjemce začít zajišťovat záměry projektu. Do doby schválení záměru projektu Centrální komisí MD je možné financovat pouze náklady spojené s tvorbou záměru projektu. V případě, že do rozpočtu je zařazována již běžící akce z loňského roku, musí příjemce zaktualizovat celkové náklady akce a její harmonogram.</w:t>
      </w:r>
    </w:p>
    <w:p w14:paraId="5096A4D3" w14:textId="77777777" w:rsidR="00793612" w:rsidRDefault="00793612" w:rsidP="00793612">
      <w:pPr>
        <w:pStyle w:val="Nadpis3"/>
      </w:pPr>
      <w:bookmarkStart w:id="37" w:name="_Toc100576191"/>
      <w:r>
        <w:t>Rozpočtové úpravy</w:t>
      </w:r>
      <w:bookmarkEnd w:id="37"/>
    </w:p>
    <w:p w14:paraId="3E3E011A" w14:textId="77777777" w:rsidR="00793612" w:rsidRDefault="00793612" w:rsidP="00793612">
      <w:pPr>
        <w:rPr>
          <w:rFonts w:cs="Arial"/>
        </w:rPr>
      </w:pPr>
      <w:r>
        <w:rPr>
          <w:rFonts w:cs="Arial"/>
        </w:rPr>
        <w:t>V případě zařazení nové akce do rozpočtu je potřeba zajistit schválení záměru projektu.</w:t>
      </w:r>
    </w:p>
    <w:p w14:paraId="6BBD231A" w14:textId="77777777" w:rsidR="00793612" w:rsidRDefault="00793612" w:rsidP="00793612">
      <w:pPr>
        <w:rPr>
          <w:rFonts w:cs="Arial"/>
        </w:rPr>
      </w:pPr>
      <w:r>
        <w:rPr>
          <w:rFonts w:cs="Arial"/>
        </w:rPr>
        <w:t xml:space="preserve">V případě změny </w:t>
      </w:r>
      <w:proofErr w:type="gramStart"/>
      <w:r>
        <w:rPr>
          <w:rFonts w:cs="Arial"/>
        </w:rPr>
        <w:t>rozpočtu</w:t>
      </w:r>
      <w:proofErr w:type="gramEnd"/>
      <w:r>
        <w:rPr>
          <w:rFonts w:cs="Arial"/>
        </w:rPr>
        <w:t xml:space="preserve"> u již zařazené akce musí příjemce aktualizovat údaje o celkových nákladech a harmonogramu výstavby.</w:t>
      </w:r>
    </w:p>
    <w:p w14:paraId="51F8826C" w14:textId="77777777" w:rsidR="00793612" w:rsidRDefault="00793612" w:rsidP="00793612">
      <w:pPr>
        <w:rPr>
          <w:rFonts w:cs="Arial"/>
        </w:rPr>
      </w:pPr>
      <w:r>
        <w:rPr>
          <w:rFonts w:cs="Arial"/>
        </w:rPr>
        <w:t xml:space="preserve">V případě zařazení globální položky do rozpočtu je nutné zaslat rozpis akcí. Na úrovni jednotlivých </w:t>
      </w:r>
      <w:proofErr w:type="spellStart"/>
      <w:r>
        <w:rPr>
          <w:rFonts w:cs="Arial"/>
        </w:rPr>
        <w:t>podakcí</w:t>
      </w:r>
      <w:proofErr w:type="spellEnd"/>
      <w:r>
        <w:rPr>
          <w:rFonts w:cs="Arial"/>
        </w:rPr>
        <w:t xml:space="preserve"> je potřeba řešit záměr projektu.</w:t>
      </w:r>
    </w:p>
    <w:p w14:paraId="45B04B51" w14:textId="77777777" w:rsidR="00793612" w:rsidRDefault="00793612" w:rsidP="00793612">
      <w:pPr>
        <w:rPr>
          <w:rFonts w:cs="Arial"/>
        </w:rPr>
      </w:pPr>
      <w:r>
        <w:rPr>
          <w:rFonts w:cs="Arial"/>
        </w:rPr>
        <w:t>V případě změny rozpočtu globální položky je nutné zaslat aktualizovaný rozpis globální položky. V rámci aktualizace je příjemce povinen aktualizovat i celkové náklady akce.</w:t>
      </w:r>
    </w:p>
    <w:p w14:paraId="1746335A" w14:textId="77777777" w:rsidR="00793612" w:rsidRDefault="00793612" w:rsidP="00793612">
      <w:pPr>
        <w:rPr>
          <w:rFonts w:cs="Arial"/>
        </w:rPr>
      </w:pPr>
      <w:r>
        <w:rPr>
          <w:rFonts w:cs="Arial"/>
        </w:rPr>
        <w:t xml:space="preserve">Aktualizaci rozpisu lze zasílat i v případě, že se nemění rozpočet globální položky, ale pouze limity pro daný rok u jednotlivých </w:t>
      </w:r>
      <w:proofErr w:type="spellStart"/>
      <w:r>
        <w:rPr>
          <w:rFonts w:cs="Arial"/>
        </w:rPr>
        <w:t>podakcí</w:t>
      </w:r>
      <w:proofErr w:type="spellEnd"/>
      <w:r>
        <w:rPr>
          <w:rFonts w:cs="Arial"/>
        </w:rPr>
        <w:t>.</w:t>
      </w:r>
    </w:p>
    <w:p w14:paraId="58E352DB" w14:textId="4203AB86" w:rsidR="00793612" w:rsidRDefault="00793612" w:rsidP="00630410">
      <w:pPr>
        <w:rPr>
          <w:rFonts w:cs="Arial"/>
        </w:rPr>
      </w:pPr>
      <w:r>
        <w:rPr>
          <w:rFonts w:cs="Arial"/>
        </w:rPr>
        <w:t>Rozpis globální položky se zasílá vždy nový pro každý rok.</w:t>
      </w:r>
    </w:p>
    <w:p w14:paraId="08BDED62" w14:textId="26B0BEAA" w:rsidR="004A08A7" w:rsidRPr="009C714E" w:rsidRDefault="009C714E" w:rsidP="004A08A7">
      <w:pPr>
        <w:rPr>
          <w:rFonts w:cs="Arial"/>
        </w:rPr>
      </w:pPr>
      <w:r>
        <w:rPr>
          <w:rFonts w:cs="Arial"/>
          <w:lang w:val="en-US"/>
        </w:rPr>
        <w:t>[</w:t>
      </w:r>
      <w:proofErr w:type="spellStart"/>
      <w:r>
        <w:rPr>
          <w:rFonts w:cs="Arial"/>
          <w:lang w:val="en-US"/>
        </w:rPr>
        <w:t>Obrázky</w:t>
      </w:r>
      <w:proofErr w:type="spellEnd"/>
      <w:r>
        <w:rPr>
          <w:rFonts w:cs="Arial"/>
          <w:lang w:val="en-US"/>
        </w:rPr>
        <w:t>/</w:t>
      </w:r>
      <w:proofErr w:type="spellStart"/>
      <w:r>
        <w:rPr>
          <w:rFonts w:cs="Arial"/>
          <w:lang w:val="en-US"/>
        </w:rPr>
        <w:t>Zamery_projektu</w:t>
      </w:r>
      <w:proofErr w:type="spellEnd"/>
      <w:r>
        <w:rPr>
          <w:rFonts w:cs="Arial"/>
          <w:lang w:val="en-US"/>
        </w:rPr>
        <w:t>]</w:t>
      </w:r>
    </w:p>
    <w:p w14:paraId="79487721" w14:textId="55C70538" w:rsidR="004A08A7" w:rsidRDefault="004A08A7" w:rsidP="004A08A7"/>
    <w:p w14:paraId="6C0F2578" w14:textId="69F9A8D9" w:rsidR="004A08A7" w:rsidRDefault="004A08A7" w:rsidP="004A08A7">
      <w:pPr>
        <w:rPr>
          <w:rFonts w:cs="Arial"/>
        </w:rPr>
      </w:pPr>
    </w:p>
    <w:p w14:paraId="46EE99F2" w14:textId="1E6F069E" w:rsidR="009C714E" w:rsidRDefault="49C3AED5" w:rsidP="79523924">
      <w:pPr>
        <w:jc w:val="center"/>
        <w:rPr>
          <w:rFonts w:cs="Arial"/>
        </w:rPr>
      </w:pPr>
      <w:r>
        <w:rPr>
          <w:noProof/>
        </w:rPr>
        <w:drawing>
          <wp:inline distT="0" distB="0" distL="0" distR="0" wp14:anchorId="6491CF0F" wp14:editId="40AB842F">
            <wp:extent cx="5534025" cy="1556444"/>
            <wp:effectExtent l="0" t="0" r="0" b="0"/>
            <wp:docPr id="1203909239" name="Picture 1203909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34025" cy="1556444"/>
                    </a:xfrm>
                    <a:prstGeom prst="rect">
                      <a:avLst/>
                    </a:prstGeom>
                  </pic:spPr>
                </pic:pic>
              </a:graphicData>
            </a:graphic>
          </wp:inline>
        </w:drawing>
      </w:r>
    </w:p>
    <w:p w14:paraId="43F6BAAB" w14:textId="77777777" w:rsidR="009C714E" w:rsidRDefault="009C714E" w:rsidP="004A08A7">
      <w:pPr>
        <w:rPr>
          <w:rFonts w:cs="Arial"/>
        </w:rPr>
      </w:pPr>
    </w:p>
    <w:p w14:paraId="7648C3C3" w14:textId="77777777" w:rsidR="009C714E" w:rsidRDefault="009C714E" w:rsidP="004A08A7">
      <w:pPr>
        <w:rPr>
          <w:rFonts w:cs="Arial"/>
        </w:rPr>
      </w:pPr>
    </w:p>
    <w:p w14:paraId="522CC528" w14:textId="77777777" w:rsidR="009C714E" w:rsidRDefault="009C714E" w:rsidP="004A08A7">
      <w:pPr>
        <w:rPr>
          <w:rFonts w:cs="Arial"/>
        </w:rPr>
      </w:pPr>
    </w:p>
    <w:p w14:paraId="4ABAD1C3" w14:textId="77777777" w:rsidR="009C714E" w:rsidRDefault="009C714E" w:rsidP="004A08A7">
      <w:pPr>
        <w:rPr>
          <w:rFonts w:cs="Arial"/>
        </w:rPr>
      </w:pPr>
    </w:p>
    <w:p w14:paraId="3EF9F4B0" w14:textId="77777777" w:rsidR="009C714E" w:rsidRDefault="009C714E" w:rsidP="004A08A7">
      <w:pPr>
        <w:rPr>
          <w:rFonts w:cs="Arial"/>
        </w:rPr>
      </w:pPr>
    </w:p>
    <w:p w14:paraId="501D05CB" w14:textId="77777777" w:rsidR="009C714E" w:rsidRDefault="009C714E" w:rsidP="004A08A7">
      <w:pPr>
        <w:rPr>
          <w:rFonts w:cs="Arial"/>
        </w:rPr>
      </w:pPr>
    </w:p>
    <w:p w14:paraId="7819E18D" w14:textId="73659AD6" w:rsidR="009C714E" w:rsidRPr="009C714E" w:rsidRDefault="009C714E" w:rsidP="004A08A7">
      <w:pPr>
        <w:rPr>
          <w:rFonts w:cs="Arial"/>
        </w:rPr>
      </w:pPr>
      <w:r>
        <w:rPr>
          <w:rFonts w:cs="Arial"/>
          <w:lang w:val="en-US"/>
        </w:rPr>
        <w:t>[</w:t>
      </w:r>
      <w:proofErr w:type="spellStart"/>
      <w:r>
        <w:rPr>
          <w:rFonts w:cs="Arial"/>
          <w:lang w:val="en-US"/>
        </w:rPr>
        <w:t>Obrazky</w:t>
      </w:r>
      <w:proofErr w:type="spellEnd"/>
      <w:r>
        <w:rPr>
          <w:rFonts w:cs="Arial"/>
          <w:lang w:val="en-US"/>
        </w:rPr>
        <w:t>/</w:t>
      </w:r>
      <w:proofErr w:type="spellStart"/>
      <w:r w:rsidR="002108D1">
        <w:rPr>
          <w:rFonts w:cs="Arial"/>
          <w:lang w:val="en-US"/>
        </w:rPr>
        <w:t>Globalni_položky_predlozeni</w:t>
      </w:r>
      <w:proofErr w:type="spellEnd"/>
      <w:r>
        <w:rPr>
          <w:rFonts w:cs="Arial"/>
          <w:lang w:val="en-US"/>
        </w:rPr>
        <w:t>]</w:t>
      </w:r>
    </w:p>
    <w:p w14:paraId="1C1D6FCC" w14:textId="22F3E048" w:rsidR="004A08A7" w:rsidRDefault="004A08A7" w:rsidP="004A08A7"/>
    <w:p w14:paraId="30569AAF" w14:textId="77777777" w:rsidR="004A08A7" w:rsidRDefault="004A08A7" w:rsidP="004A08A7">
      <w:pPr>
        <w:rPr>
          <w:rFonts w:cs="Arial"/>
        </w:rPr>
      </w:pPr>
    </w:p>
    <w:p w14:paraId="278933B0" w14:textId="69EAD902" w:rsidR="004A08A7" w:rsidRPr="00630410" w:rsidRDefault="1C4C102F" w:rsidP="1C4C102F">
      <w:pPr>
        <w:jc w:val="center"/>
        <w:rPr>
          <w:rFonts w:cs="Arial"/>
        </w:rPr>
      </w:pPr>
      <w:r>
        <w:rPr>
          <w:noProof/>
        </w:rPr>
        <w:lastRenderedPageBreak/>
        <w:drawing>
          <wp:inline distT="0" distB="0" distL="0" distR="0" wp14:anchorId="065B469C" wp14:editId="7713763A">
            <wp:extent cx="5810250" cy="1634133"/>
            <wp:effectExtent l="0" t="0" r="0" b="0"/>
            <wp:docPr id="141059476" name="Picture 141059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10250" cy="1634133"/>
                    </a:xfrm>
                    <a:prstGeom prst="rect">
                      <a:avLst/>
                    </a:prstGeom>
                  </pic:spPr>
                </pic:pic>
              </a:graphicData>
            </a:graphic>
          </wp:inline>
        </w:drawing>
      </w:r>
    </w:p>
    <w:p w14:paraId="29551E2F" w14:textId="7D0F8EB9" w:rsidR="00B62DFE" w:rsidRDefault="00B62DFE" w:rsidP="00E145F7">
      <w:pPr>
        <w:pStyle w:val="Nadpis1"/>
      </w:pPr>
      <w:bookmarkStart w:id="38" w:name="_Toc100576192"/>
      <w:r>
        <w:t>Průběh financování v rámci kalendářního roku</w:t>
      </w:r>
      <w:bookmarkEnd w:id="38"/>
    </w:p>
    <w:p w14:paraId="28A623A4" w14:textId="4963658E" w:rsidR="00102B1F" w:rsidRDefault="00DF1446" w:rsidP="00102B1F">
      <w:pPr>
        <w:rPr>
          <w:lang w:val="en-US"/>
        </w:rPr>
      </w:pPr>
      <w:r>
        <w:rPr>
          <w:lang w:val="en-US"/>
        </w:rPr>
        <w:t>[</w:t>
      </w:r>
      <w:proofErr w:type="spellStart"/>
      <w:r>
        <w:rPr>
          <w:lang w:val="en-US"/>
        </w:rPr>
        <w:t>časová</w:t>
      </w:r>
      <w:proofErr w:type="spellEnd"/>
      <w:r>
        <w:rPr>
          <w:lang w:val="en-US"/>
        </w:rPr>
        <w:t xml:space="preserve"> </w:t>
      </w:r>
      <w:proofErr w:type="spellStart"/>
      <w:r>
        <w:rPr>
          <w:lang w:val="en-US"/>
        </w:rPr>
        <w:t>osa</w:t>
      </w:r>
      <w:proofErr w:type="spellEnd"/>
      <w:r>
        <w:rPr>
          <w:lang w:val="en-US"/>
        </w:rPr>
        <w:t>]</w:t>
      </w:r>
    </w:p>
    <w:tbl>
      <w:tblPr>
        <w:tblStyle w:val="Mkatabulky"/>
        <w:tblW w:w="0" w:type="auto"/>
        <w:tblLook w:val="04A0" w:firstRow="1" w:lastRow="0" w:firstColumn="1" w:lastColumn="0" w:noHBand="0" w:noVBand="1"/>
      </w:tblPr>
      <w:tblGrid>
        <w:gridCol w:w="9212"/>
      </w:tblGrid>
      <w:tr w:rsidR="00DF1446" w14:paraId="74A0787D" w14:textId="77777777" w:rsidTr="00DF1446">
        <w:tc>
          <w:tcPr>
            <w:tcW w:w="9212" w:type="dxa"/>
          </w:tcPr>
          <w:p w14:paraId="10BBF980" w14:textId="77777777" w:rsidR="00DF1446" w:rsidRPr="00544797" w:rsidRDefault="00E24EC2" w:rsidP="00102B1F">
            <w:pPr>
              <w:rPr>
                <w:rStyle w:val="Siln"/>
              </w:rPr>
            </w:pPr>
            <w:r w:rsidRPr="00544797">
              <w:rPr>
                <w:rStyle w:val="Siln"/>
              </w:rPr>
              <w:t>Příprava rozpočtu SFDI</w:t>
            </w:r>
          </w:p>
          <w:p w14:paraId="43B31549" w14:textId="77777777" w:rsidR="00E24EC2" w:rsidRPr="00544797" w:rsidRDefault="00E24EC2" w:rsidP="00102B1F">
            <w:pPr>
              <w:rPr>
                <w:rStyle w:val="Zdraznnintenzivn"/>
              </w:rPr>
            </w:pPr>
            <w:r w:rsidRPr="00544797">
              <w:rPr>
                <w:rStyle w:val="Zdraznnintenzivn"/>
              </w:rPr>
              <w:t>Orientační časové rozmezí: květen-červenec</w:t>
            </w:r>
          </w:p>
          <w:p w14:paraId="6828543D" w14:textId="77777777" w:rsidR="00142A74" w:rsidRDefault="00544797" w:rsidP="00102B1F">
            <w:r>
              <w:t>Proces přípravy rozpočtu pro daný kalendářní rok probíhá zhruba od května předchozího roku a vyvrcholí jeho schválením Poslaneckou sněmovnou Parlamentu ČR. Pokud k jeho schválení nedojde, nastupuje do doby jeho schválení rozpočtové provizorium.</w:t>
            </w:r>
          </w:p>
          <w:p w14:paraId="3E62F010" w14:textId="1B8FA4FF" w:rsidR="00544797" w:rsidRDefault="00544797" w:rsidP="00102B1F">
            <w:r>
              <w:t xml:space="preserve">Více informací o přípravě rozpočtu najdete </w:t>
            </w:r>
            <w:r w:rsidRPr="00AB1BF8">
              <w:t xml:space="preserve">na </w:t>
            </w:r>
            <w:hyperlink r:id="rId25" w:tgtFrame="_blank" w:history="1">
              <w:r w:rsidRPr="00AB1BF8">
                <w:rPr>
                  <w:rStyle w:val="Odkazintenzivn"/>
                </w:rPr>
                <w:t>zde</w:t>
              </w:r>
            </w:hyperlink>
            <w:r w:rsidR="00142A74" w:rsidRPr="00AB1BF8">
              <w:rPr>
                <w:rStyle w:val="Odkazintenzivn"/>
              </w:rPr>
              <w:t xml:space="preserve">. </w:t>
            </w:r>
            <w:r w:rsidR="00954F7A" w:rsidRPr="00AB1BF8">
              <w:t xml:space="preserve">[odkaz na kapitolu </w:t>
            </w:r>
            <w:r w:rsidR="00AB1BF8" w:rsidRPr="00AB1BF8">
              <w:t>4.1</w:t>
            </w:r>
            <w:r w:rsidR="00954F7A" w:rsidRPr="00AB1BF8">
              <w:t>]</w:t>
            </w:r>
            <w:r w:rsidRPr="00AB1BF8">
              <w:br/>
              <w:t>Příjemce by měl zároveň začít připravovat záměr projektu</w:t>
            </w:r>
            <w:r w:rsidR="00FE0AD1">
              <w:t>, je-li vyžadován</w:t>
            </w:r>
            <w:r w:rsidRPr="00AB1BF8">
              <w:t xml:space="preserve">. Více informací o záměrech projektu je uvedeno </w:t>
            </w:r>
            <w:hyperlink r:id="rId26" w:tgtFrame="_blank" w:history="1">
              <w:r w:rsidRPr="00AB1BF8">
                <w:rPr>
                  <w:rStyle w:val="Odkazintenzivn"/>
                </w:rPr>
                <w:t>zde</w:t>
              </w:r>
            </w:hyperlink>
            <w:r w:rsidRPr="00AB1BF8">
              <w:t>.</w:t>
            </w:r>
            <w:r w:rsidR="00954F7A" w:rsidRPr="00AB1BF8">
              <w:t xml:space="preserve"> </w:t>
            </w:r>
            <w:r w:rsidR="00954F7A" w:rsidRPr="007563FE">
              <w:rPr>
                <w:lang w:val="pl-PL"/>
              </w:rPr>
              <w:t>[</w:t>
            </w:r>
            <w:r w:rsidR="00954F7A" w:rsidRPr="00AB1BF8">
              <w:t xml:space="preserve">odkaz na kapitolu </w:t>
            </w:r>
            <w:r w:rsidR="00AB1BF8" w:rsidRPr="00AB1BF8">
              <w:t>3.3</w:t>
            </w:r>
            <w:r w:rsidR="00954F7A" w:rsidRPr="00AB1BF8">
              <w:t>]</w:t>
            </w:r>
          </w:p>
        </w:tc>
      </w:tr>
      <w:tr w:rsidR="00DF1446" w14:paraId="3F485118" w14:textId="77777777" w:rsidTr="00DF1446">
        <w:tc>
          <w:tcPr>
            <w:tcW w:w="9212" w:type="dxa"/>
          </w:tcPr>
          <w:p w14:paraId="0A2F1102" w14:textId="77777777" w:rsidR="00DF1446" w:rsidRPr="00824678" w:rsidRDefault="00727633" w:rsidP="00102B1F">
            <w:pPr>
              <w:rPr>
                <w:rStyle w:val="Siln"/>
              </w:rPr>
            </w:pPr>
            <w:r w:rsidRPr="00824678">
              <w:rPr>
                <w:rStyle w:val="Siln"/>
              </w:rPr>
              <w:t>Schválení rozpočtu SFDI</w:t>
            </w:r>
          </w:p>
          <w:p w14:paraId="23E4D07C" w14:textId="77777777" w:rsidR="00727633" w:rsidRPr="00824678" w:rsidRDefault="00727633" w:rsidP="00102B1F">
            <w:pPr>
              <w:rPr>
                <w:rStyle w:val="Zdraznnintenzivn"/>
              </w:rPr>
            </w:pPr>
            <w:r w:rsidRPr="00824678">
              <w:rPr>
                <w:rStyle w:val="Zdraznnintenzivn"/>
              </w:rPr>
              <w:t>Orientační časové rozmezí: prosinec</w:t>
            </w:r>
          </w:p>
          <w:p w14:paraId="4B3B5C14" w14:textId="2E68AE1B" w:rsidR="00824678" w:rsidRDefault="00824678" w:rsidP="00102B1F">
            <w:r>
              <w:t>Rozpočet SFDI je projednáván Výborem SFDI, …</w:t>
            </w:r>
            <w:proofErr w:type="gramStart"/>
            <w:r>
              <w:t>…….</w:t>
            </w:r>
            <w:proofErr w:type="gramEnd"/>
            <w:r>
              <w:t>a schvaluje ho Poslanecká sněmovna Parlamentu ČR. Pokud k jeho schválení nedojde, nastupuje do doby jeho schválení rozpočtové provizorium.</w:t>
            </w:r>
          </w:p>
        </w:tc>
      </w:tr>
      <w:tr w:rsidR="00DF1446" w14:paraId="62BEEC94" w14:textId="77777777" w:rsidTr="00DF1446">
        <w:tc>
          <w:tcPr>
            <w:tcW w:w="9212" w:type="dxa"/>
          </w:tcPr>
          <w:p w14:paraId="31C5B642" w14:textId="77777777" w:rsidR="00DF1446" w:rsidRPr="00381789" w:rsidRDefault="00850C79" w:rsidP="00102B1F">
            <w:pPr>
              <w:rPr>
                <w:rStyle w:val="Siln"/>
              </w:rPr>
            </w:pPr>
            <w:r w:rsidRPr="00381789">
              <w:rPr>
                <w:rStyle w:val="Siln"/>
              </w:rPr>
              <w:t>Odeslání informace příjemcům</w:t>
            </w:r>
          </w:p>
          <w:p w14:paraId="62546E8D" w14:textId="77777777" w:rsidR="00850C79" w:rsidRPr="00381789" w:rsidRDefault="00381789" w:rsidP="00102B1F">
            <w:pPr>
              <w:rPr>
                <w:rStyle w:val="Zdraznnintenzivn"/>
              </w:rPr>
            </w:pPr>
            <w:r w:rsidRPr="00381789">
              <w:rPr>
                <w:rStyle w:val="Zdraznnintenzivn"/>
              </w:rPr>
              <w:t>Orientační časové rozmezí: prosinec-leden</w:t>
            </w:r>
          </w:p>
          <w:p w14:paraId="545BD9CA" w14:textId="744D493F" w:rsidR="00381789" w:rsidRDefault="00381789" w:rsidP="00102B1F">
            <w:r>
              <w:t>Začátkem roku odchází na většinu příjemců informace, že mají ve schváleném rozpočtu alokovány finanční prostředky, že s nimi bude uzavřena smlouva na daný kalendářní rok a že je potřeba za účelem uzavření smlouvy doložit určité podklady.</w:t>
            </w:r>
          </w:p>
        </w:tc>
      </w:tr>
      <w:tr w:rsidR="00DF1446" w14:paraId="3B8931C8" w14:textId="77777777" w:rsidTr="00DF1446">
        <w:tc>
          <w:tcPr>
            <w:tcW w:w="9212" w:type="dxa"/>
          </w:tcPr>
          <w:p w14:paraId="474638FB" w14:textId="77777777" w:rsidR="00DF1446" w:rsidRPr="00A129A6" w:rsidRDefault="00381789" w:rsidP="00102B1F">
            <w:pPr>
              <w:rPr>
                <w:rStyle w:val="Siln"/>
              </w:rPr>
            </w:pPr>
            <w:r w:rsidRPr="00A129A6">
              <w:rPr>
                <w:rStyle w:val="Siln"/>
              </w:rPr>
              <w:t>Uzavření smlouvy</w:t>
            </w:r>
          </w:p>
          <w:p w14:paraId="5299B1E5" w14:textId="77777777" w:rsidR="00DC5484" w:rsidRPr="00A129A6" w:rsidRDefault="00DC5484" w:rsidP="00102B1F">
            <w:pPr>
              <w:rPr>
                <w:rStyle w:val="Zdraznnintenzivn"/>
              </w:rPr>
            </w:pPr>
            <w:r w:rsidRPr="00A129A6">
              <w:rPr>
                <w:rStyle w:val="Zdraznnintenzivn"/>
              </w:rPr>
              <w:t>Orientační časové rozmezí: leden-březen</w:t>
            </w:r>
          </w:p>
          <w:p w14:paraId="5186CD92" w14:textId="34958D3D" w:rsidR="00661D08" w:rsidRPr="00A129A6" w:rsidRDefault="00661D08" w:rsidP="00102B1F">
            <w:r w:rsidRPr="00A129A6">
              <w:t xml:space="preserve">Po doložení všech potřebných podkladů a po absolvování schvalovacího procesu může být uzavřena smlouvy. Více informací o celém procesu uzavření smlouvy je uvedeno </w:t>
            </w:r>
            <w:hyperlink r:id="rId27" w:history="1">
              <w:r w:rsidRPr="00A129A6">
                <w:rPr>
                  <w:rStyle w:val="Odkazintenzivn"/>
                </w:rPr>
                <w:t>zde</w:t>
              </w:r>
            </w:hyperlink>
            <w:r w:rsidRPr="00A129A6">
              <w:t xml:space="preserve"> </w:t>
            </w:r>
            <w:r w:rsidRPr="007563FE">
              <w:rPr>
                <w:lang w:val="pl-PL"/>
              </w:rPr>
              <w:t>[</w:t>
            </w:r>
            <w:r w:rsidRPr="00A129A6">
              <w:t xml:space="preserve">odkaz na kapitolu </w:t>
            </w:r>
            <w:r w:rsidR="002108D1" w:rsidRPr="00A129A6">
              <w:t>4.3</w:t>
            </w:r>
            <w:r w:rsidRPr="00A129A6">
              <w:t>]</w:t>
            </w:r>
          </w:p>
        </w:tc>
      </w:tr>
      <w:tr w:rsidR="00DF1446" w14:paraId="6A06D098" w14:textId="77777777" w:rsidTr="00DF1446">
        <w:tc>
          <w:tcPr>
            <w:tcW w:w="9212" w:type="dxa"/>
          </w:tcPr>
          <w:p w14:paraId="61925A03" w14:textId="77777777" w:rsidR="00DF1446" w:rsidRPr="00A129A6" w:rsidRDefault="00462F1A" w:rsidP="00102B1F">
            <w:pPr>
              <w:rPr>
                <w:rStyle w:val="Siln"/>
              </w:rPr>
            </w:pPr>
            <w:r w:rsidRPr="00A129A6">
              <w:rPr>
                <w:rStyle w:val="Siln"/>
              </w:rPr>
              <w:t>Převody nevyčerpaných finančních prostředků</w:t>
            </w:r>
          </w:p>
          <w:p w14:paraId="005DA323" w14:textId="77777777" w:rsidR="00462F1A" w:rsidRPr="00A129A6" w:rsidRDefault="00462F1A" w:rsidP="00102B1F">
            <w:pPr>
              <w:rPr>
                <w:rStyle w:val="Zdraznnintenzivn"/>
              </w:rPr>
            </w:pPr>
            <w:r w:rsidRPr="00A129A6">
              <w:rPr>
                <w:rStyle w:val="Zdraznnintenzivn"/>
              </w:rPr>
              <w:t>Orientační časové rozmezí: leden-březen</w:t>
            </w:r>
          </w:p>
          <w:p w14:paraId="19479409" w14:textId="13A3B707" w:rsidR="00462F1A" w:rsidRPr="00A129A6" w:rsidRDefault="00462F1A" w:rsidP="00102B1F">
            <w:r w:rsidRPr="00A129A6">
              <w:t>Příjemci mohou v souladu s Pravidly pro financování požádat o převod nevyčerpaných finančních prostředků. Převody je možné uskutečnit nejdříve po schválení finančního vypořádání (1. polovina února). Příjemce musí žádost o převod požádat nejpozději 31. 3.</w:t>
            </w:r>
            <w:r w:rsidRPr="00A129A6">
              <w:br/>
              <w:t xml:space="preserve">Více informací naleznete </w:t>
            </w:r>
            <w:hyperlink r:id="rId28" w:tgtFrame="_blank" w:history="1">
              <w:r w:rsidRPr="00A129A6">
                <w:rPr>
                  <w:rStyle w:val="Odkazintenzivn"/>
                </w:rPr>
                <w:t>zde</w:t>
              </w:r>
            </w:hyperlink>
            <w:r w:rsidRPr="00A129A6">
              <w:t xml:space="preserve">. </w:t>
            </w:r>
            <w:r w:rsidRPr="00A129A6">
              <w:rPr>
                <w:lang w:val="en-US"/>
              </w:rPr>
              <w:t>[</w:t>
            </w:r>
            <w:r w:rsidRPr="00A129A6">
              <w:t xml:space="preserve">odkaz na kapitolu </w:t>
            </w:r>
            <w:r w:rsidR="002108D1" w:rsidRPr="00A129A6">
              <w:t>4.2</w:t>
            </w:r>
            <w:r w:rsidRPr="00A129A6">
              <w:t>]</w:t>
            </w:r>
          </w:p>
        </w:tc>
      </w:tr>
      <w:tr w:rsidR="00DF1446" w14:paraId="3A3FA20F" w14:textId="77777777" w:rsidTr="00DF1446">
        <w:tc>
          <w:tcPr>
            <w:tcW w:w="9212" w:type="dxa"/>
          </w:tcPr>
          <w:p w14:paraId="2C465B7D" w14:textId="77777777" w:rsidR="00DF1446" w:rsidRPr="00A129A6" w:rsidRDefault="00810061" w:rsidP="00102B1F">
            <w:pPr>
              <w:rPr>
                <w:rStyle w:val="Siln"/>
              </w:rPr>
            </w:pPr>
            <w:r w:rsidRPr="00A129A6">
              <w:rPr>
                <w:rStyle w:val="Siln"/>
              </w:rPr>
              <w:t>Zasílání požadavků</w:t>
            </w:r>
          </w:p>
          <w:p w14:paraId="64C49620" w14:textId="77777777" w:rsidR="00810061" w:rsidRPr="00A129A6" w:rsidRDefault="00810061" w:rsidP="00102B1F">
            <w:pPr>
              <w:rPr>
                <w:rStyle w:val="Zdraznnintenzivn"/>
              </w:rPr>
            </w:pPr>
            <w:r w:rsidRPr="00A129A6">
              <w:rPr>
                <w:rStyle w:val="Zdraznnintenzivn"/>
              </w:rPr>
              <w:t>Orientační časové rozmezí: od uzavření smlouvy do poloviny prosince</w:t>
            </w:r>
          </w:p>
          <w:p w14:paraId="227D4152" w14:textId="35E31F56" w:rsidR="00810061" w:rsidRPr="00A129A6" w:rsidRDefault="00810061" w:rsidP="00102B1F">
            <w:r w:rsidRPr="00A129A6">
              <w:lastRenderedPageBreak/>
              <w:t>Požadavky na uvolnění finančních prostředků mohou být zasílány po uzavření smlouvy a splnění podmínek uvedených v Pravidlech pro financování nebo ve smlouvě. Financování z rozpočtu SFDI může probíhat dvěma základními způsoby:</w:t>
            </w:r>
            <w:r w:rsidRPr="00A129A6">
              <w:br/>
              <w:t>– formou ex-post, kdy jsou propláceny již uhrazené faktury</w:t>
            </w:r>
            <w:r w:rsidRPr="00A129A6">
              <w:br/>
              <w:t>– formou ex-ante, kdy jsou poskytovány prostředky na úhradu faktur</w:t>
            </w:r>
            <w:r w:rsidRPr="00A129A6">
              <w:br/>
              <w:t xml:space="preserve">Více informací o požadavcích a případných vratkách naleznete </w:t>
            </w:r>
            <w:hyperlink r:id="rId29" w:tgtFrame="_blank" w:history="1">
              <w:r w:rsidRPr="00A129A6">
                <w:rPr>
                  <w:rStyle w:val="Odkazintenzivn"/>
                </w:rPr>
                <w:t>zde</w:t>
              </w:r>
            </w:hyperlink>
            <w:r w:rsidRPr="00A129A6">
              <w:t xml:space="preserve"> </w:t>
            </w:r>
            <w:r w:rsidRPr="007563FE">
              <w:t>[</w:t>
            </w:r>
            <w:r w:rsidRPr="00A129A6">
              <w:t xml:space="preserve">odkaz na kapitolu </w:t>
            </w:r>
            <w:r w:rsidR="00A129A6" w:rsidRPr="00A129A6">
              <w:t>4.4</w:t>
            </w:r>
          </w:p>
        </w:tc>
      </w:tr>
      <w:tr w:rsidR="00DF1446" w14:paraId="3FFFE4E5" w14:textId="77777777" w:rsidTr="00DF1446">
        <w:tc>
          <w:tcPr>
            <w:tcW w:w="9212" w:type="dxa"/>
          </w:tcPr>
          <w:p w14:paraId="03FE0B4F" w14:textId="77777777" w:rsidR="00DF1446" w:rsidRPr="00A129A6" w:rsidRDefault="00162150" w:rsidP="00102B1F">
            <w:pPr>
              <w:rPr>
                <w:rStyle w:val="Siln"/>
              </w:rPr>
            </w:pPr>
            <w:r w:rsidRPr="00A129A6">
              <w:rPr>
                <w:rStyle w:val="Siln"/>
              </w:rPr>
              <w:lastRenderedPageBreak/>
              <w:t>Zasílání vyúčtování</w:t>
            </w:r>
          </w:p>
          <w:p w14:paraId="053374D0" w14:textId="77777777" w:rsidR="00162150" w:rsidRPr="00A129A6" w:rsidRDefault="00162150" w:rsidP="00102B1F">
            <w:pPr>
              <w:rPr>
                <w:rStyle w:val="Zdraznnintenzivn"/>
              </w:rPr>
            </w:pPr>
            <w:r w:rsidRPr="00A129A6">
              <w:rPr>
                <w:rStyle w:val="Zdraznnintenzivn"/>
              </w:rPr>
              <w:t>Orientační časové rozmezí: od uzavření smlouvy do začátku ledna</w:t>
            </w:r>
          </w:p>
          <w:p w14:paraId="3638E6ED" w14:textId="519CC874" w:rsidR="00162150" w:rsidRPr="00A129A6" w:rsidRDefault="00162150" w:rsidP="00102B1F">
            <w:r w:rsidRPr="00A129A6">
              <w:t>Pokud jsou akce financovány formou ex-ante, je nutné vždy zaslat vyúčtování poskytnutých finančních prostředků, tj. prokázat, že byly vynaloženy na to, na co měly být.</w:t>
            </w:r>
            <w:r w:rsidRPr="00A129A6">
              <w:br/>
              <w:t>U financování ex-post se vyúčtování neprovádí.</w:t>
            </w:r>
            <w:r w:rsidRPr="00A129A6">
              <w:br/>
              <w:t xml:space="preserve">Více informací o vyúčtování naleznete </w:t>
            </w:r>
            <w:hyperlink r:id="rId30" w:tgtFrame="_blank" w:history="1">
              <w:r w:rsidRPr="00A129A6">
                <w:rPr>
                  <w:rStyle w:val="Odkazintenzivn"/>
                </w:rPr>
                <w:t>zde</w:t>
              </w:r>
            </w:hyperlink>
            <w:r w:rsidRPr="00A129A6">
              <w:t>.</w:t>
            </w:r>
            <w:r w:rsidRPr="007563FE">
              <w:t xml:space="preserve"> </w:t>
            </w:r>
            <w:r w:rsidRPr="00A129A6">
              <w:rPr>
                <w:lang w:val="en-US"/>
              </w:rPr>
              <w:t>[</w:t>
            </w:r>
            <w:r w:rsidRPr="00A129A6">
              <w:t xml:space="preserve">odkaz na kapitolu </w:t>
            </w:r>
            <w:r w:rsidR="00A129A6" w:rsidRPr="00A129A6">
              <w:t>4.4</w:t>
            </w:r>
            <w:r w:rsidRPr="00A129A6">
              <w:t>]</w:t>
            </w:r>
          </w:p>
        </w:tc>
      </w:tr>
      <w:tr w:rsidR="00162150" w14:paraId="214A6105" w14:textId="77777777" w:rsidTr="00DF1446">
        <w:tc>
          <w:tcPr>
            <w:tcW w:w="9212" w:type="dxa"/>
          </w:tcPr>
          <w:p w14:paraId="510A1324" w14:textId="77777777" w:rsidR="00162150" w:rsidRPr="00A129A6" w:rsidRDefault="00DD53D2" w:rsidP="00102B1F">
            <w:pPr>
              <w:rPr>
                <w:rStyle w:val="Siln"/>
              </w:rPr>
            </w:pPr>
            <w:r w:rsidRPr="00A129A6">
              <w:rPr>
                <w:rStyle w:val="Siln"/>
              </w:rPr>
              <w:t>Změny rozpočtu</w:t>
            </w:r>
          </w:p>
          <w:p w14:paraId="1AFCAB94" w14:textId="77777777" w:rsidR="00DD53D2" w:rsidRPr="00A129A6" w:rsidRDefault="00DD53D2" w:rsidP="00102B1F">
            <w:pPr>
              <w:rPr>
                <w:rStyle w:val="Zdraznnintenzivn"/>
              </w:rPr>
            </w:pPr>
            <w:r w:rsidRPr="00A129A6">
              <w:rPr>
                <w:rStyle w:val="Zdraznnintenzivn"/>
              </w:rPr>
              <w:t>Orientační časové rozmezí: podání žádosti nejpozději do 20. listopadu</w:t>
            </w:r>
          </w:p>
          <w:p w14:paraId="1AB80952" w14:textId="76E6881A" w:rsidR="00285453" w:rsidRPr="00A129A6" w:rsidRDefault="00285453" w:rsidP="00102B1F">
            <w:pPr>
              <w:rPr>
                <w:rStyle w:val="year"/>
              </w:rPr>
            </w:pPr>
            <w:r w:rsidRPr="00A129A6">
              <w:t>Změny rozpočtu se provádí změnovým řízením nebo rozpočtovým opatřením. Prostřednictvím těchto nástrojů lze zařadit i novou akci k financování v daném roce.</w:t>
            </w:r>
            <w:r w:rsidRPr="00A129A6">
              <w:br/>
              <w:t xml:space="preserve">Více informací o provádění rozpočtových změn, metodický pokyn a příslušné formuláře naleznete </w:t>
            </w:r>
            <w:hyperlink r:id="rId31" w:tgtFrame="_blank" w:history="1">
              <w:r w:rsidRPr="00A129A6">
                <w:rPr>
                  <w:rStyle w:val="Odkazintenzivn"/>
                </w:rPr>
                <w:t>zde</w:t>
              </w:r>
            </w:hyperlink>
            <w:r w:rsidRPr="00A129A6">
              <w:t xml:space="preserve">. </w:t>
            </w:r>
            <w:r w:rsidRPr="00A129A6">
              <w:rPr>
                <w:lang w:val="en-US"/>
              </w:rPr>
              <w:t>[</w:t>
            </w:r>
            <w:r w:rsidRPr="00A129A6">
              <w:t xml:space="preserve">odkaz na kapitolu </w:t>
            </w:r>
            <w:r w:rsidR="00A129A6" w:rsidRPr="00A129A6">
              <w:t>4.5</w:t>
            </w:r>
            <w:r w:rsidRPr="00A129A6">
              <w:t>]</w:t>
            </w:r>
          </w:p>
        </w:tc>
      </w:tr>
      <w:tr w:rsidR="00162150" w14:paraId="00EFA7B3" w14:textId="77777777" w:rsidTr="00DF1446">
        <w:tc>
          <w:tcPr>
            <w:tcW w:w="9212" w:type="dxa"/>
          </w:tcPr>
          <w:p w14:paraId="50CC46A4" w14:textId="77777777" w:rsidR="00162150" w:rsidRPr="00A129A6" w:rsidRDefault="008778F2" w:rsidP="00102B1F">
            <w:pPr>
              <w:rPr>
                <w:rStyle w:val="Siln"/>
              </w:rPr>
            </w:pPr>
            <w:r w:rsidRPr="00A129A6">
              <w:rPr>
                <w:rStyle w:val="Siln"/>
              </w:rPr>
              <w:t>Uzavření dodatku</w:t>
            </w:r>
          </w:p>
          <w:p w14:paraId="515B9628" w14:textId="77777777" w:rsidR="008778F2" w:rsidRPr="00A129A6" w:rsidRDefault="008778F2" w:rsidP="00102B1F">
            <w:pPr>
              <w:rPr>
                <w:rStyle w:val="Zdraznnintenzivn"/>
              </w:rPr>
            </w:pPr>
            <w:r w:rsidRPr="00A129A6">
              <w:rPr>
                <w:rStyle w:val="Zdraznnintenzivn"/>
              </w:rPr>
              <w:t>Orientační časové rozmezí: od schválení změny rozpočtu/převodu do 31.12.</w:t>
            </w:r>
          </w:p>
          <w:p w14:paraId="0F0D0118" w14:textId="16D662E1" w:rsidR="008778F2" w:rsidRPr="00A129A6" w:rsidRDefault="008778F2" w:rsidP="00102B1F">
            <w:pPr>
              <w:rPr>
                <w:rStyle w:val="year"/>
              </w:rPr>
            </w:pPr>
            <w:r w:rsidRPr="00A129A6">
              <w:t xml:space="preserve">Každá rozpočtová změna včetně schválení převodu nevyčerpaných prostředků musí být </w:t>
            </w:r>
            <w:proofErr w:type="spellStart"/>
            <w:r w:rsidRPr="00A129A6">
              <w:t>zesmluvněna</w:t>
            </w:r>
            <w:proofErr w:type="spellEnd"/>
            <w:r w:rsidRPr="00A129A6">
              <w:t>. Proces uzavírání dodatku je obdobný, jako proces uzavření smlouvy.</w:t>
            </w:r>
          </w:p>
        </w:tc>
      </w:tr>
      <w:tr w:rsidR="00162150" w14:paraId="6983ADE2" w14:textId="77777777" w:rsidTr="00DF1446">
        <w:tc>
          <w:tcPr>
            <w:tcW w:w="9212" w:type="dxa"/>
          </w:tcPr>
          <w:p w14:paraId="51084345" w14:textId="77777777" w:rsidR="00162150" w:rsidRPr="00A129A6" w:rsidRDefault="006903FE" w:rsidP="00102B1F">
            <w:pPr>
              <w:rPr>
                <w:rStyle w:val="Siln"/>
              </w:rPr>
            </w:pPr>
            <w:r w:rsidRPr="00A129A6">
              <w:rPr>
                <w:rStyle w:val="Siln"/>
              </w:rPr>
              <w:t>Finanční vypořádání</w:t>
            </w:r>
          </w:p>
          <w:p w14:paraId="1DFE20F5" w14:textId="77777777" w:rsidR="006903FE" w:rsidRPr="00A129A6" w:rsidRDefault="006903FE" w:rsidP="00102B1F">
            <w:pPr>
              <w:rPr>
                <w:rStyle w:val="Zdraznnintenzivn"/>
              </w:rPr>
            </w:pPr>
            <w:r w:rsidRPr="00A129A6">
              <w:rPr>
                <w:rStyle w:val="Zdraznnintenzivn"/>
              </w:rPr>
              <w:t>Orientační časové rozmezí: prosinec-leden</w:t>
            </w:r>
          </w:p>
          <w:p w14:paraId="15794CCA" w14:textId="3EA010E3" w:rsidR="006903FE" w:rsidRPr="00A129A6" w:rsidRDefault="006903FE" w:rsidP="00102B1F">
            <w:pPr>
              <w:rPr>
                <w:rStyle w:val="year"/>
              </w:rPr>
            </w:pPr>
            <w:r w:rsidRPr="00A129A6">
              <w:t xml:space="preserve">Průběh finančního vypořádání </w:t>
            </w:r>
            <w:proofErr w:type="gramStart"/>
            <w:r w:rsidRPr="00A129A6">
              <w:t>řeší</w:t>
            </w:r>
            <w:proofErr w:type="gramEnd"/>
            <w:r w:rsidRPr="00A129A6">
              <w:t xml:space="preserve"> Metodický pokyn k finančnímu vypořádání. Jsou zde stanoveny konečné termíny pro zasílání požadavků, pro vratky finančních prostředků a pro zaslání podkladů k finančnímu vypořádání.</w:t>
            </w:r>
            <w:r w:rsidRPr="00A129A6">
              <w:br/>
              <w:t xml:space="preserve">Více informací naleznete </w:t>
            </w:r>
            <w:hyperlink r:id="rId32" w:tgtFrame="_blank" w:history="1">
              <w:r w:rsidRPr="00A129A6">
                <w:rPr>
                  <w:rStyle w:val="Odkazintenzivn"/>
                </w:rPr>
                <w:t>zde</w:t>
              </w:r>
            </w:hyperlink>
            <w:r w:rsidRPr="00A129A6">
              <w:t>.</w:t>
            </w:r>
            <w:r w:rsidR="004F588A" w:rsidRPr="00A129A6">
              <w:t xml:space="preserve"> </w:t>
            </w:r>
            <w:r w:rsidR="004F588A" w:rsidRPr="00A129A6">
              <w:rPr>
                <w:lang w:val="en-US"/>
              </w:rPr>
              <w:t>[</w:t>
            </w:r>
            <w:r w:rsidR="004F588A" w:rsidRPr="00A129A6">
              <w:t xml:space="preserve">odkaz na kapitolu </w:t>
            </w:r>
            <w:r w:rsidR="00A129A6" w:rsidRPr="00A129A6">
              <w:t>4.6</w:t>
            </w:r>
            <w:r w:rsidR="004F588A" w:rsidRPr="00A129A6">
              <w:t>]</w:t>
            </w:r>
          </w:p>
        </w:tc>
      </w:tr>
    </w:tbl>
    <w:p w14:paraId="614CA50E" w14:textId="77777777" w:rsidR="00DF1446" w:rsidRPr="00DF1446" w:rsidRDefault="00DF1446" w:rsidP="00102B1F"/>
    <w:p w14:paraId="58470D15" w14:textId="46D7252F" w:rsidR="00E145F7" w:rsidRDefault="00E145F7" w:rsidP="00A76637">
      <w:pPr>
        <w:pStyle w:val="Nadpis2"/>
      </w:pPr>
      <w:bookmarkStart w:id="39" w:name="_Toc100576193"/>
      <w:r>
        <w:t>Příprava rozpočtu SFDI</w:t>
      </w:r>
      <w:r w:rsidR="00BD0CC8">
        <w:t xml:space="preserve"> a jeho schválení</w:t>
      </w:r>
      <w:bookmarkEnd w:id="39"/>
    </w:p>
    <w:p w14:paraId="7FAA3910" w14:textId="240D384F" w:rsidR="005E60BF" w:rsidRPr="006D05ED" w:rsidRDefault="650D5BBC" w:rsidP="650D5BBC">
      <w:pPr>
        <w:rPr>
          <w:rFonts w:eastAsia="Arial" w:cs="Arial"/>
          <w:color w:val="000000" w:themeColor="text1"/>
        </w:rPr>
      </w:pPr>
      <w:r w:rsidRPr="006D05ED">
        <w:rPr>
          <w:rFonts w:eastAsia="Arial" w:cs="Arial"/>
          <w:color w:val="000000" w:themeColor="text1"/>
        </w:rPr>
        <w:t xml:space="preserve">Postup sestavování výdajové části rozpočtu SFDI upravuje Směrnice k sestavování rozpočtu a střednědobého výhledu SFDI dostupná </w:t>
      </w:r>
      <w:r w:rsidRPr="006D05ED">
        <w:rPr>
          <w:rFonts w:eastAsia="Arial" w:cs="Arial"/>
          <w:color w:val="4472C4"/>
          <w:u w:val="single"/>
        </w:rPr>
        <w:t>zde</w:t>
      </w:r>
      <w:r w:rsidRPr="006D05ED">
        <w:rPr>
          <w:rFonts w:eastAsia="Arial" w:cs="Arial"/>
          <w:color w:val="000000" w:themeColor="text1"/>
        </w:rPr>
        <w:t xml:space="preserve"> (bude vložen odkaz)</w:t>
      </w:r>
    </w:p>
    <w:p w14:paraId="00B683AA" w14:textId="30BA7CCC" w:rsidR="650D5BBC" w:rsidRPr="006D05ED" w:rsidRDefault="650D5BBC" w:rsidP="007C759E">
      <w:pPr>
        <w:spacing w:line="257" w:lineRule="auto"/>
        <w:rPr>
          <w:rFonts w:eastAsia="Arial" w:cs="Arial"/>
          <w:color w:val="000000" w:themeColor="text1"/>
        </w:rPr>
      </w:pPr>
      <w:r w:rsidRPr="006D05ED">
        <w:rPr>
          <w:rFonts w:eastAsia="Arial" w:cs="Arial"/>
          <w:color w:val="000000" w:themeColor="text1"/>
        </w:rPr>
        <w:t xml:space="preserve">Při sestavování rozpočtu SFDI se vychází z výdajových rámců stanovených Ministerstvem financí, které SFDI sdělí Ministerstvo dopravy. SFDI </w:t>
      </w:r>
      <w:proofErr w:type="gramStart"/>
      <w:r w:rsidRPr="006D05ED">
        <w:rPr>
          <w:rFonts w:eastAsia="Arial" w:cs="Arial"/>
          <w:color w:val="000000" w:themeColor="text1"/>
        </w:rPr>
        <w:t>určí</w:t>
      </w:r>
      <w:proofErr w:type="gramEnd"/>
      <w:r w:rsidRPr="006D05ED">
        <w:rPr>
          <w:rFonts w:eastAsia="Arial" w:cs="Arial"/>
          <w:color w:val="000000" w:themeColor="text1"/>
        </w:rPr>
        <w:t xml:space="preserve"> na základě těchto výdajových rámců závazné limity výdajů z národních zdrojů pro rozpočet na příslušný rok a na období střednědobého výhledu (SDV) pro žadatele. Tyto limity jsou pro jednotlivé žadatele horní hranicí možných výdajů a jsou nepřekročitelné. U prostředků z fondů EU je nutné dodržovat limity vycházející z příslušných alokací a respektovat pokyny příslušného řídícího orgánu. U prostředků z úvěrů je nutné dodržet celkovou výši úvěru a obdobně je nutné dodržovat limity u jiných zdrojů financování stanovených SFDI. Sestavení a schválení výdajové části rozpočtu SFDI probíhá v následujících etapách: </w:t>
      </w:r>
    </w:p>
    <w:p w14:paraId="1A38F236" w14:textId="6F4F9F87" w:rsidR="650D5BBC" w:rsidRPr="007563FE" w:rsidRDefault="650D5BBC" w:rsidP="650D5BBC">
      <w:pPr>
        <w:spacing w:line="257" w:lineRule="auto"/>
        <w:rPr>
          <w:rFonts w:eastAsia="Arial" w:cs="Arial"/>
          <w:color w:val="000000" w:themeColor="text1"/>
        </w:rPr>
      </w:pPr>
    </w:p>
    <w:p w14:paraId="3BE35669" w14:textId="38B09305" w:rsidR="650D5BBC" w:rsidRPr="00E25F27" w:rsidRDefault="00E25F27" w:rsidP="00CE6C59">
      <w:pPr>
        <w:pStyle w:val="Nadpis3"/>
        <w:rPr>
          <w:rFonts w:eastAsia="Arial"/>
        </w:rPr>
      </w:pPr>
      <w:r w:rsidRPr="00E25F27">
        <w:rPr>
          <w:rFonts w:eastAsia="Arial"/>
        </w:rPr>
        <w:lastRenderedPageBreak/>
        <w:t>Výchozí podklady</w:t>
      </w:r>
    </w:p>
    <w:p w14:paraId="4D66B1EB" w14:textId="75486427" w:rsidR="650D5BBC" w:rsidRPr="00CE6C59" w:rsidRDefault="650D5BBC" w:rsidP="00CE6C59">
      <w:pPr>
        <w:spacing w:line="257" w:lineRule="auto"/>
        <w:rPr>
          <w:rFonts w:eastAsia="Arial" w:cs="Arial"/>
          <w:color w:val="000000" w:themeColor="text1"/>
        </w:rPr>
      </w:pPr>
      <w:r w:rsidRPr="00CE6C59">
        <w:rPr>
          <w:rFonts w:eastAsia="Arial" w:cs="Arial"/>
          <w:color w:val="000000" w:themeColor="text1"/>
        </w:rPr>
        <w:t xml:space="preserve">Žadatelé předkládají výchozí podklady pro sestavení návrhu rozpočtu na následující rok a SDV na další dva roky do 15. května. Výchozí podklady vycházejí zejména ze schváleného SDV bez ohledu na finanční možnosti rozpočtu SFDI. Žadatelé sestavují výchozí podklady dle pokynů SFDI ve struktuře stanovené SFDI </w:t>
      </w:r>
      <w:r w:rsidR="00694E7D">
        <w:rPr>
          <w:rFonts w:eastAsia="Arial" w:cs="Arial"/>
          <w:color w:val="000000" w:themeColor="text1"/>
        </w:rPr>
        <w:t xml:space="preserve">vyplněním </w:t>
      </w:r>
      <w:r w:rsidR="00694E7D" w:rsidRPr="00694E7D">
        <w:rPr>
          <w:rStyle w:val="Odkazintenzivn"/>
        </w:rPr>
        <w:t>formuláře</w:t>
      </w:r>
      <w:r w:rsidR="00694E7D">
        <w:rPr>
          <w:rFonts w:eastAsia="Arial" w:cs="Arial"/>
          <w:color w:val="000000" w:themeColor="text1"/>
        </w:rPr>
        <w:t>.</w:t>
      </w:r>
      <w:r w:rsidRPr="00CE6C59">
        <w:rPr>
          <w:rFonts w:eastAsia="Arial" w:cs="Arial"/>
          <w:color w:val="000000" w:themeColor="text1"/>
        </w:rPr>
        <w:t xml:space="preserve"> Výchozí podklady jsou zasílány elektronicky e-mailem nebo prostřednictvím datových schránek (řádně podepsané), příjemci ŘSD, ŘVC a SŽ je načítají prostřednictvím internetové aplikace SFDI. SFDI zpracuje zaslané podklady do celkového přehledu dle jednotlivých žadatelů. Výchozí podklady SFDI projedná (osobně, telefonicky, on-line) s jednotlivými žadateli a věcně příslušnými útvary Ministerstva dopravy, a to zpravidla do 31. května.</w:t>
      </w:r>
    </w:p>
    <w:p w14:paraId="329F64E2" w14:textId="2537FBC6" w:rsidR="650D5BBC" w:rsidRPr="00CE6C59" w:rsidRDefault="650D5BBC" w:rsidP="650D5BBC">
      <w:pPr>
        <w:spacing w:line="257" w:lineRule="auto"/>
        <w:rPr>
          <w:rFonts w:eastAsia="Arial" w:cs="Arial"/>
        </w:rPr>
      </w:pPr>
    </w:p>
    <w:p w14:paraId="010BF6B9" w14:textId="763D4BC8" w:rsidR="650D5BBC" w:rsidRPr="00E25F27" w:rsidRDefault="650D5BBC" w:rsidP="00CE6C59">
      <w:pPr>
        <w:pStyle w:val="Nadpis3"/>
        <w:rPr>
          <w:rFonts w:eastAsia="Arial"/>
        </w:rPr>
      </w:pPr>
      <w:r w:rsidRPr="00E25F27">
        <w:rPr>
          <w:rFonts w:eastAsia="Arial"/>
        </w:rPr>
        <w:t>Ž</w:t>
      </w:r>
      <w:r w:rsidR="00E25F27" w:rsidRPr="00E25F27">
        <w:rPr>
          <w:rFonts w:eastAsia="Arial"/>
        </w:rPr>
        <w:t xml:space="preserve">ádosti </w:t>
      </w:r>
      <w:r w:rsidRPr="00E25F27">
        <w:rPr>
          <w:rFonts w:eastAsia="Arial"/>
        </w:rPr>
        <w:t>a sestavení návrhu rozpočtu</w:t>
      </w:r>
    </w:p>
    <w:p w14:paraId="5F5C8551" w14:textId="3C69ADAD" w:rsidR="650D5BBC" w:rsidRPr="00694E7D" w:rsidRDefault="650D5BBC" w:rsidP="00CE6C59">
      <w:pPr>
        <w:spacing w:line="257" w:lineRule="auto"/>
        <w:rPr>
          <w:rFonts w:eastAsia="Arial" w:cs="Arial"/>
          <w:color w:val="000000" w:themeColor="text1"/>
        </w:rPr>
      </w:pPr>
      <w:r w:rsidRPr="00694E7D">
        <w:rPr>
          <w:rFonts w:eastAsia="Arial" w:cs="Arial"/>
          <w:color w:val="000000" w:themeColor="text1"/>
        </w:rPr>
        <w:t xml:space="preserve">Žadatelé předkládají žádosti o zařazení akce k financování z rozpočtu SFDI a do SDV ve struktuře stanovené SFDI </w:t>
      </w:r>
      <w:r w:rsidR="00694E7D">
        <w:rPr>
          <w:rFonts w:eastAsia="Arial" w:cs="Arial"/>
          <w:color w:val="000000" w:themeColor="text1"/>
        </w:rPr>
        <w:t xml:space="preserve">vyplněním </w:t>
      </w:r>
      <w:r w:rsidR="00694E7D" w:rsidRPr="000A4BEB">
        <w:rPr>
          <w:rStyle w:val="Odkazintenzivn"/>
        </w:rPr>
        <w:t>formuláře</w:t>
      </w:r>
      <w:r w:rsidRPr="00694E7D">
        <w:rPr>
          <w:rFonts w:eastAsia="Arial" w:cs="Arial"/>
          <w:color w:val="000000" w:themeColor="text1"/>
        </w:rPr>
        <w:t xml:space="preserve">, a to v termínu do 15. června. Při předkládání žádostí musí žadatelé respektovat limity sdělené na jednáních k výchozím podkladům, případně jinak či dodatečně sdělené SFDI (např. e-mailem či telefonicky). SFDI provede kontrolu žádostí a zpracuje s ohledem na limity návrh rozpočtu a SDV, a to do 31. </w:t>
      </w:r>
      <w:r w:rsidR="00800912" w:rsidRPr="00694E7D">
        <w:rPr>
          <w:rFonts w:eastAsia="Arial" w:cs="Arial"/>
          <w:color w:val="000000" w:themeColor="text1"/>
        </w:rPr>
        <w:t>č</w:t>
      </w:r>
      <w:r w:rsidRPr="00694E7D">
        <w:rPr>
          <w:rFonts w:eastAsia="Arial" w:cs="Arial"/>
          <w:color w:val="000000" w:themeColor="text1"/>
        </w:rPr>
        <w:t>ervence.</w:t>
      </w:r>
    </w:p>
    <w:p w14:paraId="5E468D25" w14:textId="7AFB0210" w:rsidR="650D5BBC" w:rsidRPr="007563FE" w:rsidRDefault="650D5BBC" w:rsidP="650D5BBC">
      <w:pPr>
        <w:spacing w:line="257" w:lineRule="auto"/>
        <w:rPr>
          <w:rFonts w:eastAsia="Calibri"/>
          <w:color w:val="000000" w:themeColor="text1"/>
          <w:lang w:val="pl-PL"/>
        </w:rPr>
      </w:pPr>
    </w:p>
    <w:p w14:paraId="027B942C" w14:textId="0D9981C7" w:rsidR="650D5BBC" w:rsidRPr="007E1084" w:rsidRDefault="650D5BBC" w:rsidP="007E1084">
      <w:pPr>
        <w:pStyle w:val="Nadpis3"/>
        <w:rPr>
          <w:rFonts w:eastAsia="Arial"/>
        </w:rPr>
      </w:pPr>
      <w:r w:rsidRPr="007E1084">
        <w:rPr>
          <w:rFonts w:eastAsia="Arial"/>
        </w:rPr>
        <w:t>Projednání a schválení rozpočtu SFDI</w:t>
      </w:r>
    </w:p>
    <w:p w14:paraId="05459F01" w14:textId="624D7D11" w:rsidR="650D5BBC" w:rsidRPr="007E1084" w:rsidRDefault="650D5BBC" w:rsidP="007E1084">
      <w:pPr>
        <w:spacing w:line="257" w:lineRule="auto"/>
        <w:rPr>
          <w:rFonts w:eastAsia="Arial" w:cs="Arial"/>
          <w:color w:val="000000" w:themeColor="text1"/>
        </w:rPr>
      </w:pPr>
      <w:r w:rsidRPr="007E1084">
        <w:rPr>
          <w:rFonts w:eastAsia="Arial" w:cs="Arial"/>
          <w:color w:val="000000" w:themeColor="text1"/>
        </w:rPr>
        <w:t>Návrh rozpočtu a SDV je předložen k projednání ve Výboru SFDI a v Dozorčí radě SFDI. Po jeho projednání a zapracování případných změn zašle SFDI tento návrh Ministerstvu dopravy k zaslání do meziresortního připomínkového řízení. Vypořádání připomínek v rámci meziresortního připomínkového řízení proběhne nejpozději v posledním týdnu měsíce září. Po vypořádání meziresortního připomínkového řízení je návrh rozpočtu a SDV předložen prostřednictvím ministra dopravy k projednání ve vládě ČR, a to nejpozději do 30. září. Po projednání návrhu rozpočtu a SDV ve vládě ČR a provedení případných změn dle přijatého usnesení vlády předkládá vláda ČR návrh ke schválení Poslanecké sněmovně Parlamentu ČR.</w:t>
      </w:r>
    </w:p>
    <w:p w14:paraId="11F4752E" w14:textId="55D55072" w:rsidR="650D5BBC" w:rsidRPr="007563FE" w:rsidRDefault="650D5BBC" w:rsidP="650D5BBC">
      <w:pPr>
        <w:rPr>
          <w:rFonts w:eastAsia="Calibri"/>
          <w:highlight w:val="green"/>
        </w:rPr>
      </w:pPr>
    </w:p>
    <w:p w14:paraId="482D59A0" w14:textId="3D59ABD0" w:rsidR="00E145F7" w:rsidRDefault="003511D0" w:rsidP="00A76637">
      <w:pPr>
        <w:pStyle w:val="Nadpis2"/>
      </w:pPr>
      <w:bookmarkStart w:id="40" w:name="_Toc100576194"/>
      <w:r>
        <w:t>Převod nevyčerpaných finančních prostředků</w:t>
      </w:r>
      <w:bookmarkEnd w:id="40"/>
    </w:p>
    <w:p w14:paraId="56E1CEF0" w14:textId="77777777" w:rsidR="009B1A39" w:rsidRDefault="009B1A39" w:rsidP="009B1A39">
      <w:pPr>
        <w:rPr>
          <w:rFonts w:cs="Arial"/>
        </w:rPr>
      </w:pPr>
      <w:r>
        <w:rPr>
          <w:rFonts w:cs="Arial"/>
        </w:rPr>
        <w:t xml:space="preserve">V případě nedočerpaných prostředků příjemce může požádat o převod nevyčerpaných finančních prostředků z předcházejícího roku do aktuálního roku. </w:t>
      </w:r>
      <w:r>
        <w:rPr>
          <w:rFonts w:cs="Arial"/>
          <w:b/>
        </w:rPr>
        <w:t>Ž</w:t>
      </w:r>
      <w:r w:rsidRPr="00A16830">
        <w:rPr>
          <w:rFonts w:cs="Arial"/>
          <w:b/>
        </w:rPr>
        <w:t>ádost o převod se předkládá SFDI do 31. 3.</w:t>
      </w:r>
      <w:r>
        <w:rPr>
          <w:rFonts w:cs="Arial"/>
        </w:rPr>
        <w:t xml:space="preserve"> (odst. 4.4. Pravidel).</w:t>
      </w:r>
    </w:p>
    <w:p w14:paraId="2FCCB304" w14:textId="77777777" w:rsidR="009B1A39" w:rsidRDefault="009B1A39" w:rsidP="009B1A39">
      <w:pPr>
        <w:rPr>
          <w:rFonts w:cs="Arial"/>
        </w:rPr>
      </w:pPr>
      <w:r>
        <w:rPr>
          <w:rFonts w:cs="Arial"/>
        </w:rPr>
        <w:t>Kdy se finanční prostředky nepřevádí:</w:t>
      </w:r>
    </w:p>
    <w:p w14:paraId="5AFC7485" w14:textId="77777777" w:rsidR="009B1A39" w:rsidRDefault="009B1A39" w:rsidP="009B1A39">
      <w:pPr>
        <w:pStyle w:val="Odstavecseseznamem"/>
        <w:numPr>
          <w:ilvl w:val="0"/>
          <w:numId w:val="3"/>
        </w:numPr>
        <w:rPr>
          <w:rFonts w:cs="Arial"/>
        </w:rPr>
      </w:pPr>
      <w:r w:rsidRPr="00A16830">
        <w:rPr>
          <w:rFonts w:cs="Arial"/>
        </w:rPr>
        <w:t>globální položky na opravy a údržbu (</w:t>
      </w:r>
      <w:proofErr w:type="spellStart"/>
      <w:r w:rsidRPr="00A16830">
        <w:rPr>
          <w:rFonts w:cs="Arial"/>
        </w:rPr>
        <w:t>neinvestice</w:t>
      </w:r>
      <w:proofErr w:type="spellEnd"/>
      <w:r w:rsidRPr="00A16830">
        <w:rPr>
          <w:rFonts w:cs="Arial"/>
        </w:rPr>
        <w:t>)</w:t>
      </w:r>
      <w:r>
        <w:rPr>
          <w:rFonts w:cs="Arial"/>
        </w:rPr>
        <w:t>;</w:t>
      </w:r>
    </w:p>
    <w:p w14:paraId="220F0AE1" w14:textId="77777777" w:rsidR="009B1A39" w:rsidRPr="00A16830" w:rsidRDefault="009B1A39" w:rsidP="009B1A39">
      <w:pPr>
        <w:pStyle w:val="Odstavecseseznamem"/>
        <w:numPr>
          <w:ilvl w:val="0"/>
          <w:numId w:val="3"/>
        </w:numPr>
        <w:rPr>
          <w:rFonts w:cs="Arial"/>
        </w:rPr>
      </w:pPr>
      <w:r>
        <w:rPr>
          <w:rFonts w:cs="Arial"/>
        </w:rPr>
        <w:t>již jednou převedené nevyčerpané prostředky;</w:t>
      </w:r>
    </w:p>
    <w:p w14:paraId="3621172E" w14:textId="77777777" w:rsidR="009B1A39" w:rsidRPr="00A16830" w:rsidRDefault="009B1A39" w:rsidP="009B1A39">
      <w:pPr>
        <w:pStyle w:val="Odstavecseseznamem"/>
        <w:numPr>
          <w:ilvl w:val="0"/>
          <w:numId w:val="3"/>
        </w:numPr>
        <w:rPr>
          <w:rFonts w:cs="Arial"/>
        </w:rPr>
      </w:pPr>
      <w:r w:rsidRPr="00A16830">
        <w:rPr>
          <w:rFonts w:cs="Arial"/>
        </w:rPr>
        <w:t>poskytnuté prostředky z dotace ze státního rozpočtu</w:t>
      </w:r>
      <w:r>
        <w:rPr>
          <w:rFonts w:cs="Arial"/>
        </w:rPr>
        <w:t>;</w:t>
      </w:r>
    </w:p>
    <w:p w14:paraId="2E831774" w14:textId="77777777" w:rsidR="009B1A39" w:rsidRPr="00A16830" w:rsidRDefault="009B1A39" w:rsidP="009B1A39">
      <w:pPr>
        <w:pStyle w:val="Odstavecseseznamem"/>
        <w:numPr>
          <w:ilvl w:val="0"/>
          <w:numId w:val="3"/>
        </w:numPr>
        <w:rPr>
          <w:rFonts w:cs="Arial"/>
        </w:rPr>
      </w:pPr>
      <w:r w:rsidRPr="00A16830">
        <w:rPr>
          <w:rFonts w:cs="Arial"/>
        </w:rPr>
        <w:t>poskytnuté prostředky na předfinancování výdajů spolufinancovaných z</w:t>
      </w:r>
      <w:r>
        <w:rPr>
          <w:rFonts w:cs="Arial"/>
        </w:rPr>
        <w:t> </w:t>
      </w:r>
      <w:r w:rsidRPr="00A16830">
        <w:rPr>
          <w:rFonts w:cs="Arial"/>
        </w:rPr>
        <w:t>EU</w:t>
      </w:r>
      <w:r>
        <w:rPr>
          <w:rFonts w:cs="Arial"/>
        </w:rPr>
        <w:t>.</w:t>
      </w:r>
    </w:p>
    <w:p w14:paraId="76278B83" w14:textId="77777777" w:rsidR="009B1A39" w:rsidRDefault="009B1A39" w:rsidP="009B1A39">
      <w:pPr>
        <w:rPr>
          <w:rFonts w:cs="Arial"/>
        </w:rPr>
      </w:pPr>
      <w:r>
        <w:rPr>
          <w:rFonts w:cs="Arial"/>
        </w:rPr>
        <w:t>V případě prvních dvou bodů je nutné požádat o výjimku z Pravidel, u dalších dvou bodů se prostředky „převádí“ změnovým řízením po obdržení rozhodnutí o poskytnutí dotace.</w:t>
      </w:r>
    </w:p>
    <w:p w14:paraId="757BA0BA" w14:textId="662020A4" w:rsidR="003511D0" w:rsidRDefault="009B1A39" w:rsidP="009B1A39">
      <w:pPr>
        <w:rPr>
          <w:rFonts w:cs="Arial"/>
        </w:rPr>
      </w:pPr>
      <w:r>
        <w:rPr>
          <w:rFonts w:cs="Arial"/>
        </w:rPr>
        <w:t>Co musí žádost obsahovat je uvedeno v Pravidlech.</w:t>
      </w:r>
    </w:p>
    <w:p w14:paraId="6B54376F" w14:textId="5DA2D708" w:rsidR="003511D0" w:rsidRDefault="002D6547" w:rsidP="00A76637">
      <w:pPr>
        <w:pStyle w:val="Nadpis2"/>
      </w:pPr>
      <w:bookmarkStart w:id="41" w:name="_Toc100576195"/>
      <w:r>
        <w:lastRenderedPageBreak/>
        <w:t>Uzavírání smluvních vztahů</w:t>
      </w:r>
      <w:bookmarkEnd w:id="41"/>
    </w:p>
    <w:p w14:paraId="1603B894" w14:textId="26E517B6" w:rsidR="00D56807" w:rsidRPr="00D56807" w:rsidRDefault="00D56807" w:rsidP="00D56807">
      <w:pPr>
        <w:rPr>
          <w:rFonts w:cs="Arial"/>
        </w:rPr>
      </w:pPr>
      <w:r w:rsidRPr="00D56807">
        <w:rPr>
          <w:rFonts w:cs="Arial"/>
        </w:rPr>
        <w:t>Proces uzavření smluvního vztahu (smlouvy, rámcové smlouvy nebo dodatku) začíná po doložení podkladů a schválení případných předchozích kroků.</w:t>
      </w:r>
    </w:p>
    <w:p w14:paraId="37095101" w14:textId="332BEF54" w:rsidR="0039647C" w:rsidRDefault="00D56807" w:rsidP="00D56807">
      <w:pPr>
        <w:rPr>
          <w:rFonts w:cs="Arial"/>
        </w:rPr>
      </w:pPr>
      <w:r w:rsidRPr="00D56807">
        <w:rPr>
          <w:rFonts w:cs="Arial"/>
        </w:rPr>
        <w:t>Po skončení celého níže popsaného procesu může dojít k uvolnění finančních prostředků, pokud byly splněny i případné další podmínky (doložení schváleného záměru projektu, doložení rozpisu globálních položek).</w:t>
      </w:r>
    </w:p>
    <w:p w14:paraId="26DB97E4" w14:textId="77777777" w:rsidR="00E25F27" w:rsidRPr="00E25F27" w:rsidRDefault="00E25F27" w:rsidP="00D56807">
      <w:pPr>
        <w:rPr>
          <w:rFonts w:cs="Arial"/>
        </w:rPr>
      </w:pPr>
    </w:p>
    <w:tbl>
      <w:tblPr>
        <w:tblStyle w:val="Mkatabulky"/>
        <w:tblW w:w="0" w:type="auto"/>
        <w:tblLook w:val="04A0" w:firstRow="1" w:lastRow="0" w:firstColumn="1" w:lastColumn="0" w:noHBand="0" w:noVBand="1"/>
      </w:tblPr>
      <w:tblGrid>
        <w:gridCol w:w="4606"/>
        <w:gridCol w:w="4606"/>
      </w:tblGrid>
      <w:tr w:rsidR="00E32349" w14:paraId="25B1C6BE" w14:textId="77777777" w:rsidTr="00137397">
        <w:tc>
          <w:tcPr>
            <w:tcW w:w="4606" w:type="dxa"/>
            <w:shd w:val="clear" w:color="auto" w:fill="BFBFBF" w:themeFill="background1" w:themeFillShade="BF"/>
          </w:tcPr>
          <w:p w14:paraId="21CAF6F1" w14:textId="77B54AB0" w:rsidR="00E32349" w:rsidRPr="00730CD0" w:rsidRDefault="00E32349" w:rsidP="00137397">
            <w:pPr>
              <w:jc w:val="center"/>
              <w:rPr>
                <w:rStyle w:val="Siln"/>
              </w:rPr>
            </w:pPr>
            <w:r>
              <w:rPr>
                <w:rStyle w:val="Siln"/>
              </w:rPr>
              <w:t>S</w:t>
            </w:r>
            <w:r w:rsidRPr="00730CD0">
              <w:rPr>
                <w:rStyle w:val="Siln"/>
              </w:rPr>
              <w:t>mlouvy a jejich dodatky</w:t>
            </w:r>
          </w:p>
        </w:tc>
        <w:tc>
          <w:tcPr>
            <w:tcW w:w="4606" w:type="dxa"/>
            <w:shd w:val="clear" w:color="auto" w:fill="BFBFBF" w:themeFill="background1" w:themeFillShade="BF"/>
          </w:tcPr>
          <w:p w14:paraId="0270351A" w14:textId="42570F35" w:rsidR="00E32349" w:rsidRPr="00730CD0" w:rsidRDefault="00E32349" w:rsidP="00137397">
            <w:pPr>
              <w:jc w:val="center"/>
              <w:rPr>
                <w:rStyle w:val="Siln"/>
              </w:rPr>
            </w:pPr>
            <w:r>
              <w:rPr>
                <w:rStyle w:val="Siln"/>
              </w:rPr>
              <w:t xml:space="preserve">Rámcové </w:t>
            </w:r>
            <w:r w:rsidRPr="00730CD0">
              <w:rPr>
                <w:rStyle w:val="Siln"/>
              </w:rPr>
              <w:t>smlouvy a jejich dodatky</w:t>
            </w:r>
          </w:p>
        </w:tc>
      </w:tr>
      <w:tr w:rsidR="0047327B" w14:paraId="769EF276" w14:textId="77777777" w:rsidTr="0047327B">
        <w:tc>
          <w:tcPr>
            <w:tcW w:w="4606" w:type="dxa"/>
          </w:tcPr>
          <w:p w14:paraId="0A4F3430" w14:textId="65A590D4" w:rsidR="0047327B" w:rsidRPr="00730CD0" w:rsidRDefault="0047327B" w:rsidP="00AF5C18">
            <w:pPr>
              <w:jc w:val="center"/>
              <w:rPr>
                <w:rStyle w:val="Siln"/>
              </w:rPr>
            </w:pPr>
            <w:r w:rsidRPr="00730CD0">
              <w:rPr>
                <w:rStyle w:val="Siln"/>
              </w:rPr>
              <w:t>Podklady</w:t>
            </w:r>
          </w:p>
          <w:p w14:paraId="073EC590" w14:textId="1C6A07F9" w:rsidR="0047327B" w:rsidRDefault="002B63DB" w:rsidP="00D56807">
            <w:pPr>
              <w:rPr>
                <w:rFonts w:cs="Arial"/>
              </w:rPr>
            </w:pPr>
            <w:r>
              <w:t>Podkladem pro uzavření smlouvy nebo dodatku je schválený rozpočet, nebo schválená rozpočtová změna (rozpočtové opatření/změnové řízení), nebo legislativní či jiný požadavek na úpravu textace</w:t>
            </w:r>
          </w:p>
          <w:p w14:paraId="3B0AEEE4" w14:textId="63D54180" w:rsidR="0047327B" w:rsidRDefault="0047327B" w:rsidP="00D56807">
            <w:pPr>
              <w:rPr>
                <w:rFonts w:cs="Arial"/>
              </w:rPr>
            </w:pPr>
          </w:p>
        </w:tc>
        <w:tc>
          <w:tcPr>
            <w:tcW w:w="4606" w:type="dxa"/>
          </w:tcPr>
          <w:p w14:paraId="607BC8CD" w14:textId="67EC0C6D" w:rsidR="00730CD0" w:rsidRPr="00730CD0" w:rsidRDefault="00730CD0" w:rsidP="00AF5C18">
            <w:pPr>
              <w:jc w:val="center"/>
              <w:rPr>
                <w:rStyle w:val="Siln"/>
              </w:rPr>
            </w:pPr>
            <w:r w:rsidRPr="00730CD0">
              <w:rPr>
                <w:rStyle w:val="Siln"/>
              </w:rPr>
              <w:t>Podklady</w:t>
            </w:r>
          </w:p>
          <w:p w14:paraId="2D7B84B6" w14:textId="3F071864" w:rsidR="0047327B" w:rsidRDefault="00730CD0" w:rsidP="00D56807">
            <w:pPr>
              <w:rPr>
                <w:rFonts w:cs="Arial"/>
              </w:rPr>
            </w:pPr>
            <w:r>
              <w:t>Podkladem pro uzavření rámcové smlouvy nebo dodatku je schvalovací protokol a specifikace projektu, nebo změnový schvalovací protokol, nebo změna specifikace, nebo legislativní či jiný požadavek na úpravu textace</w:t>
            </w:r>
          </w:p>
        </w:tc>
      </w:tr>
      <w:tr w:rsidR="0077713C" w14:paraId="7D0455EE" w14:textId="77777777" w:rsidTr="0047327B">
        <w:tc>
          <w:tcPr>
            <w:tcW w:w="4606" w:type="dxa"/>
          </w:tcPr>
          <w:p w14:paraId="17D44240" w14:textId="191E7FF1" w:rsidR="0077713C" w:rsidRPr="00E511C0" w:rsidRDefault="00E511C0" w:rsidP="00AF5C18">
            <w:pPr>
              <w:jc w:val="center"/>
              <w:rPr>
                <w:rStyle w:val="Siln"/>
              </w:rPr>
            </w:pPr>
            <w:r w:rsidRPr="00E511C0">
              <w:rPr>
                <w:rStyle w:val="Siln"/>
              </w:rPr>
              <w:t>Příprava textu</w:t>
            </w:r>
          </w:p>
          <w:p w14:paraId="090411F1" w14:textId="6F3D3E6B" w:rsidR="00E511C0" w:rsidRPr="00730CD0" w:rsidRDefault="00E511C0" w:rsidP="00D56807">
            <w:pPr>
              <w:rPr>
                <w:rStyle w:val="Siln"/>
              </w:rPr>
            </w:pPr>
            <w:r>
              <w:t>Znění textu smlouvy obsahuje povinnosti příjemce, jak plynou z Pravidel pro financování, a zohledňuje specifické potřeby jednotlivých příjemců (čísla účtů, nastavení finančních toků apod.)</w:t>
            </w:r>
          </w:p>
        </w:tc>
        <w:tc>
          <w:tcPr>
            <w:tcW w:w="4606" w:type="dxa"/>
          </w:tcPr>
          <w:p w14:paraId="3FCDA8B9" w14:textId="3AD1C7B4" w:rsidR="00E511C0" w:rsidRPr="00E511C0" w:rsidRDefault="00E511C0" w:rsidP="00AF5C18">
            <w:pPr>
              <w:jc w:val="center"/>
              <w:rPr>
                <w:rStyle w:val="Siln"/>
              </w:rPr>
            </w:pPr>
            <w:r w:rsidRPr="00E511C0">
              <w:rPr>
                <w:rStyle w:val="Siln"/>
              </w:rPr>
              <w:t>Příprava textu</w:t>
            </w:r>
          </w:p>
          <w:p w14:paraId="7C30F3C2" w14:textId="637253B4" w:rsidR="0077713C" w:rsidRPr="00730CD0" w:rsidRDefault="009815D9" w:rsidP="00730CD0">
            <w:pPr>
              <w:rPr>
                <w:rStyle w:val="Siln"/>
              </w:rPr>
            </w:pPr>
            <w:r>
              <w:t>Znění rámcové smlouvy je dáno vzorem, který je uveden ve výzvě v aktuálním znění, které je uvedeno v Manuálu pracovních postupů. Pro různé výzvy a pro různé stavy projektů existují různé modifikace vzorů.</w:t>
            </w:r>
          </w:p>
        </w:tc>
      </w:tr>
      <w:tr w:rsidR="009815D9" w14:paraId="50915AB6" w14:textId="77777777" w:rsidTr="00B64655">
        <w:tc>
          <w:tcPr>
            <w:tcW w:w="9212" w:type="dxa"/>
            <w:gridSpan w:val="2"/>
          </w:tcPr>
          <w:p w14:paraId="1A645ACD" w14:textId="1CE71CF5" w:rsidR="009815D9" w:rsidRPr="00137397" w:rsidRDefault="000F185B" w:rsidP="00AF5C18">
            <w:pPr>
              <w:jc w:val="center"/>
              <w:rPr>
                <w:rStyle w:val="Siln"/>
              </w:rPr>
            </w:pPr>
            <w:r w:rsidRPr="00137397">
              <w:rPr>
                <w:rStyle w:val="Siln"/>
              </w:rPr>
              <w:t xml:space="preserve">Připomínky v rámci SFDI </w:t>
            </w:r>
          </w:p>
          <w:p w14:paraId="3FAC504C" w14:textId="0939710A" w:rsidR="000F185B" w:rsidRPr="00730CD0" w:rsidRDefault="000F185B" w:rsidP="00730CD0">
            <w:pPr>
              <w:rPr>
                <w:rStyle w:val="Siln"/>
              </w:rPr>
            </w:pPr>
            <w:r>
              <w:t xml:space="preserve">V rámci SFDI probíhá připomínkové řízení jak z pohledu </w:t>
            </w:r>
            <w:proofErr w:type="gramStart"/>
            <w:r>
              <w:t>věcného</w:t>
            </w:r>
            <w:proofErr w:type="gramEnd"/>
            <w:r>
              <w:t xml:space="preserve"> tak právního.</w:t>
            </w:r>
          </w:p>
        </w:tc>
      </w:tr>
      <w:tr w:rsidR="000F185B" w14:paraId="3D55A002" w14:textId="77777777" w:rsidTr="00B64655">
        <w:tc>
          <w:tcPr>
            <w:tcW w:w="9212" w:type="dxa"/>
            <w:gridSpan w:val="2"/>
          </w:tcPr>
          <w:p w14:paraId="381E10B6" w14:textId="0AF4D00F" w:rsidR="000F185B" w:rsidRPr="005E1D58" w:rsidRDefault="000F185B" w:rsidP="00AF5C18">
            <w:pPr>
              <w:jc w:val="center"/>
              <w:rPr>
                <w:rStyle w:val="Siln"/>
              </w:rPr>
            </w:pPr>
            <w:r w:rsidRPr="005E1D58">
              <w:rPr>
                <w:rStyle w:val="Siln"/>
              </w:rPr>
              <w:t>Připomínky příjemce</w:t>
            </w:r>
          </w:p>
          <w:p w14:paraId="4E1CAE40" w14:textId="51C3031B" w:rsidR="005E1D58" w:rsidRDefault="005E1D58" w:rsidP="00730CD0">
            <w:pPr>
              <w:rPr>
                <w:rStyle w:val="year"/>
              </w:rPr>
            </w:pPr>
            <w:r>
              <w:t>Připomínky příjemce mohou zohledňovat specifické potřeby jednotlivých příjemců a v rámci připomínek by měla zejména proběhnout kontrola příjemce ohledně správnosti údajů.</w:t>
            </w:r>
          </w:p>
        </w:tc>
      </w:tr>
      <w:tr w:rsidR="006A6823" w14:paraId="2F6A39DC" w14:textId="77777777" w:rsidTr="00B64655">
        <w:tc>
          <w:tcPr>
            <w:tcW w:w="9212" w:type="dxa"/>
            <w:gridSpan w:val="2"/>
          </w:tcPr>
          <w:p w14:paraId="37A40B08" w14:textId="325F6C98" w:rsidR="006A6823" w:rsidRPr="000F7D7C" w:rsidRDefault="000F7D7C" w:rsidP="00AF5C18">
            <w:pPr>
              <w:jc w:val="center"/>
              <w:rPr>
                <w:rStyle w:val="Siln"/>
              </w:rPr>
            </w:pPr>
            <w:r w:rsidRPr="000F7D7C">
              <w:rPr>
                <w:rStyle w:val="Siln"/>
              </w:rPr>
              <w:t>Vypořádání připomínek</w:t>
            </w:r>
          </w:p>
          <w:p w14:paraId="7F5D0A8A" w14:textId="05B15A8C" w:rsidR="000F7D7C" w:rsidRPr="005E1D58" w:rsidRDefault="000F7D7C" w:rsidP="00730CD0">
            <w:pPr>
              <w:rPr>
                <w:rStyle w:val="Siln"/>
              </w:rPr>
            </w:pPr>
            <w:r>
              <w:t>Referent po doručení připomínek buď připomínky zapracuje, nebo zdůvodnění jejich nezapracování.</w:t>
            </w:r>
            <w:r>
              <w:br/>
              <w:t>V rámci připomínkového řízení může na straně příjemce probíhat interní schvalovací proces (např. schvalování v radě, v zastupitelstvu atd.)</w:t>
            </w:r>
          </w:p>
        </w:tc>
      </w:tr>
      <w:tr w:rsidR="005E1D58" w14:paraId="69351404" w14:textId="77777777" w:rsidTr="00B64655">
        <w:tc>
          <w:tcPr>
            <w:tcW w:w="9212" w:type="dxa"/>
            <w:gridSpan w:val="2"/>
          </w:tcPr>
          <w:p w14:paraId="74938164" w14:textId="5340E91F" w:rsidR="005E1D58" w:rsidRPr="006A6823" w:rsidRDefault="006A6823" w:rsidP="00AF5C18">
            <w:pPr>
              <w:jc w:val="center"/>
              <w:rPr>
                <w:rStyle w:val="Siln"/>
              </w:rPr>
            </w:pPr>
            <w:r w:rsidRPr="006A6823">
              <w:rPr>
                <w:rStyle w:val="Siln"/>
              </w:rPr>
              <w:t>Odeslání příjemci</w:t>
            </w:r>
          </w:p>
          <w:p w14:paraId="2739A329" w14:textId="3A559AF3" w:rsidR="006A6823" w:rsidRPr="005E1D58" w:rsidRDefault="006A6823" w:rsidP="00730CD0">
            <w:pPr>
              <w:rPr>
                <w:rStyle w:val="Siln"/>
              </w:rPr>
            </w:pPr>
            <w:r>
              <w:t>Po schválení finálního znění proběhne na SFDI finanční kontrola a následně je elektronicky podepsaná smlouva, rámcová smlouva nebo dodatek odeslán příjemci k elekt</w:t>
            </w:r>
            <w:r w:rsidR="000F7D7C">
              <w:t>ro</w:t>
            </w:r>
            <w:r>
              <w:t>nickému podpisu.</w:t>
            </w:r>
          </w:p>
        </w:tc>
      </w:tr>
      <w:tr w:rsidR="00E02134" w14:paraId="39D1C674" w14:textId="77777777" w:rsidTr="00B64655">
        <w:tc>
          <w:tcPr>
            <w:tcW w:w="9212" w:type="dxa"/>
            <w:gridSpan w:val="2"/>
          </w:tcPr>
          <w:p w14:paraId="16CB9019" w14:textId="77777777" w:rsidR="00E02134" w:rsidRPr="002A2824" w:rsidRDefault="00E02134" w:rsidP="00AF5C18">
            <w:pPr>
              <w:jc w:val="center"/>
              <w:rPr>
                <w:rStyle w:val="Siln"/>
              </w:rPr>
            </w:pPr>
            <w:r w:rsidRPr="002A2824">
              <w:rPr>
                <w:rStyle w:val="Siln"/>
              </w:rPr>
              <w:t>Vrácení SFDI</w:t>
            </w:r>
            <w:r w:rsidR="002A2824" w:rsidRPr="002A2824">
              <w:rPr>
                <w:rStyle w:val="Siln"/>
              </w:rPr>
              <w:t xml:space="preserve"> podepsaných smluv, rámcových smluv a jejich dodatků</w:t>
            </w:r>
          </w:p>
          <w:p w14:paraId="605862C3" w14:textId="77CB226F" w:rsidR="002A2824" w:rsidRPr="006A6823" w:rsidRDefault="002A2824" w:rsidP="00730CD0">
            <w:pPr>
              <w:rPr>
                <w:rStyle w:val="Siln"/>
              </w:rPr>
            </w:pPr>
            <w:r>
              <w:t>Příjemce smlouvu, rámcovou smlouvu nebo dodatek elektronicky podepíše a zašle zpět na SFDI.</w:t>
            </w:r>
          </w:p>
        </w:tc>
      </w:tr>
      <w:tr w:rsidR="002A2824" w14:paraId="63DC0FB0" w14:textId="77777777" w:rsidTr="00B64655">
        <w:tc>
          <w:tcPr>
            <w:tcW w:w="9212" w:type="dxa"/>
            <w:gridSpan w:val="2"/>
          </w:tcPr>
          <w:p w14:paraId="65A807F0" w14:textId="77777777" w:rsidR="002A2824" w:rsidRPr="00AF5C18" w:rsidRDefault="002A2824" w:rsidP="00AF5C18">
            <w:pPr>
              <w:jc w:val="center"/>
              <w:rPr>
                <w:rStyle w:val="Siln"/>
              </w:rPr>
            </w:pPr>
            <w:r w:rsidRPr="00AF5C18">
              <w:rPr>
                <w:rStyle w:val="Siln"/>
              </w:rPr>
              <w:t>Zveřejnění v registru smluv</w:t>
            </w:r>
          </w:p>
          <w:p w14:paraId="129471BD" w14:textId="17DC7759" w:rsidR="00E32349" w:rsidRPr="00730CD0" w:rsidRDefault="00E32349" w:rsidP="00730CD0">
            <w:pPr>
              <w:rPr>
                <w:rStyle w:val="Siln"/>
              </w:rPr>
            </w:pPr>
            <w:r>
              <w:t xml:space="preserve">V případě, že jsou smlouva, rámcová smlouva nebo dodatek podepsány v souladu s nařízením </w:t>
            </w:r>
            <w:proofErr w:type="spellStart"/>
            <w:r>
              <w:t>eIDAS</w:t>
            </w:r>
            <w:proofErr w:type="spellEnd"/>
            <w:r>
              <w:t>, SFDI zajistí zveřejnění anonymizované (bez podpisů a čísel účtů) verze v registru smluv.</w:t>
            </w:r>
          </w:p>
        </w:tc>
      </w:tr>
      <w:tr w:rsidR="0077713C" w14:paraId="5476D957" w14:textId="77777777" w:rsidTr="0047327B">
        <w:tc>
          <w:tcPr>
            <w:tcW w:w="4606" w:type="dxa"/>
          </w:tcPr>
          <w:p w14:paraId="091E8BA0" w14:textId="77777777" w:rsidR="0077713C" w:rsidRPr="00730CD0" w:rsidRDefault="0077713C" w:rsidP="00D56807">
            <w:pPr>
              <w:rPr>
                <w:rStyle w:val="Siln"/>
              </w:rPr>
            </w:pPr>
          </w:p>
        </w:tc>
        <w:tc>
          <w:tcPr>
            <w:tcW w:w="4606" w:type="dxa"/>
          </w:tcPr>
          <w:p w14:paraId="19CC04E6" w14:textId="77777777" w:rsidR="0077713C" w:rsidRPr="005906F3" w:rsidRDefault="005906F3" w:rsidP="005906F3">
            <w:pPr>
              <w:jc w:val="center"/>
              <w:rPr>
                <w:rStyle w:val="Siln"/>
              </w:rPr>
            </w:pPr>
            <w:r w:rsidRPr="005906F3">
              <w:rPr>
                <w:rStyle w:val="Siln"/>
              </w:rPr>
              <w:t>Zaslání na MD</w:t>
            </w:r>
          </w:p>
          <w:p w14:paraId="73DF3165" w14:textId="0D1B2AE8" w:rsidR="005906F3" w:rsidRPr="00730CD0" w:rsidRDefault="005906F3" w:rsidP="00730CD0">
            <w:pPr>
              <w:rPr>
                <w:rStyle w:val="Siln"/>
              </w:rPr>
            </w:pPr>
            <w:r>
              <w:t>V případě rámcových smluv jejich dodatků dochází k odeslání podepsaného dokumentu také na Ministerstvo dopravy.</w:t>
            </w:r>
          </w:p>
        </w:tc>
      </w:tr>
    </w:tbl>
    <w:p w14:paraId="65579DD6" w14:textId="77777777" w:rsidR="0010489E" w:rsidRPr="0039647C" w:rsidRDefault="0010489E" w:rsidP="00D56807">
      <w:pPr>
        <w:rPr>
          <w:rFonts w:cs="Arial"/>
        </w:rPr>
      </w:pPr>
    </w:p>
    <w:p w14:paraId="6DC3B0DD" w14:textId="77777777" w:rsidR="00D723F0" w:rsidRDefault="00D723F0" w:rsidP="00D723F0">
      <w:pPr>
        <w:pStyle w:val="Nadpis2"/>
      </w:pPr>
      <w:bookmarkStart w:id="42" w:name="_Toc100576196"/>
      <w:r>
        <w:t>Požadavky, vyúčtování, přeúčtování a vratky</w:t>
      </w:r>
      <w:bookmarkEnd w:id="42"/>
    </w:p>
    <w:p w14:paraId="7ACD8847" w14:textId="768E042C" w:rsidR="003911FC" w:rsidRPr="003911FC" w:rsidRDefault="003911FC" w:rsidP="003911FC">
      <w:pPr>
        <w:rPr>
          <w:rFonts w:cs="Arial"/>
        </w:rPr>
      </w:pPr>
      <w:r>
        <w:rPr>
          <w:rFonts w:cs="Arial"/>
        </w:rPr>
        <w:t>P</w:t>
      </w:r>
      <w:r w:rsidRPr="003911FC">
        <w:rPr>
          <w:rFonts w:cs="Arial"/>
        </w:rPr>
        <w:t>o uzavření smlouvy, předložení schváleného záměru projektu a případně dalších podmínek, které jsou stanoveny smlouvou nebo pravidly, je možné žádost o uvolnění finančních prostředků.</w:t>
      </w:r>
    </w:p>
    <w:p w14:paraId="15B787E7" w14:textId="4C6F0E4A" w:rsidR="003911FC" w:rsidRPr="003911FC" w:rsidRDefault="003911FC" w:rsidP="003911FC">
      <w:pPr>
        <w:rPr>
          <w:rFonts w:cs="Arial"/>
        </w:rPr>
      </w:pPr>
      <w:r w:rsidRPr="003911FC">
        <w:rPr>
          <w:rFonts w:cs="Arial"/>
        </w:rPr>
        <w:t>Náležitosti požadavků/přeúčtování, vyúčtování a vratek jsou popsány v Metodickém pokynu k žádostem o uvolnění finančních prostředků, vyúčtování zálohově poskytnutých prostředků a vratkám poskytnutých finančních prostředků.</w:t>
      </w:r>
    </w:p>
    <w:p w14:paraId="3CE57366" w14:textId="43BD844B" w:rsidR="003911FC" w:rsidRPr="003911FC" w:rsidRDefault="003911FC" w:rsidP="003911FC">
      <w:pPr>
        <w:rPr>
          <w:rFonts w:cs="Arial"/>
        </w:rPr>
      </w:pPr>
      <w:r w:rsidRPr="003911FC">
        <w:rPr>
          <w:rFonts w:cs="Arial"/>
        </w:rPr>
        <w:t>U akcí spolufinancovaných z OPD se žádosti o uvolnění finančních prostředků na úhradu způsobilých výdajů předkládají prostřednictvím monitorovacího systému MS2014+ (část ISKP14+ určená pro příjemce).</w:t>
      </w:r>
    </w:p>
    <w:p w14:paraId="0E9A1FD3" w14:textId="77777777" w:rsidR="003911FC" w:rsidRPr="003911FC" w:rsidRDefault="003911FC" w:rsidP="003911FC">
      <w:pPr>
        <w:rPr>
          <w:rFonts w:cs="Arial"/>
        </w:rPr>
      </w:pPr>
      <w:r w:rsidRPr="003911FC">
        <w:rPr>
          <w:rFonts w:cs="Arial"/>
        </w:rPr>
        <w:t xml:space="preserve">Pro případ automatizovaného generování požadavků případně vyúčtování ze strany příjemce je možné zasílat požadavky ve formátu </w:t>
      </w:r>
      <w:proofErr w:type="spellStart"/>
      <w:r w:rsidRPr="003911FC">
        <w:rPr>
          <w:rFonts w:cs="Arial"/>
        </w:rPr>
        <w:t>xml</w:t>
      </w:r>
      <w:proofErr w:type="spellEnd"/>
      <w:r w:rsidRPr="003911FC">
        <w:rPr>
          <w:rFonts w:cs="Arial"/>
        </w:rPr>
        <w:t xml:space="preserve">. Dokumentace k zasílání </w:t>
      </w:r>
      <w:proofErr w:type="spellStart"/>
      <w:r w:rsidRPr="003911FC">
        <w:rPr>
          <w:rFonts w:cs="Arial"/>
        </w:rPr>
        <w:t>xml</w:t>
      </w:r>
      <w:proofErr w:type="spellEnd"/>
      <w:r w:rsidRPr="003911FC">
        <w:rPr>
          <w:rFonts w:cs="Arial"/>
        </w:rPr>
        <w:t xml:space="preserve"> souborů je dostupná zde.</w:t>
      </w:r>
    </w:p>
    <w:p w14:paraId="49C3A670" w14:textId="77777777" w:rsidR="003911FC" w:rsidRPr="003911FC" w:rsidRDefault="003911FC" w:rsidP="003911FC">
      <w:pPr>
        <w:rPr>
          <w:rFonts w:cs="Arial"/>
        </w:rPr>
      </w:pPr>
      <w:r w:rsidRPr="003911FC">
        <w:rPr>
          <w:rFonts w:cs="Arial"/>
        </w:rPr>
        <w:t>Příjemci, kteří dle aktuálně platné smlouvy financují akce spolufinancované z evropských prostředků (tj. musí uvádět způsobilost požadovaných výdajů) použijí pro požadavky/přeúčtování tento formulář a pro vyúčtování tento formulář.</w:t>
      </w:r>
    </w:p>
    <w:p w14:paraId="54CB61C1" w14:textId="71D4E6C8" w:rsidR="00E145F7" w:rsidRDefault="003911FC" w:rsidP="003911FC">
      <w:pPr>
        <w:rPr>
          <w:rFonts w:cs="Arial"/>
        </w:rPr>
      </w:pPr>
      <w:r w:rsidRPr="003911FC">
        <w:rPr>
          <w:rFonts w:cs="Arial"/>
        </w:rPr>
        <w:t>Příjemci, kteří dle aktuálně platné smlouvy financují pouze národní akce, použijí jak pro požadavky/přeúčtování, tak pro vyúčtování soupisku faktur.</w:t>
      </w:r>
    </w:p>
    <w:p w14:paraId="7BFC8E73" w14:textId="77777777" w:rsidR="000001E6" w:rsidRDefault="000001E6" w:rsidP="000001E6">
      <w:pPr>
        <w:pStyle w:val="Nadpis2"/>
      </w:pPr>
      <w:bookmarkStart w:id="43" w:name="_Toc100576197"/>
      <w:r>
        <w:t>Rozpočtová opatření a změnová řízení</w:t>
      </w:r>
      <w:bookmarkEnd w:id="43"/>
    </w:p>
    <w:p w14:paraId="039198DF" w14:textId="77777777" w:rsidR="0013450A" w:rsidRDefault="0013450A" w:rsidP="0013450A">
      <w:pPr>
        <w:rPr>
          <w:rFonts w:cs="Arial"/>
        </w:rPr>
      </w:pPr>
      <w:r>
        <w:rPr>
          <w:rFonts w:cs="Arial"/>
        </w:rPr>
        <w:t xml:space="preserve">Pokud příjemce potřebuje provést změny rozpočtu (zvýšit, snížit rozpočet, zařadit novou akci), musí poslat žádost na formuláři, která je Přílohou č. 2 Pravidel. Podle povahy změny se jedná o rozpočtové opatření nebo změnové řízení. Žádosti o změnu rozpočtu lze předkládat </w:t>
      </w:r>
      <w:r w:rsidRPr="006009A8">
        <w:rPr>
          <w:rFonts w:cs="Arial"/>
          <w:b/>
        </w:rPr>
        <w:t>do 20. listopadu</w:t>
      </w:r>
      <w:r>
        <w:rPr>
          <w:rFonts w:cs="Arial"/>
        </w:rPr>
        <w:t xml:space="preserve"> daného rozpočtového roku (odst. 4.3.8. Pravidel).</w:t>
      </w:r>
    </w:p>
    <w:p w14:paraId="03A249FA" w14:textId="77777777" w:rsidR="0013450A" w:rsidRDefault="0013450A" w:rsidP="0013450A">
      <w:pPr>
        <w:rPr>
          <w:rFonts w:cs="Arial"/>
        </w:rPr>
      </w:pPr>
      <w:r>
        <w:rPr>
          <w:rFonts w:cs="Arial"/>
        </w:rPr>
        <w:t>V rámci zaslané rozpočtové úpravy má příjemce povinnost aktualizovat celkové náklady akce a její harmonogram. Název akce se musí přesně shodovat s názvem, který odpovídá přidělenému číslu ISPROFOND. V případě potřeby změny názvu se podává samostatná žádost. Název evidovaný u SFDI nemusí být totožný s např. názvem zakázky apod.</w:t>
      </w:r>
    </w:p>
    <w:p w14:paraId="03FCC0AF" w14:textId="77777777" w:rsidR="0013450A" w:rsidRDefault="0013450A" w:rsidP="0013450A">
      <w:pPr>
        <w:rPr>
          <w:rFonts w:cs="Arial"/>
        </w:rPr>
      </w:pPr>
      <w:r>
        <w:rPr>
          <w:rFonts w:cs="Arial"/>
        </w:rPr>
        <w:t>Pokud příjemce nemá přiděleno číslo ISPROFOND, musí se obrátit na Ing. Tomáše Jandla, e-mail: tomas.jandl</w:t>
      </w:r>
      <w:r w:rsidRPr="007563FE">
        <w:rPr>
          <w:rFonts w:cs="Arial"/>
        </w:rPr>
        <w:t>@</w:t>
      </w:r>
      <w:r>
        <w:rPr>
          <w:rFonts w:cs="Arial"/>
        </w:rPr>
        <w:t>sfdi.cz, s žádostí o přidělení evidenčního čísla.</w:t>
      </w:r>
    </w:p>
    <w:p w14:paraId="1278AA48" w14:textId="77777777" w:rsidR="0013450A" w:rsidRDefault="0013450A" w:rsidP="0013450A">
      <w:pPr>
        <w:rPr>
          <w:rFonts w:cs="Arial"/>
        </w:rPr>
      </w:pPr>
      <w:r>
        <w:rPr>
          <w:rFonts w:cs="Arial"/>
        </w:rPr>
        <w:t xml:space="preserve">Aktualizace celkových nákladů a harmonogramu se provádí výhradně v rámci připomínkového řízení ke smlouvě pouze u </w:t>
      </w:r>
      <w:proofErr w:type="spellStart"/>
      <w:r>
        <w:rPr>
          <w:rFonts w:cs="Arial"/>
        </w:rPr>
        <w:t>zesmluvnění</w:t>
      </w:r>
      <w:proofErr w:type="spellEnd"/>
      <w:r>
        <w:rPr>
          <w:rFonts w:cs="Arial"/>
        </w:rPr>
        <w:t xml:space="preserve"> schváleného rozpočtu.</w:t>
      </w:r>
    </w:p>
    <w:tbl>
      <w:tblPr>
        <w:tblStyle w:val="Svtlstnovnzvraznn1"/>
        <w:tblW w:w="0" w:type="auto"/>
        <w:tblLook w:val="04A0" w:firstRow="1" w:lastRow="0" w:firstColumn="1" w:lastColumn="0" w:noHBand="0" w:noVBand="1"/>
      </w:tblPr>
      <w:tblGrid>
        <w:gridCol w:w="3070"/>
        <w:gridCol w:w="3071"/>
        <w:gridCol w:w="3071"/>
      </w:tblGrid>
      <w:tr w:rsidR="0013450A" w14:paraId="2D5AB0A9" w14:textId="77777777" w:rsidTr="00B64655">
        <w:trPr>
          <w:cnfStyle w:val="100000000000" w:firstRow="1" w:lastRow="0" w:firstColumn="0" w:lastColumn="0" w:oddVBand="0" w:evenVBand="0" w:oddHBand="0"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3070" w:type="dxa"/>
          </w:tcPr>
          <w:p w14:paraId="3A29422E" w14:textId="77777777" w:rsidR="0013450A" w:rsidRDefault="0013450A" w:rsidP="00B64655">
            <w:pPr>
              <w:rPr>
                <w:rFonts w:cs="Arial"/>
              </w:rPr>
            </w:pPr>
          </w:p>
        </w:tc>
        <w:tc>
          <w:tcPr>
            <w:tcW w:w="3071" w:type="dxa"/>
            <w:vAlign w:val="center"/>
          </w:tcPr>
          <w:p w14:paraId="5BDCB720" w14:textId="77777777" w:rsidR="0013450A" w:rsidRDefault="0013450A" w:rsidP="00B64655">
            <w:pPr>
              <w:cnfStyle w:val="100000000000" w:firstRow="1" w:lastRow="0" w:firstColumn="0" w:lastColumn="0" w:oddVBand="0" w:evenVBand="0" w:oddHBand="0" w:evenHBand="0" w:firstRowFirstColumn="0" w:firstRowLastColumn="0" w:lastRowFirstColumn="0" w:lastRowLastColumn="0"/>
              <w:rPr>
                <w:rFonts w:cs="Arial"/>
              </w:rPr>
            </w:pPr>
            <w:r>
              <w:rPr>
                <w:rFonts w:cs="Arial"/>
              </w:rPr>
              <w:t>Rozpočtové opatření</w:t>
            </w:r>
          </w:p>
        </w:tc>
        <w:tc>
          <w:tcPr>
            <w:tcW w:w="3071" w:type="dxa"/>
            <w:vAlign w:val="center"/>
          </w:tcPr>
          <w:p w14:paraId="3D6A2D5A" w14:textId="77777777" w:rsidR="0013450A" w:rsidRDefault="0013450A" w:rsidP="00B64655">
            <w:pPr>
              <w:cnfStyle w:val="100000000000" w:firstRow="1" w:lastRow="0" w:firstColumn="0" w:lastColumn="0" w:oddVBand="0" w:evenVBand="0" w:oddHBand="0" w:evenHBand="0" w:firstRowFirstColumn="0" w:firstRowLastColumn="0" w:lastRowFirstColumn="0" w:lastRowLastColumn="0"/>
              <w:rPr>
                <w:rFonts w:cs="Arial"/>
              </w:rPr>
            </w:pPr>
            <w:r>
              <w:rPr>
                <w:rFonts w:cs="Arial"/>
              </w:rPr>
              <w:t>Změnové řízení</w:t>
            </w:r>
          </w:p>
        </w:tc>
      </w:tr>
      <w:tr w:rsidR="0013450A" w14:paraId="4AF828D5" w14:textId="77777777" w:rsidTr="00B64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vAlign w:val="center"/>
          </w:tcPr>
          <w:p w14:paraId="0B380A81" w14:textId="77777777" w:rsidR="0013450A" w:rsidRDefault="0013450A" w:rsidP="00B64655">
            <w:pPr>
              <w:rPr>
                <w:rFonts w:cs="Arial"/>
              </w:rPr>
            </w:pPr>
            <w:r>
              <w:rPr>
                <w:rFonts w:cs="Arial"/>
              </w:rPr>
              <w:t>Kdy předkládat</w:t>
            </w:r>
          </w:p>
        </w:tc>
        <w:tc>
          <w:tcPr>
            <w:tcW w:w="3071" w:type="dxa"/>
          </w:tcPr>
          <w:p w14:paraId="7FF7B8CC" w14:textId="77777777" w:rsidR="0013450A" w:rsidRPr="00355C49" w:rsidRDefault="0013450A" w:rsidP="00B64655">
            <w:pPr>
              <w:cnfStyle w:val="000000100000" w:firstRow="0" w:lastRow="0" w:firstColumn="0" w:lastColumn="0" w:oddVBand="0" w:evenVBand="0" w:oddHBand="1" w:evenHBand="0" w:firstRowFirstColumn="0" w:firstRowLastColumn="0" w:lastRowFirstColumn="0" w:lastRowLastColumn="0"/>
              <w:rPr>
                <w:rFonts w:cs="Arial"/>
              </w:rPr>
            </w:pPr>
            <w:r>
              <w:rPr>
                <w:rFonts w:cs="Arial"/>
              </w:rPr>
              <w:t>nejpozději 14 dní před konáním Výboru SFDI</w:t>
            </w:r>
            <w:r w:rsidRPr="007563FE">
              <w:rPr>
                <w:rFonts w:cs="Arial"/>
              </w:rPr>
              <w:t>*</w:t>
            </w:r>
          </w:p>
          <w:p w14:paraId="5D796451" w14:textId="77777777" w:rsidR="0013450A" w:rsidRDefault="0013450A" w:rsidP="00B64655">
            <w:pPr>
              <w:cnfStyle w:val="000000100000" w:firstRow="0" w:lastRow="0" w:firstColumn="0" w:lastColumn="0" w:oddVBand="0" w:evenVBand="0" w:oddHBand="1" w:evenHBand="0" w:firstRowFirstColumn="0" w:firstRowLastColumn="0" w:lastRowFirstColumn="0" w:lastRowLastColumn="0"/>
              <w:rPr>
                <w:rFonts w:cs="Arial"/>
              </w:rPr>
            </w:pPr>
          </w:p>
        </w:tc>
        <w:tc>
          <w:tcPr>
            <w:tcW w:w="3071" w:type="dxa"/>
          </w:tcPr>
          <w:p w14:paraId="150A5B29" w14:textId="77777777" w:rsidR="0013450A" w:rsidRDefault="0013450A" w:rsidP="00B64655">
            <w:pPr>
              <w:cnfStyle w:val="000000100000" w:firstRow="0" w:lastRow="0" w:firstColumn="0" w:lastColumn="0" w:oddVBand="0" w:evenVBand="0" w:oddHBand="1" w:evenHBand="0" w:firstRowFirstColumn="0" w:firstRowLastColumn="0" w:lastRowFirstColumn="0" w:lastRowLastColumn="0"/>
              <w:rPr>
                <w:rFonts w:cs="Arial"/>
              </w:rPr>
            </w:pPr>
            <w:r>
              <w:rPr>
                <w:rFonts w:cs="Arial"/>
              </w:rPr>
              <w:lastRenderedPageBreak/>
              <w:t>kdykoli v průběhu roku</w:t>
            </w:r>
          </w:p>
          <w:p w14:paraId="4957DE4E" w14:textId="77777777" w:rsidR="0013450A" w:rsidRDefault="0013450A" w:rsidP="00B64655">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nejzazší termín je určen </w:t>
            </w:r>
            <w:r>
              <w:rPr>
                <w:rFonts w:cs="Arial"/>
              </w:rPr>
              <w:lastRenderedPageBreak/>
              <w:t>schvalovacím procesem smlouvy/dodatku</w:t>
            </w:r>
          </w:p>
        </w:tc>
      </w:tr>
      <w:tr w:rsidR="0013450A" w14:paraId="6AA3BD80" w14:textId="77777777" w:rsidTr="00B64655">
        <w:tc>
          <w:tcPr>
            <w:cnfStyle w:val="001000000000" w:firstRow="0" w:lastRow="0" w:firstColumn="1" w:lastColumn="0" w:oddVBand="0" w:evenVBand="0" w:oddHBand="0" w:evenHBand="0" w:firstRowFirstColumn="0" w:firstRowLastColumn="0" w:lastRowFirstColumn="0" w:lastRowLastColumn="0"/>
            <w:tcW w:w="3070" w:type="dxa"/>
            <w:vAlign w:val="center"/>
          </w:tcPr>
          <w:p w14:paraId="2D434CB2" w14:textId="77777777" w:rsidR="0013450A" w:rsidRDefault="0013450A" w:rsidP="00B64655">
            <w:pPr>
              <w:rPr>
                <w:rFonts w:cs="Arial"/>
              </w:rPr>
            </w:pPr>
            <w:r>
              <w:rPr>
                <w:rFonts w:cs="Arial"/>
              </w:rPr>
              <w:lastRenderedPageBreak/>
              <w:t>Předmět úpravy</w:t>
            </w:r>
          </w:p>
        </w:tc>
        <w:tc>
          <w:tcPr>
            <w:tcW w:w="3071" w:type="dxa"/>
          </w:tcPr>
          <w:p w14:paraId="09E20FED" w14:textId="77777777" w:rsidR="0013450A" w:rsidRDefault="0013450A" w:rsidP="00B64655">
            <w:pPr>
              <w:cnfStyle w:val="000000000000" w:firstRow="0" w:lastRow="0" w:firstColumn="0" w:lastColumn="0" w:oddVBand="0" w:evenVBand="0" w:oddHBand="0" w:evenHBand="0" w:firstRowFirstColumn="0" w:firstRowLastColumn="0" w:lastRowFirstColumn="0" w:lastRowLastColumn="0"/>
              <w:rPr>
                <w:rFonts w:cs="Arial"/>
              </w:rPr>
            </w:pPr>
            <w:r>
              <w:rPr>
                <w:rFonts w:cs="Arial"/>
              </w:rPr>
              <w:t>zařazení nové akce</w:t>
            </w:r>
          </w:p>
        </w:tc>
        <w:tc>
          <w:tcPr>
            <w:tcW w:w="3071" w:type="dxa"/>
          </w:tcPr>
          <w:p w14:paraId="4089A09C" w14:textId="77777777" w:rsidR="0013450A" w:rsidRPr="00040419" w:rsidRDefault="0013450A" w:rsidP="00B64655">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úprava rozpočtu u již zařazených akcí (na základě zmocnění </w:t>
            </w:r>
            <w:proofErr w:type="gramStart"/>
            <w:r>
              <w:rPr>
                <w:rFonts w:cs="Arial"/>
              </w:rPr>
              <w:t>Výboru)</w:t>
            </w:r>
            <w:r w:rsidRPr="007563FE">
              <w:rPr>
                <w:rFonts w:cs="Arial"/>
              </w:rPr>
              <w:t>*</w:t>
            </w:r>
            <w:proofErr w:type="gramEnd"/>
            <w:r w:rsidRPr="007563FE">
              <w:rPr>
                <w:rFonts w:cs="Arial"/>
              </w:rPr>
              <w:t>*</w:t>
            </w:r>
          </w:p>
          <w:p w14:paraId="7AE34C45" w14:textId="77777777" w:rsidR="0013450A" w:rsidRDefault="0013450A" w:rsidP="00B64655">
            <w:pPr>
              <w:cnfStyle w:val="000000000000" w:firstRow="0" w:lastRow="0" w:firstColumn="0" w:lastColumn="0" w:oddVBand="0" w:evenVBand="0" w:oddHBand="0" w:evenHBand="0" w:firstRowFirstColumn="0" w:firstRowLastColumn="0" w:lastRowFirstColumn="0" w:lastRowLastColumn="0"/>
              <w:rPr>
                <w:rFonts w:cs="Arial"/>
              </w:rPr>
            </w:pPr>
            <w:r>
              <w:rPr>
                <w:rFonts w:cs="Arial"/>
              </w:rPr>
              <w:t>úprava rozpočtu u dotačních titulů</w:t>
            </w:r>
          </w:p>
          <w:p w14:paraId="7CF1FDD5" w14:textId="77777777" w:rsidR="0013450A" w:rsidRDefault="0013450A" w:rsidP="00B64655">
            <w:pPr>
              <w:cnfStyle w:val="000000000000" w:firstRow="0" w:lastRow="0" w:firstColumn="0" w:lastColumn="0" w:oddVBand="0" w:evenVBand="0" w:oddHBand="0" w:evenHBand="0" w:firstRowFirstColumn="0" w:firstRowLastColumn="0" w:lastRowFirstColumn="0" w:lastRowLastColumn="0"/>
              <w:rPr>
                <w:rFonts w:cs="Arial"/>
              </w:rPr>
            </w:pPr>
            <w:r>
              <w:rPr>
                <w:rFonts w:cs="Arial"/>
              </w:rPr>
              <w:t>zařazení akcí, pokud je ředitel zmocněn v rámci předchozího rozpočtového opatření</w:t>
            </w:r>
          </w:p>
        </w:tc>
      </w:tr>
    </w:tbl>
    <w:p w14:paraId="26A9D1B6" w14:textId="77777777" w:rsidR="0013450A" w:rsidRDefault="0013450A" w:rsidP="0013450A">
      <w:pPr>
        <w:rPr>
          <w:rFonts w:cs="Arial"/>
        </w:rPr>
      </w:pPr>
      <w:r w:rsidRPr="007563FE">
        <w:rPr>
          <w:rFonts w:cs="Arial"/>
        </w:rPr>
        <w:t>*</w:t>
      </w:r>
      <w:r>
        <w:rPr>
          <w:rFonts w:cs="Arial"/>
        </w:rPr>
        <w:t xml:space="preserve"> Výbor zasedá zhruba v únoru, dubnu, červnu, srpnu a říjnu. O přesných termínech konání je potřeba se informovat.</w:t>
      </w:r>
    </w:p>
    <w:p w14:paraId="5BDEF068" w14:textId="77777777" w:rsidR="0013450A" w:rsidRDefault="0013450A" w:rsidP="0013450A">
      <w:pPr>
        <w:rPr>
          <w:rFonts w:cs="Arial"/>
        </w:rPr>
      </w:pPr>
      <w:r w:rsidRPr="007563FE">
        <w:rPr>
          <w:rFonts w:cs="Arial"/>
        </w:rPr>
        <w:t>**</w:t>
      </w:r>
      <w:r>
        <w:rPr>
          <w:rFonts w:cs="Arial"/>
        </w:rPr>
        <w:t xml:space="preserve"> Platí pouze pro příjemce, kteří </w:t>
      </w:r>
      <w:proofErr w:type="gramStart"/>
      <w:r>
        <w:rPr>
          <w:rFonts w:cs="Arial"/>
        </w:rPr>
        <w:t>nehospodaří</w:t>
      </w:r>
      <w:proofErr w:type="gramEnd"/>
      <w:r>
        <w:rPr>
          <w:rFonts w:cs="Arial"/>
        </w:rPr>
        <w:t xml:space="preserve"> s majetkem státu.</w:t>
      </w:r>
    </w:p>
    <w:p w14:paraId="27943F29" w14:textId="77777777" w:rsidR="00D723F0" w:rsidRDefault="00D723F0" w:rsidP="00517D15">
      <w:pPr>
        <w:rPr>
          <w:rFonts w:cs="Arial"/>
        </w:rPr>
      </w:pPr>
    </w:p>
    <w:p w14:paraId="1FEFCF37" w14:textId="77777777" w:rsidR="00A76637" w:rsidRDefault="00A76637" w:rsidP="00A76637">
      <w:pPr>
        <w:pStyle w:val="Nadpis2"/>
      </w:pPr>
      <w:bookmarkStart w:id="44" w:name="_Toc100576198"/>
      <w:r>
        <w:t>Závěr roku a finanční vypořádání</w:t>
      </w:r>
      <w:bookmarkEnd w:id="44"/>
    </w:p>
    <w:p w14:paraId="0071144D" w14:textId="77777777" w:rsidR="00F537B6" w:rsidRDefault="00F537B6" w:rsidP="00F537B6">
      <w:pPr>
        <w:rPr>
          <w:rFonts w:cs="Arial"/>
        </w:rPr>
      </w:pPr>
      <w:r>
        <w:rPr>
          <w:rFonts w:cs="Arial"/>
        </w:rPr>
        <w:t>Každý rok vychází Metodický pokyn k finančnímu vypořádání, kde jsou uvedeny termíny pro:</w:t>
      </w:r>
    </w:p>
    <w:p w14:paraId="0D248233" w14:textId="77777777" w:rsidR="00F537B6" w:rsidRDefault="00F537B6" w:rsidP="00F537B6">
      <w:pPr>
        <w:pStyle w:val="Odstavecseseznamem"/>
        <w:numPr>
          <w:ilvl w:val="0"/>
          <w:numId w:val="5"/>
        </w:numPr>
        <w:rPr>
          <w:rFonts w:cs="Arial"/>
        </w:rPr>
      </w:pPr>
      <w:r>
        <w:rPr>
          <w:rFonts w:cs="Arial"/>
        </w:rPr>
        <w:t>zaslání posledních požadavků;</w:t>
      </w:r>
    </w:p>
    <w:p w14:paraId="4CA3A928" w14:textId="77777777" w:rsidR="00F537B6" w:rsidRDefault="00F537B6" w:rsidP="00F537B6">
      <w:pPr>
        <w:pStyle w:val="Odstavecseseznamem"/>
        <w:numPr>
          <w:ilvl w:val="0"/>
          <w:numId w:val="5"/>
        </w:numPr>
        <w:rPr>
          <w:rFonts w:cs="Arial"/>
        </w:rPr>
      </w:pPr>
      <w:r>
        <w:rPr>
          <w:rFonts w:cs="Arial"/>
        </w:rPr>
        <w:t>odeslání finančních prostředků na účet příjemce;</w:t>
      </w:r>
    </w:p>
    <w:p w14:paraId="3D9D4593" w14:textId="77777777" w:rsidR="00F537B6" w:rsidRDefault="00F537B6" w:rsidP="00F537B6">
      <w:pPr>
        <w:pStyle w:val="Odstavecseseznamem"/>
        <w:numPr>
          <w:ilvl w:val="0"/>
          <w:numId w:val="5"/>
        </w:numPr>
        <w:rPr>
          <w:rFonts w:cs="Arial"/>
        </w:rPr>
      </w:pPr>
      <w:r>
        <w:rPr>
          <w:rFonts w:cs="Arial"/>
        </w:rPr>
        <w:t>zaslání kontaktní osoby pro finanční vypořádání;</w:t>
      </w:r>
    </w:p>
    <w:p w14:paraId="5582F90F" w14:textId="77777777" w:rsidR="00F537B6" w:rsidRDefault="00F537B6" w:rsidP="00F537B6">
      <w:pPr>
        <w:pStyle w:val="Odstavecseseznamem"/>
        <w:numPr>
          <w:ilvl w:val="0"/>
          <w:numId w:val="5"/>
        </w:numPr>
        <w:rPr>
          <w:rFonts w:cs="Arial"/>
        </w:rPr>
      </w:pPr>
      <w:r>
        <w:rPr>
          <w:rFonts w:cs="Arial"/>
        </w:rPr>
        <w:t>vrácení nevyčerpaných finančních prostředků.</w:t>
      </w:r>
    </w:p>
    <w:p w14:paraId="1C999A6E" w14:textId="77777777" w:rsidR="00F537B6" w:rsidRDefault="00F537B6" w:rsidP="00F537B6">
      <w:pPr>
        <w:rPr>
          <w:rFonts w:cs="Arial"/>
        </w:rPr>
      </w:pPr>
      <w:r>
        <w:rPr>
          <w:rFonts w:cs="Arial"/>
        </w:rPr>
        <w:t>Pro různé zdroje (SFDI vs. dotace) jsou nastaveny různé termíny pro žádosti, odeslání na účty a vracení finančních prostředků. Důvodem je, že dotační prostředky musí SFDI vrátit před koncem roku poskytovateli dotace (zpravidla Ministerstvo dopravy).</w:t>
      </w:r>
    </w:p>
    <w:p w14:paraId="45700BB9" w14:textId="4BC6299A" w:rsidR="00D723F0" w:rsidRDefault="00F537B6" w:rsidP="00F537B6">
      <w:pPr>
        <w:rPr>
          <w:rFonts w:cs="Arial"/>
        </w:rPr>
      </w:pPr>
      <w:r>
        <w:rPr>
          <w:rFonts w:cs="Arial"/>
        </w:rPr>
        <w:t>Je nezbytné se s metodickým pokynem seznámit, protože nesplnění termínů znamená porušení rozpočtové kázně a vracení poskytnutých finančních prostředků!</w:t>
      </w:r>
    </w:p>
    <w:p w14:paraId="0FC783C7" w14:textId="3A906137" w:rsidR="00A8692D" w:rsidRDefault="00A8692D" w:rsidP="00A8692D">
      <w:pPr>
        <w:pStyle w:val="Nadpis1"/>
      </w:pPr>
      <w:bookmarkStart w:id="45" w:name="_Toc100576199"/>
      <w:r>
        <w:t xml:space="preserve">Průběh </w:t>
      </w:r>
      <w:r w:rsidR="00771D68">
        <w:t xml:space="preserve">víceletého </w:t>
      </w:r>
      <w:r>
        <w:t xml:space="preserve">financování </w:t>
      </w:r>
      <w:r w:rsidR="006526C0">
        <w:t>projektu</w:t>
      </w:r>
      <w:bookmarkEnd w:id="45"/>
    </w:p>
    <w:p w14:paraId="741721F0" w14:textId="43E3314F" w:rsidR="00A8692D" w:rsidRDefault="203158D4" w:rsidP="00A8692D">
      <w:pPr>
        <w:rPr>
          <w:lang w:val="en-US"/>
        </w:rPr>
      </w:pPr>
      <w:r w:rsidRPr="1C81CB00">
        <w:rPr>
          <w:lang w:val="en-US"/>
        </w:rPr>
        <w:t>[</w:t>
      </w:r>
      <w:proofErr w:type="spellStart"/>
      <w:r w:rsidRPr="1C81CB00">
        <w:rPr>
          <w:lang w:val="en-US"/>
        </w:rPr>
        <w:t>časová</w:t>
      </w:r>
      <w:proofErr w:type="spellEnd"/>
      <w:r w:rsidRPr="1C81CB00">
        <w:rPr>
          <w:lang w:val="en-US"/>
        </w:rPr>
        <w:t xml:space="preserve"> </w:t>
      </w:r>
      <w:proofErr w:type="spellStart"/>
      <w:r w:rsidRPr="1C81CB00">
        <w:rPr>
          <w:lang w:val="en-US"/>
        </w:rPr>
        <w:t>osa</w:t>
      </w:r>
      <w:proofErr w:type="spellEnd"/>
      <w:r w:rsidRPr="1C81CB00">
        <w:rPr>
          <w:lang w:val="en-US"/>
        </w:rPr>
        <w:t xml:space="preserve"> – </w:t>
      </w:r>
      <w:proofErr w:type="spellStart"/>
      <w:r w:rsidRPr="1C81CB00">
        <w:rPr>
          <w:lang w:val="en-US"/>
        </w:rPr>
        <w:t>vzhled</w:t>
      </w:r>
      <w:proofErr w:type="spellEnd"/>
      <w:r w:rsidRPr="1C81CB00">
        <w:rPr>
          <w:lang w:val="en-US"/>
        </w:rPr>
        <w:t xml:space="preserve"> viz </w:t>
      </w:r>
      <w:proofErr w:type="spellStart"/>
      <w:r w:rsidRPr="48CA63B2">
        <w:rPr>
          <w:lang w:val="en-US"/>
        </w:rPr>
        <w:t>obrázek</w:t>
      </w:r>
      <w:proofErr w:type="spellEnd"/>
      <w:r w:rsidRPr="5D94AA1F">
        <w:rPr>
          <w:lang w:val="en-US"/>
        </w:rPr>
        <w:t xml:space="preserve"> timeline</w:t>
      </w:r>
      <w:r w:rsidRPr="0A5DAF93">
        <w:rPr>
          <w:lang w:val="en-US"/>
        </w:rPr>
        <w:t>-</w:t>
      </w:r>
      <w:proofErr w:type="spellStart"/>
      <w:r w:rsidRPr="6D1009DB">
        <w:rPr>
          <w:lang w:val="en-US"/>
        </w:rPr>
        <w:t>projekt</w:t>
      </w:r>
      <w:proofErr w:type="spellEnd"/>
      <w:r w:rsidRPr="0A5DAF93">
        <w:rPr>
          <w:lang w:val="en-US"/>
        </w:rPr>
        <w:t>]</w:t>
      </w:r>
    </w:p>
    <w:tbl>
      <w:tblPr>
        <w:tblStyle w:val="Mkatabulky"/>
        <w:tblW w:w="0" w:type="auto"/>
        <w:tblLook w:val="04A0" w:firstRow="1" w:lastRow="0" w:firstColumn="1" w:lastColumn="0" w:noHBand="0" w:noVBand="1"/>
      </w:tblPr>
      <w:tblGrid>
        <w:gridCol w:w="9212"/>
      </w:tblGrid>
      <w:tr w:rsidR="00A8692D" w14:paraId="69A49C34" w14:textId="77777777" w:rsidTr="00B64655">
        <w:tc>
          <w:tcPr>
            <w:tcW w:w="9212" w:type="dxa"/>
          </w:tcPr>
          <w:p w14:paraId="367DDA51" w14:textId="379D94CF" w:rsidR="00A8692D" w:rsidRPr="00D77D7C" w:rsidRDefault="00B62B36" w:rsidP="00B64655">
            <w:pPr>
              <w:rPr>
                <w:rStyle w:val="Siln"/>
              </w:rPr>
            </w:pPr>
            <w:r>
              <w:rPr>
                <w:rStyle w:val="Siln"/>
              </w:rPr>
              <w:t xml:space="preserve">1. </w:t>
            </w:r>
            <w:r w:rsidR="000D1DD2" w:rsidRPr="00D77D7C">
              <w:rPr>
                <w:rStyle w:val="Siln"/>
              </w:rPr>
              <w:t>Záměr projektu</w:t>
            </w:r>
          </w:p>
          <w:p w14:paraId="152D1F15" w14:textId="702DC437" w:rsidR="00A8692D" w:rsidRPr="00D77D7C" w:rsidRDefault="00A8692D" w:rsidP="00B64655">
            <w:pPr>
              <w:rPr>
                <w:rStyle w:val="Zdraznnintenzivn"/>
              </w:rPr>
            </w:pPr>
            <w:r w:rsidRPr="00D77D7C">
              <w:rPr>
                <w:rStyle w:val="Zdraznnintenzivn"/>
              </w:rPr>
              <w:t xml:space="preserve"> </w:t>
            </w:r>
            <w:r w:rsidR="00D77D7C" w:rsidRPr="00D77D7C">
              <w:rPr>
                <w:rStyle w:val="Zdraznnintenzivn"/>
              </w:rPr>
              <w:t>v počáteční fázi přípravy projektu</w:t>
            </w:r>
          </w:p>
          <w:p w14:paraId="7F0E314E" w14:textId="090ED3BB" w:rsidR="00A8692D" w:rsidRPr="00D77D7C" w:rsidRDefault="00033BD4" w:rsidP="00B64655">
            <w:r w:rsidRPr="00D77D7C">
              <w:t xml:space="preserve">Pro financování akce z rozpočtu SFDI je nezbytnou podmínkou </w:t>
            </w:r>
            <w:r w:rsidR="008E0408" w:rsidRPr="00D77D7C">
              <w:t>předložení záměru projektu a jeho schválení Centrální komisí.</w:t>
            </w:r>
          </w:p>
          <w:p w14:paraId="5E8684E1" w14:textId="627867B1" w:rsidR="00A8692D" w:rsidRPr="006526C0" w:rsidRDefault="00A8692D" w:rsidP="00B64655">
            <w:pPr>
              <w:rPr>
                <w:highlight w:val="yellow"/>
              </w:rPr>
            </w:pPr>
            <w:r w:rsidRPr="00D77D7C">
              <w:t>Více informací o záměrech projektu</w:t>
            </w:r>
            <w:r w:rsidR="003E001A" w:rsidRPr="00D77D7C">
              <w:t xml:space="preserve"> a kdy je vyžadován najdete</w:t>
            </w:r>
            <w:r w:rsidRPr="00D77D7C">
              <w:t xml:space="preserve"> </w:t>
            </w:r>
            <w:hyperlink r:id="rId33" w:tgtFrame="_blank" w:history="1">
              <w:r w:rsidRPr="00D77D7C">
                <w:rPr>
                  <w:rStyle w:val="Odkazintenzivn"/>
                </w:rPr>
                <w:t>zde</w:t>
              </w:r>
            </w:hyperlink>
            <w:r w:rsidRPr="00D77D7C">
              <w:t xml:space="preserve">. </w:t>
            </w:r>
            <w:r w:rsidRPr="00D77D7C">
              <w:rPr>
                <w:lang w:val="en-US"/>
              </w:rPr>
              <w:t>[</w:t>
            </w:r>
            <w:r w:rsidRPr="00D77D7C">
              <w:t>odkaz na kapitolu 3.3]</w:t>
            </w:r>
          </w:p>
        </w:tc>
      </w:tr>
      <w:tr w:rsidR="00A8692D" w14:paraId="3FA4D9D5" w14:textId="77777777" w:rsidTr="00B64655">
        <w:tc>
          <w:tcPr>
            <w:tcW w:w="9212" w:type="dxa"/>
          </w:tcPr>
          <w:p w14:paraId="286BC233" w14:textId="23440460" w:rsidR="00A8692D" w:rsidRPr="00B97317" w:rsidRDefault="00B62B36" w:rsidP="50FC2F55">
            <w:pPr>
              <w:rPr>
                <w:rStyle w:val="Siln"/>
              </w:rPr>
            </w:pPr>
            <w:r>
              <w:rPr>
                <w:rStyle w:val="Siln"/>
              </w:rPr>
              <w:t xml:space="preserve">2. </w:t>
            </w:r>
            <w:r w:rsidR="344CA8BA" w:rsidRPr="50FC2F55">
              <w:rPr>
                <w:rStyle w:val="Siln"/>
              </w:rPr>
              <w:t>Alokace</w:t>
            </w:r>
          </w:p>
          <w:p w14:paraId="6B096961" w14:textId="6BA9C002" w:rsidR="00A8692D" w:rsidRPr="00B97317" w:rsidRDefault="01F3068D" w:rsidP="00B64655">
            <w:pPr>
              <w:rPr>
                <w:rStyle w:val="Zdraznnintenzivn"/>
              </w:rPr>
            </w:pPr>
            <w:r w:rsidRPr="11CCA837">
              <w:rPr>
                <w:rStyle w:val="Zdraznnintenzivn"/>
                <w:rFonts w:eastAsiaTheme="minorEastAsia"/>
              </w:rPr>
              <w:t>finančních</w:t>
            </w:r>
            <w:r w:rsidR="005F420A" w:rsidRPr="4F355AAB">
              <w:rPr>
                <w:rStyle w:val="Zdraznnintenzivn"/>
                <w:rFonts w:eastAsiaTheme="minorEastAsia"/>
              </w:rPr>
              <w:t xml:space="preserve"> </w:t>
            </w:r>
            <w:r w:rsidRPr="0D7AD2C5">
              <w:rPr>
                <w:rStyle w:val="Zdraznnintenzivn"/>
                <w:rFonts w:eastAsiaTheme="minorEastAsia"/>
              </w:rPr>
              <w:t>prostředků</w:t>
            </w:r>
            <w:r w:rsidR="005F420A" w:rsidRPr="4F355AAB">
              <w:rPr>
                <w:rStyle w:val="Zdraznnintenzivn"/>
                <w:rFonts w:eastAsiaTheme="minorEastAsia"/>
              </w:rPr>
              <w:t xml:space="preserve"> v rozpočtu SFDI</w:t>
            </w:r>
          </w:p>
          <w:p w14:paraId="57871C9E" w14:textId="77777777" w:rsidR="00A8692D" w:rsidRPr="007563FE" w:rsidRDefault="006E07A4" w:rsidP="00B64655">
            <w:pPr>
              <w:rPr>
                <w:lang w:val="pl-PL"/>
              </w:rPr>
            </w:pPr>
            <w:r w:rsidRPr="00F46B0E">
              <w:t>Akce může být již zařazena ve schválené rozpočtu SFDI</w:t>
            </w:r>
            <w:r w:rsidR="00771D68" w:rsidRPr="00F46B0E">
              <w:t xml:space="preserve"> v rámci přípravy rozpočtu</w:t>
            </w:r>
            <w:r w:rsidR="007A0D95" w:rsidRPr="00F46B0E">
              <w:t xml:space="preserve">. Více informací o přípravě rozpočtu naleznete </w:t>
            </w:r>
            <w:r w:rsidR="007A0D95" w:rsidRPr="00F46B0E">
              <w:rPr>
                <w:rStyle w:val="Odkazintenzivn"/>
              </w:rPr>
              <w:t>zde</w:t>
            </w:r>
            <w:r w:rsidR="007A0D95" w:rsidRPr="00F46B0E">
              <w:t xml:space="preserve">. </w:t>
            </w:r>
            <w:r w:rsidR="007A0D95" w:rsidRPr="007563FE">
              <w:rPr>
                <w:lang w:val="pl-PL"/>
              </w:rPr>
              <w:t>[</w:t>
            </w:r>
            <w:r w:rsidR="00B276D3" w:rsidRPr="007563FE">
              <w:rPr>
                <w:lang w:val="pl-PL"/>
              </w:rPr>
              <w:t>odkaz na kapitolu 4.1</w:t>
            </w:r>
            <w:r w:rsidR="007A0D95" w:rsidRPr="007563FE">
              <w:rPr>
                <w:lang w:val="pl-PL"/>
              </w:rPr>
              <w:t>]</w:t>
            </w:r>
          </w:p>
          <w:p w14:paraId="5BC214CD" w14:textId="0B677316" w:rsidR="00B97317" w:rsidRPr="007A0D95" w:rsidRDefault="00140B7E" w:rsidP="00B64655">
            <w:pPr>
              <w:rPr>
                <w:highlight w:val="yellow"/>
              </w:rPr>
            </w:pPr>
            <w:r w:rsidRPr="00F46B0E">
              <w:t xml:space="preserve">O finanční prostředky na financování akce lze zažádat i v průběhu roku prostřednictvím </w:t>
            </w:r>
            <w:r w:rsidR="00F46B0E" w:rsidRPr="00F46B0E">
              <w:t xml:space="preserve">žádosti o </w:t>
            </w:r>
            <w:r w:rsidRPr="00F46B0E">
              <w:t xml:space="preserve">rozpočtového opatření/změnového řízení. </w:t>
            </w:r>
            <w:r w:rsidR="00F46B0E" w:rsidRPr="00F46B0E">
              <w:t xml:space="preserve">Více informací o provádění rozpočtových změn naleznete </w:t>
            </w:r>
            <w:r w:rsidR="00F46B0E" w:rsidRPr="00F46B0E">
              <w:rPr>
                <w:rStyle w:val="Odkazintenzivn"/>
              </w:rPr>
              <w:t>zde</w:t>
            </w:r>
            <w:r w:rsidR="00F46B0E" w:rsidRPr="00F46B0E">
              <w:t xml:space="preserve">. </w:t>
            </w:r>
            <w:r w:rsidR="00F46B0E" w:rsidRPr="007563FE">
              <w:rPr>
                <w:lang w:val="pl-PL"/>
              </w:rPr>
              <w:t>[odkaz na kapitolu 4.5]</w:t>
            </w:r>
          </w:p>
        </w:tc>
      </w:tr>
      <w:tr w:rsidR="00A8692D" w14:paraId="34673D3D" w14:textId="77777777" w:rsidTr="00B64655">
        <w:tc>
          <w:tcPr>
            <w:tcW w:w="9212" w:type="dxa"/>
          </w:tcPr>
          <w:p w14:paraId="1B7F65AC" w14:textId="3EAC8655" w:rsidR="00A8692D" w:rsidRPr="00D030B7" w:rsidRDefault="00B62B36" w:rsidP="00B64655">
            <w:pPr>
              <w:rPr>
                <w:rStyle w:val="Siln"/>
              </w:rPr>
            </w:pPr>
            <w:r>
              <w:rPr>
                <w:rStyle w:val="Siln"/>
              </w:rPr>
              <w:lastRenderedPageBreak/>
              <w:t xml:space="preserve">3. </w:t>
            </w:r>
            <w:r w:rsidR="00A8692D" w:rsidRPr="00D030B7">
              <w:rPr>
                <w:rStyle w:val="Siln"/>
              </w:rPr>
              <w:t>Uzavření smlouvy</w:t>
            </w:r>
          </w:p>
          <w:p w14:paraId="016C3D52" w14:textId="253534B4" w:rsidR="00A8692D" w:rsidRPr="00D030B7" w:rsidRDefault="203158D4" w:rsidP="00B64655">
            <w:pPr>
              <w:rPr>
                <w:rStyle w:val="Zdraznnintenzivn"/>
              </w:rPr>
            </w:pPr>
            <w:r w:rsidRPr="5A2A5F8F">
              <w:rPr>
                <w:rStyle w:val="Zdraznnintenzivn"/>
              </w:rPr>
              <w:t xml:space="preserve">v průběhu </w:t>
            </w:r>
            <w:r w:rsidRPr="61021467">
              <w:rPr>
                <w:rStyle w:val="Zdraznnintenzivn"/>
              </w:rPr>
              <w:t>kalendářního roku</w:t>
            </w:r>
          </w:p>
          <w:p w14:paraId="3079315B" w14:textId="6F99B885" w:rsidR="00A8692D" w:rsidRPr="006526C0" w:rsidRDefault="00A8692D" w:rsidP="00B64655">
            <w:pPr>
              <w:rPr>
                <w:highlight w:val="yellow"/>
              </w:rPr>
            </w:pPr>
            <w:r w:rsidRPr="00D030B7">
              <w:t xml:space="preserve">Po doložení všech potřebných podkladů a po absolvování schvalovacího procesu může být uzavřena smlouvy. Více informací o celém procesu uzavření smlouvy je uvedeno </w:t>
            </w:r>
            <w:hyperlink r:id="rId34" w:history="1">
              <w:r w:rsidRPr="00D030B7">
                <w:rPr>
                  <w:rStyle w:val="Odkazintenzivn"/>
                </w:rPr>
                <w:t>zde</w:t>
              </w:r>
            </w:hyperlink>
            <w:r w:rsidRPr="00D030B7">
              <w:t xml:space="preserve"> </w:t>
            </w:r>
            <w:r w:rsidRPr="007563FE">
              <w:rPr>
                <w:lang w:val="pl-PL"/>
              </w:rPr>
              <w:t>[</w:t>
            </w:r>
            <w:r w:rsidRPr="00D030B7">
              <w:t xml:space="preserve">odkaz na kapitolu </w:t>
            </w:r>
            <w:r w:rsidR="00D030B7" w:rsidRPr="00D030B7">
              <w:t>4.3</w:t>
            </w:r>
            <w:r w:rsidRPr="00D030B7">
              <w:t>]</w:t>
            </w:r>
          </w:p>
        </w:tc>
      </w:tr>
      <w:tr w:rsidR="00D030B7" w14:paraId="245095E5" w14:textId="77777777" w:rsidTr="00B64655">
        <w:tc>
          <w:tcPr>
            <w:tcW w:w="9212" w:type="dxa"/>
          </w:tcPr>
          <w:p w14:paraId="1E67F6C4" w14:textId="164DF1DF" w:rsidR="00D030B7" w:rsidRPr="00187B2E" w:rsidRDefault="00B62B36" w:rsidP="00D030B7">
            <w:pPr>
              <w:rPr>
                <w:rStyle w:val="Siln"/>
              </w:rPr>
            </w:pPr>
            <w:r>
              <w:rPr>
                <w:rStyle w:val="Siln"/>
              </w:rPr>
              <w:t xml:space="preserve">4. </w:t>
            </w:r>
            <w:r w:rsidR="00D030B7" w:rsidRPr="00187B2E">
              <w:rPr>
                <w:rStyle w:val="Siln"/>
              </w:rPr>
              <w:t>Zasílání požadavků</w:t>
            </w:r>
          </w:p>
          <w:p w14:paraId="1572781A" w14:textId="73BC94AF" w:rsidR="00D030B7" w:rsidRPr="00187B2E" w:rsidRDefault="00D030B7" w:rsidP="00D030B7">
            <w:pPr>
              <w:rPr>
                <w:rStyle w:val="Zdraznnintenzivn"/>
              </w:rPr>
            </w:pPr>
            <w:r w:rsidRPr="00187B2E">
              <w:rPr>
                <w:rStyle w:val="Zdraznnintenzivn"/>
              </w:rPr>
              <w:t xml:space="preserve">od uzavření smlouvy do </w:t>
            </w:r>
            <w:r w:rsidR="7132AB48" w:rsidRPr="24E4B86D">
              <w:rPr>
                <w:rStyle w:val="Zdraznnintenzivn"/>
              </w:rPr>
              <w:t xml:space="preserve">cca </w:t>
            </w:r>
            <w:r w:rsidRPr="00187B2E">
              <w:rPr>
                <w:rStyle w:val="Zdraznnintenzivn"/>
              </w:rPr>
              <w:t>poloviny prosince</w:t>
            </w:r>
          </w:p>
          <w:p w14:paraId="3BBB87AC" w14:textId="6EEA6450" w:rsidR="00D030B7" w:rsidRPr="00187B2E" w:rsidRDefault="00D030B7" w:rsidP="00D030B7">
            <w:pPr>
              <w:rPr>
                <w:rStyle w:val="Siln"/>
              </w:rPr>
            </w:pPr>
            <w:r w:rsidRPr="00187B2E">
              <w:t>Požadavky na uvolnění finančních prostředků mohou být zasílány po uzavření smlouvy a splnění podmínek uvedených v Pravidlech pro financování nebo ve smlouvě. Financování z rozpočtu SFDI může probíhat dvěma základními způsoby:</w:t>
            </w:r>
            <w:r w:rsidRPr="00187B2E">
              <w:br/>
              <w:t>– formou ex-post, kdy jsou propláceny již uhrazené faktury</w:t>
            </w:r>
            <w:r w:rsidRPr="00187B2E">
              <w:br/>
              <w:t>– formou ex-ante, kdy jsou poskytovány prostředky na úhradu faktur</w:t>
            </w:r>
            <w:r w:rsidRPr="00187B2E">
              <w:br/>
              <w:t xml:space="preserve">Více informací o požadavcích a případných vratkách naleznete </w:t>
            </w:r>
            <w:hyperlink r:id="rId35" w:tgtFrame="_blank" w:history="1">
              <w:r w:rsidRPr="00187B2E">
                <w:rPr>
                  <w:rStyle w:val="Odkazintenzivn"/>
                </w:rPr>
                <w:t>zde</w:t>
              </w:r>
            </w:hyperlink>
            <w:r w:rsidRPr="00187B2E">
              <w:t xml:space="preserve"> </w:t>
            </w:r>
            <w:r w:rsidRPr="007563FE">
              <w:t>[</w:t>
            </w:r>
            <w:r w:rsidRPr="00187B2E">
              <w:t xml:space="preserve">odkaz na kapitolu </w:t>
            </w:r>
            <w:r w:rsidR="00187B2E" w:rsidRPr="00187B2E">
              <w:t>4.4</w:t>
            </w:r>
            <w:r w:rsidRPr="00187B2E">
              <w:t>]</w:t>
            </w:r>
          </w:p>
        </w:tc>
      </w:tr>
      <w:tr w:rsidR="00187B2E" w14:paraId="57695A47" w14:textId="77777777" w:rsidTr="00B64655">
        <w:tc>
          <w:tcPr>
            <w:tcW w:w="9212" w:type="dxa"/>
          </w:tcPr>
          <w:p w14:paraId="53A11CF5" w14:textId="5BD0548D" w:rsidR="00187B2E" w:rsidRPr="00CB49E9" w:rsidRDefault="00746A12" w:rsidP="00187B2E">
            <w:pPr>
              <w:rPr>
                <w:rStyle w:val="Siln"/>
              </w:rPr>
            </w:pPr>
            <w:r>
              <w:rPr>
                <w:rStyle w:val="Siln"/>
              </w:rPr>
              <w:t xml:space="preserve">5. </w:t>
            </w:r>
            <w:r w:rsidR="00187B2E" w:rsidRPr="00CB49E9">
              <w:rPr>
                <w:rStyle w:val="Siln"/>
              </w:rPr>
              <w:t>Zasílání vyúčtování</w:t>
            </w:r>
          </w:p>
          <w:p w14:paraId="66E0C2AF" w14:textId="7674CE97" w:rsidR="00187B2E" w:rsidRPr="00CB49E9" w:rsidRDefault="00187B2E" w:rsidP="00187B2E">
            <w:pPr>
              <w:rPr>
                <w:rStyle w:val="Zdraznnintenzivn"/>
              </w:rPr>
            </w:pPr>
            <w:r w:rsidRPr="00CB49E9">
              <w:rPr>
                <w:rStyle w:val="Zdraznnintenzivn"/>
              </w:rPr>
              <w:t xml:space="preserve">od </w:t>
            </w:r>
            <w:r w:rsidR="12F1B08F" w:rsidRPr="5AC42683">
              <w:rPr>
                <w:rStyle w:val="Zdraznnintenzivn"/>
              </w:rPr>
              <w:t>proplacení požadavků</w:t>
            </w:r>
            <w:r w:rsidRPr="00CB49E9">
              <w:rPr>
                <w:rStyle w:val="Zdraznnintenzivn"/>
              </w:rPr>
              <w:t xml:space="preserve"> do </w:t>
            </w:r>
            <w:r w:rsidR="12F1B08F" w:rsidRPr="098E3EE1">
              <w:rPr>
                <w:rStyle w:val="Zdraznnintenzivn"/>
              </w:rPr>
              <w:t>cca poloviny</w:t>
            </w:r>
            <w:r w:rsidRPr="00CB49E9">
              <w:rPr>
                <w:rStyle w:val="Zdraznnintenzivn"/>
              </w:rPr>
              <w:t xml:space="preserve"> ledna</w:t>
            </w:r>
          </w:p>
          <w:p w14:paraId="62905DBF" w14:textId="5BF2892E" w:rsidR="00187B2E" w:rsidRPr="006526C0" w:rsidRDefault="00187B2E" w:rsidP="00187B2E">
            <w:pPr>
              <w:rPr>
                <w:rStyle w:val="Siln"/>
                <w:highlight w:val="yellow"/>
              </w:rPr>
            </w:pPr>
            <w:r w:rsidRPr="00CB49E9">
              <w:t>Pokud jsou akce financovány formou ex-ante, je nutné vždy zaslat vyúčtování poskytnutých finančních prostředků, tj. prokázat, že byly vynaloženy na to, na co měly být.</w:t>
            </w:r>
            <w:r w:rsidRPr="00CB49E9">
              <w:br/>
              <w:t>U financování ex-post se vyúčtování neprovádí.</w:t>
            </w:r>
            <w:r w:rsidRPr="00CB49E9">
              <w:br/>
              <w:t xml:space="preserve">Více informací o vyúčtování naleznete </w:t>
            </w:r>
            <w:hyperlink r:id="rId36" w:tgtFrame="_blank" w:history="1">
              <w:r w:rsidRPr="00CB49E9">
                <w:rPr>
                  <w:rStyle w:val="Odkazintenzivn"/>
                </w:rPr>
                <w:t>zde</w:t>
              </w:r>
            </w:hyperlink>
            <w:r w:rsidRPr="00CB49E9">
              <w:t>.</w:t>
            </w:r>
            <w:r w:rsidRPr="007563FE">
              <w:t xml:space="preserve"> </w:t>
            </w:r>
            <w:r w:rsidRPr="00CB49E9">
              <w:rPr>
                <w:lang w:val="en-US"/>
              </w:rPr>
              <w:t>[</w:t>
            </w:r>
            <w:r w:rsidRPr="00CB49E9">
              <w:t xml:space="preserve">odkaz na kapitolu </w:t>
            </w:r>
            <w:r w:rsidR="00CB49E9" w:rsidRPr="00CB49E9">
              <w:t>4.4</w:t>
            </w:r>
            <w:r w:rsidRPr="00CB49E9">
              <w:t>]</w:t>
            </w:r>
          </w:p>
        </w:tc>
      </w:tr>
      <w:tr w:rsidR="00880F4A" w14:paraId="7BCEC696" w14:textId="77777777" w:rsidTr="00B64655">
        <w:tc>
          <w:tcPr>
            <w:tcW w:w="9212" w:type="dxa"/>
          </w:tcPr>
          <w:p w14:paraId="04692F61" w14:textId="013829A5" w:rsidR="00880F4A" w:rsidRPr="0053373E" w:rsidRDefault="00746A12" w:rsidP="00880F4A">
            <w:pPr>
              <w:rPr>
                <w:rStyle w:val="Siln"/>
              </w:rPr>
            </w:pPr>
            <w:r>
              <w:rPr>
                <w:rStyle w:val="Siln"/>
              </w:rPr>
              <w:t xml:space="preserve">6. </w:t>
            </w:r>
            <w:r w:rsidR="00880F4A" w:rsidRPr="0053373E">
              <w:rPr>
                <w:rStyle w:val="Siln"/>
              </w:rPr>
              <w:t xml:space="preserve">Změny rozpočtu a jejich </w:t>
            </w:r>
            <w:proofErr w:type="spellStart"/>
            <w:r w:rsidR="00880F4A" w:rsidRPr="0053373E">
              <w:rPr>
                <w:rStyle w:val="Siln"/>
              </w:rPr>
              <w:t>zesmluvnění</w:t>
            </w:r>
            <w:proofErr w:type="spellEnd"/>
          </w:p>
          <w:p w14:paraId="524B4320" w14:textId="0660271D" w:rsidR="00880F4A" w:rsidRPr="0053373E" w:rsidRDefault="00880F4A" w:rsidP="00880F4A">
            <w:pPr>
              <w:rPr>
                <w:rStyle w:val="Zdraznnintenzivn"/>
              </w:rPr>
            </w:pPr>
            <w:r w:rsidRPr="0053373E">
              <w:rPr>
                <w:rStyle w:val="Zdraznnintenzivn"/>
              </w:rPr>
              <w:t xml:space="preserve">podání žádosti </w:t>
            </w:r>
            <w:r w:rsidR="00D20CAA" w:rsidRPr="0053373E">
              <w:rPr>
                <w:rStyle w:val="Zdraznnintenzivn"/>
              </w:rPr>
              <w:t xml:space="preserve">o úpravu rozpočtu </w:t>
            </w:r>
            <w:r w:rsidRPr="0053373E">
              <w:rPr>
                <w:rStyle w:val="Zdraznnintenzivn"/>
              </w:rPr>
              <w:t>nejpozději do 20. listopadu</w:t>
            </w:r>
          </w:p>
          <w:p w14:paraId="1C7C03FA" w14:textId="103A479C" w:rsidR="005107FB" w:rsidRPr="0053373E" w:rsidRDefault="00D20CAA" w:rsidP="00880F4A">
            <w:r w:rsidRPr="0053373E">
              <w:t xml:space="preserve">V případě, že příjemce zjistí, finanční prostředky na danou akci pro konkrétní kalendářní rok </w:t>
            </w:r>
            <w:r w:rsidR="002E33C4" w:rsidRPr="0053373E">
              <w:t xml:space="preserve">neodpovídají skutečné finanční potřebě, požádá o </w:t>
            </w:r>
            <w:r w:rsidR="558F8D34">
              <w:t>úpravu</w:t>
            </w:r>
            <w:r w:rsidR="002E33C4" w:rsidRPr="0053373E">
              <w:t xml:space="preserve"> rozpočtu</w:t>
            </w:r>
            <w:r w:rsidR="2548B637">
              <w:t>.</w:t>
            </w:r>
            <w:r w:rsidR="00746A12">
              <w:t xml:space="preserve"> O změnu rozpočtu lze žádat v průběhu kalendářního roku i opakovaně,</w:t>
            </w:r>
            <w:r w:rsidR="005107FB" w:rsidRPr="0053373E">
              <w:t xml:space="preserve"> přičemž každá změna rozpočtu musí být následně </w:t>
            </w:r>
            <w:proofErr w:type="spellStart"/>
            <w:r w:rsidR="005107FB" w:rsidRPr="0053373E">
              <w:t>zesmluvněna</w:t>
            </w:r>
            <w:proofErr w:type="spellEnd"/>
            <w:r w:rsidR="0053373E" w:rsidRPr="0053373E">
              <w:t>.</w:t>
            </w:r>
            <w:r w:rsidR="00B62B36">
              <w:t xml:space="preserve"> </w:t>
            </w:r>
          </w:p>
          <w:p w14:paraId="71203644" w14:textId="4D5AA62D" w:rsidR="00880F4A" w:rsidRPr="006526C0" w:rsidRDefault="00880F4A" w:rsidP="00880F4A">
            <w:pPr>
              <w:rPr>
                <w:rStyle w:val="Siln"/>
                <w:highlight w:val="yellow"/>
              </w:rPr>
            </w:pPr>
            <w:r w:rsidRPr="0053373E">
              <w:t xml:space="preserve">Více informací o provádění rozpočtových změn, metodický pokyn a příslušné formuláře naleznete </w:t>
            </w:r>
            <w:hyperlink r:id="rId37" w:tgtFrame="_blank" w:history="1">
              <w:r w:rsidRPr="0053373E">
                <w:rPr>
                  <w:rStyle w:val="Odkazintenzivn"/>
                </w:rPr>
                <w:t>zde</w:t>
              </w:r>
            </w:hyperlink>
            <w:r w:rsidRPr="0053373E">
              <w:t xml:space="preserve">. </w:t>
            </w:r>
            <w:r w:rsidRPr="0053373E">
              <w:rPr>
                <w:lang w:val="en-US"/>
              </w:rPr>
              <w:t>[</w:t>
            </w:r>
            <w:r w:rsidRPr="0053373E">
              <w:t xml:space="preserve">odkaz na kapitolu </w:t>
            </w:r>
            <w:r w:rsidR="005107FB" w:rsidRPr="0053373E">
              <w:t>4.5</w:t>
            </w:r>
            <w:r w:rsidRPr="0053373E">
              <w:t>]</w:t>
            </w:r>
          </w:p>
        </w:tc>
      </w:tr>
      <w:tr w:rsidR="2BC94766" w14:paraId="7B0D6FC4" w14:textId="77777777" w:rsidTr="2BC94766">
        <w:tc>
          <w:tcPr>
            <w:tcW w:w="9212" w:type="dxa"/>
          </w:tcPr>
          <w:p w14:paraId="7B1BDBA1" w14:textId="2C39C179" w:rsidR="217C82C1" w:rsidRDefault="1F1B4EB0" w:rsidP="217C82C1">
            <w:pPr>
              <w:rPr>
                <w:rStyle w:val="Siln"/>
                <w:rFonts w:eastAsia="Calibri" w:cs="Arial"/>
              </w:rPr>
            </w:pPr>
            <w:r w:rsidRPr="1F1B4EB0">
              <w:rPr>
                <w:rStyle w:val="Siln"/>
                <w:rFonts w:eastAsia="Calibri" w:cs="Arial"/>
              </w:rPr>
              <w:t xml:space="preserve">7. </w:t>
            </w:r>
            <w:r w:rsidR="4B180007" w:rsidRPr="4B180007">
              <w:rPr>
                <w:rStyle w:val="Siln"/>
                <w:rFonts w:eastAsia="Calibri" w:cs="Arial"/>
              </w:rPr>
              <w:t>Finanční</w:t>
            </w:r>
            <w:r w:rsidRPr="1F1B4EB0">
              <w:rPr>
                <w:rStyle w:val="Siln"/>
                <w:rFonts w:eastAsia="Calibri" w:cs="Arial"/>
              </w:rPr>
              <w:t xml:space="preserve"> </w:t>
            </w:r>
            <w:r w:rsidR="217C82C1" w:rsidRPr="217C82C1">
              <w:rPr>
                <w:rStyle w:val="Siln"/>
                <w:rFonts w:eastAsia="Calibri" w:cs="Arial"/>
              </w:rPr>
              <w:t>vypořádání</w:t>
            </w:r>
          </w:p>
          <w:p w14:paraId="7C5B5E2B" w14:textId="5599C1D8" w:rsidR="1B78A9E9" w:rsidRDefault="103EAE16" w:rsidP="1B78A9E9">
            <w:pPr>
              <w:rPr>
                <w:rStyle w:val="Zdraznnintenzivn"/>
              </w:rPr>
            </w:pPr>
            <w:r w:rsidRPr="7E2B0431">
              <w:rPr>
                <w:rStyle w:val="Zdraznnintenzivn"/>
                <w:rFonts w:eastAsiaTheme="minorEastAsia"/>
              </w:rPr>
              <w:t>odsouhlasení</w:t>
            </w:r>
            <w:r w:rsidR="2B03E3B6" w:rsidRPr="7E2B0431">
              <w:rPr>
                <w:rStyle w:val="Zdraznnintenzivn"/>
                <w:rFonts w:eastAsiaTheme="minorEastAsia"/>
              </w:rPr>
              <w:t xml:space="preserve"> </w:t>
            </w:r>
            <w:r w:rsidR="449782B1" w:rsidRPr="7E2B0431">
              <w:rPr>
                <w:rStyle w:val="Zdraznnintenzivn"/>
                <w:rFonts w:eastAsiaTheme="minorEastAsia"/>
              </w:rPr>
              <w:t>poskytnutých</w:t>
            </w:r>
            <w:r w:rsidR="2B03E3B6" w:rsidRPr="7E2B0431">
              <w:rPr>
                <w:rStyle w:val="Zdraznnintenzivn"/>
                <w:rFonts w:eastAsiaTheme="minorEastAsia"/>
              </w:rPr>
              <w:t xml:space="preserve"> finančních </w:t>
            </w:r>
            <w:r w:rsidR="5D8EF33B" w:rsidRPr="7E2B0431">
              <w:rPr>
                <w:rStyle w:val="Zdraznnintenzivn"/>
                <w:rFonts w:eastAsiaTheme="minorEastAsia"/>
              </w:rPr>
              <w:t xml:space="preserve">prostředků </w:t>
            </w:r>
            <w:r w:rsidR="3397B489" w:rsidRPr="7E2B0431">
              <w:rPr>
                <w:rStyle w:val="Zdraznnintenzivn"/>
                <w:rFonts w:eastAsiaTheme="minorEastAsia"/>
              </w:rPr>
              <w:t xml:space="preserve">v </w:t>
            </w:r>
            <w:r w:rsidR="2F45DF17" w:rsidRPr="7E2B0431">
              <w:rPr>
                <w:rStyle w:val="Zdraznnintenzivn"/>
                <w:rFonts w:eastAsiaTheme="minorEastAsia"/>
              </w:rPr>
              <w:t xml:space="preserve">uplynulém roce </w:t>
            </w:r>
            <w:r w:rsidR="1FCA7F5B" w:rsidRPr="7E2B0431">
              <w:rPr>
                <w:rStyle w:val="Zdraznnintenzivn"/>
                <w:rFonts w:eastAsiaTheme="minorEastAsia"/>
              </w:rPr>
              <w:t>do konce ledna</w:t>
            </w:r>
          </w:p>
          <w:p w14:paraId="77256518" w14:textId="7723FAA2" w:rsidR="279DE3B1" w:rsidRDefault="1D772C22" w:rsidP="279DE3B1">
            <w:r w:rsidRPr="1D597139">
              <w:rPr>
                <w:rFonts w:eastAsiaTheme="minorEastAsia"/>
              </w:rPr>
              <w:t xml:space="preserve">Za </w:t>
            </w:r>
            <w:r w:rsidR="192556B0" w:rsidRPr="1D597139">
              <w:rPr>
                <w:rFonts w:eastAsiaTheme="minorEastAsia"/>
              </w:rPr>
              <w:t>každý</w:t>
            </w:r>
            <w:r w:rsidRPr="1D597139">
              <w:rPr>
                <w:rFonts w:eastAsiaTheme="minorEastAsia"/>
              </w:rPr>
              <w:t xml:space="preserve"> kalendářní rok </w:t>
            </w:r>
            <w:r w:rsidR="192556B0" w:rsidRPr="1D597139">
              <w:rPr>
                <w:rFonts w:eastAsiaTheme="minorEastAsia"/>
              </w:rPr>
              <w:t>probíhá</w:t>
            </w:r>
            <w:r w:rsidR="06BED505" w:rsidRPr="06BED505">
              <w:rPr>
                <w:rFonts w:eastAsiaTheme="minorEastAsia"/>
              </w:rPr>
              <w:t xml:space="preserve"> </w:t>
            </w:r>
            <w:r w:rsidR="6D7B7D1F" w:rsidRPr="6D7B7D1F">
              <w:rPr>
                <w:rFonts w:eastAsiaTheme="minorEastAsia"/>
              </w:rPr>
              <w:t xml:space="preserve">odsouhlasení </w:t>
            </w:r>
            <w:r w:rsidR="2EDA439A" w:rsidRPr="2EDA439A">
              <w:rPr>
                <w:rFonts w:eastAsiaTheme="minorEastAsia"/>
              </w:rPr>
              <w:t xml:space="preserve">poskytnutých </w:t>
            </w:r>
            <w:r w:rsidR="6D7B7D1F" w:rsidRPr="6D7B7D1F">
              <w:rPr>
                <w:rFonts w:eastAsiaTheme="minorEastAsia"/>
              </w:rPr>
              <w:t xml:space="preserve">finančních prostředků s </w:t>
            </w:r>
            <w:r w:rsidR="007C5E32" w:rsidRPr="007C5E32">
              <w:rPr>
                <w:rFonts w:eastAsiaTheme="minorEastAsia"/>
              </w:rPr>
              <w:t xml:space="preserve">jednotlivými </w:t>
            </w:r>
            <w:r w:rsidR="05864DF4" w:rsidRPr="05864DF4">
              <w:rPr>
                <w:rFonts w:eastAsiaTheme="minorEastAsia"/>
              </w:rPr>
              <w:t xml:space="preserve">příjemci </w:t>
            </w:r>
            <w:r w:rsidR="2E7791C2" w:rsidRPr="2E7791C2">
              <w:rPr>
                <w:rFonts w:eastAsiaTheme="minorEastAsia"/>
              </w:rPr>
              <w:t>na</w:t>
            </w:r>
            <w:r w:rsidR="05864DF4" w:rsidRPr="05864DF4">
              <w:rPr>
                <w:rFonts w:eastAsiaTheme="minorEastAsia"/>
              </w:rPr>
              <w:t xml:space="preserve"> </w:t>
            </w:r>
            <w:r w:rsidR="50F3D290" w:rsidRPr="50F3D290">
              <w:rPr>
                <w:rFonts w:eastAsiaTheme="minorEastAsia"/>
              </w:rPr>
              <w:t>všechny</w:t>
            </w:r>
            <w:r w:rsidR="05864DF4" w:rsidRPr="05864DF4">
              <w:rPr>
                <w:rFonts w:eastAsiaTheme="minorEastAsia"/>
              </w:rPr>
              <w:t xml:space="preserve"> jejich </w:t>
            </w:r>
            <w:r w:rsidR="50F3D290" w:rsidRPr="50F3D290">
              <w:rPr>
                <w:rFonts w:eastAsiaTheme="minorEastAsia"/>
              </w:rPr>
              <w:t>akce</w:t>
            </w:r>
            <w:r w:rsidR="3A4B5584" w:rsidRPr="3A4B5584">
              <w:rPr>
                <w:rFonts w:eastAsiaTheme="minorEastAsia"/>
              </w:rPr>
              <w:t>.</w:t>
            </w:r>
          </w:p>
          <w:p w14:paraId="57EC7E63" w14:textId="459DD20D" w:rsidR="2BC94766" w:rsidRDefault="5B260475" w:rsidP="1F1B4EB0">
            <w:pPr>
              <w:rPr>
                <w:rFonts w:eastAsia="Calibri" w:cs="Arial"/>
              </w:rPr>
            </w:pPr>
            <w:r w:rsidRPr="5B260475">
              <w:rPr>
                <w:rFonts w:eastAsiaTheme="minorEastAsia"/>
              </w:rPr>
              <w:t xml:space="preserve">Více informací o tom, jak probíhá finanční </w:t>
            </w:r>
            <w:r w:rsidR="76EF3BC0" w:rsidRPr="76EF3BC0">
              <w:rPr>
                <w:rFonts w:eastAsiaTheme="minorEastAsia"/>
              </w:rPr>
              <w:t xml:space="preserve">vypořádání, </w:t>
            </w:r>
            <w:r w:rsidR="05E79E0B" w:rsidRPr="05E79E0B">
              <w:rPr>
                <w:rFonts w:eastAsiaTheme="minorEastAsia"/>
              </w:rPr>
              <w:t>naleznete</w:t>
            </w:r>
            <w:r w:rsidR="7DC6F098" w:rsidRPr="7DC6F098">
              <w:rPr>
                <w:rFonts w:eastAsiaTheme="minorEastAsia"/>
              </w:rPr>
              <w:t xml:space="preserve"> </w:t>
            </w:r>
            <w:r w:rsidR="7DC6F098" w:rsidRPr="36B038A1">
              <w:rPr>
                <w:rFonts w:eastAsiaTheme="minorEastAsia"/>
                <w:color w:val="00B0F0"/>
                <w:u w:val="single"/>
              </w:rPr>
              <w:t>zde</w:t>
            </w:r>
            <w:r w:rsidR="328BF829" w:rsidRPr="328BF829">
              <w:rPr>
                <w:rFonts w:eastAsiaTheme="minorEastAsia"/>
              </w:rPr>
              <w:t xml:space="preserve">. </w:t>
            </w:r>
            <w:r w:rsidR="0A39737D" w:rsidRPr="0A39737D">
              <w:rPr>
                <w:rFonts w:eastAsiaTheme="minorEastAsia"/>
              </w:rPr>
              <w:t>[odkaz na kapitolu 4.6]</w:t>
            </w:r>
          </w:p>
        </w:tc>
      </w:tr>
      <w:tr w:rsidR="00D030B7" w14:paraId="1138872D" w14:textId="77777777" w:rsidTr="00B64655">
        <w:tc>
          <w:tcPr>
            <w:tcW w:w="9212" w:type="dxa"/>
          </w:tcPr>
          <w:p w14:paraId="77A50F95" w14:textId="06C9B605" w:rsidR="00D030B7" w:rsidRPr="00944E1B" w:rsidRDefault="1646E28E" w:rsidP="00D030B7">
            <w:pPr>
              <w:rPr>
                <w:rStyle w:val="Siln"/>
              </w:rPr>
            </w:pPr>
            <w:r w:rsidRPr="4919E275">
              <w:rPr>
                <w:rStyle w:val="Siln"/>
              </w:rPr>
              <w:t>8</w:t>
            </w:r>
            <w:r w:rsidR="00BB649B" w:rsidRPr="00944E1B">
              <w:rPr>
                <w:rStyle w:val="Siln"/>
              </w:rPr>
              <w:t xml:space="preserve">. </w:t>
            </w:r>
            <w:r w:rsidR="00D030B7" w:rsidRPr="00944E1B">
              <w:rPr>
                <w:rStyle w:val="Siln"/>
              </w:rPr>
              <w:t>Převody nevyčerpaných finančních prostředků</w:t>
            </w:r>
          </w:p>
          <w:p w14:paraId="399CB23A" w14:textId="7EE0CCF6" w:rsidR="027C7402" w:rsidRDefault="027C7402" w:rsidP="027C7402">
            <w:pPr>
              <w:spacing w:line="276" w:lineRule="auto"/>
              <w:rPr>
                <w:rStyle w:val="Zdraznnintenzivn"/>
                <w:rFonts w:eastAsia="Calibri" w:cs="Arial"/>
              </w:rPr>
            </w:pPr>
            <w:r w:rsidRPr="027C7402">
              <w:rPr>
                <w:rStyle w:val="Zdraznnintenzivn"/>
              </w:rPr>
              <w:t xml:space="preserve">Podání žádosti o převod je </w:t>
            </w:r>
            <w:r w:rsidR="6C4E0AC2" w:rsidRPr="6C4E0AC2">
              <w:rPr>
                <w:rStyle w:val="Zdraznnintenzivn"/>
              </w:rPr>
              <w:t>možné do konce března</w:t>
            </w:r>
          </w:p>
          <w:p w14:paraId="00C8EC28" w14:textId="543FBC66" w:rsidR="00BB649B" w:rsidRPr="00944E1B" w:rsidRDefault="00D54861" w:rsidP="00D030B7">
            <w:r w:rsidRPr="00944E1B">
              <w:t>V případě, že příjemce v jednom roce nedočerpání alokované finanční prostře</w:t>
            </w:r>
            <w:r w:rsidR="00BB649B" w:rsidRPr="00944E1B">
              <w:t>d</w:t>
            </w:r>
            <w:r w:rsidRPr="00944E1B">
              <w:t>ky, může požádat o jejich převod k čerpání do dalšího roku</w:t>
            </w:r>
            <w:r w:rsidR="00944E1B" w:rsidRPr="00944E1B">
              <w:t>, pokud finanční potřeba na akci stále trvá.</w:t>
            </w:r>
          </w:p>
          <w:p w14:paraId="39A48A6A" w14:textId="77777777" w:rsidR="00944E1B" w:rsidRPr="00944E1B" w:rsidRDefault="00D030B7" w:rsidP="00D030B7">
            <w:r w:rsidRPr="00944E1B">
              <w:t>Převody je možné uskutečnit nejdříve po schválení finančního vypořádání (1. polovina února). Příjemce musí žádost o převod požádat nejpozději 31. 3.</w:t>
            </w:r>
          </w:p>
          <w:p w14:paraId="29AFB992" w14:textId="77777777" w:rsidR="00D030B7" w:rsidRDefault="00D030B7" w:rsidP="00D030B7">
            <w:r w:rsidRPr="00944E1B">
              <w:t xml:space="preserve">Více informací naleznete </w:t>
            </w:r>
            <w:hyperlink r:id="rId38" w:tgtFrame="_blank" w:history="1">
              <w:r w:rsidRPr="00944E1B">
                <w:rPr>
                  <w:rStyle w:val="Odkazintenzivn"/>
                </w:rPr>
                <w:t>zde</w:t>
              </w:r>
            </w:hyperlink>
            <w:r w:rsidRPr="00944E1B">
              <w:t xml:space="preserve">. </w:t>
            </w:r>
            <w:r w:rsidRPr="007563FE">
              <w:rPr>
                <w:lang w:val="pl-PL"/>
              </w:rPr>
              <w:t>[</w:t>
            </w:r>
            <w:r w:rsidRPr="00944E1B">
              <w:t xml:space="preserve">odkaz na kapitolu </w:t>
            </w:r>
            <w:r w:rsidR="00944E1B">
              <w:t>4.2</w:t>
            </w:r>
            <w:r w:rsidRPr="00944E1B">
              <w:t>]</w:t>
            </w:r>
          </w:p>
          <w:p w14:paraId="3056E915" w14:textId="0BDA251B" w:rsidR="009E5034" w:rsidRPr="006526C0" w:rsidRDefault="00666488" w:rsidP="00D030B7">
            <w:pPr>
              <w:rPr>
                <w:highlight w:val="yellow"/>
              </w:rPr>
            </w:pPr>
            <w:r>
              <w:t>Převod je druh úpravy rozpočtu</w:t>
            </w:r>
            <w:r w:rsidR="00957941">
              <w:t>,</w:t>
            </w:r>
            <w:r>
              <w:t xml:space="preserve"> a proto také musí být </w:t>
            </w:r>
            <w:proofErr w:type="spellStart"/>
            <w:r>
              <w:t>zesmluvněn</w:t>
            </w:r>
            <w:proofErr w:type="spellEnd"/>
            <w:r>
              <w:t>.</w:t>
            </w:r>
          </w:p>
        </w:tc>
      </w:tr>
      <w:tr w:rsidR="00D030B7" w14:paraId="61A35F75" w14:textId="77777777" w:rsidTr="00B64655">
        <w:tc>
          <w:tcPr>
            <w:tcW w:w="9212" w:type="dxa"/>
          </w:tcPr>
          <w:p w14:paraId="09419234" w14:textId="1C248EAB" w:rsidR="00D030B7" w:rsidRPr="006B0233" w:rsidRDefault="7132AB48" w:rsidP="00D030B7">
            <w:pPr>
              <w:rPr>
                <w:rStyle w:val="Siln"/>
              </w:rPr>
            </w:pPr>
            <w:r w:rsidRPr="1DF9F6C3">
              <w:rPr>
                <w:rStyle w:val="Siln"/>
              </w:rPr>
              <w:t xml:space="preserve">9. </w:t>
            </w:r>
            <w:r w:rsidR="00D030B7" w:rsidRPr="006B0233">
              <w:rPr>
                <w:rStyle w:val="Siln"/>
              </w:rPr>
              <w:t>Závěrečné vyhodnocení akce</w:t>
            </w:r>
          </w:p>
          <w:p w14:paraId="339283B9" w14:textId="401C7972" w:rsidR="00D030B7" w:rsidRPr="006B0233" w:rsidRDefault="7132AB48" w:rsidP="00D030B7">
            <w:pPr>
              <w:rPr>
                <w:rStyle w:val="Zdraznnintenzivn"/>
              </w:rPr>
            </w:pPr>
            <w:r w:rsidRPr="4525C6AD">
              <w:rPr>
                <w:rStyle w:val="Zdraznnintenzivn"/>
              </w:rPr>
              <w:t>Vyplněný</w:t>
            </w:r>
            <w:r w:rsidR="00D030B7" w:rsidRPr="006B0233">
              <w:rPr>
                <w:rStyle w:val="Zdraznnintenzivn"/>
              </w:rPr>
              <w:t xml:space="preserve"> </w:t>
            </w:r>
            <w:r w:rsidRPr="60EEFDF8">
              <w:rPr>
                <w:rStyle w:val="Zdraznnintenzivn"/>
              </w:rPr>
              <w:t xml:space="preserve">formulář ZVA je nutné </w:t>
            </w:r>
            <w:r w:rsidRPr="4ECAE28B">
              <w:rPr>
                <w:rStyle w:val="Zdraznnintenzivn"/>
              </w:rPr>
              <w:t>předložit do</w:t>
            </w:r>
            <w:r w:rsidR="00D030B7" w:rsidRPr="006B0233">
              <w:rPr>
                <w:rStyle w:val="Zdraznnintenzivn"/>
              </w:rPr>
              <w:t xml:space="preserve"> jednoho roku od ukončení financování</w:t>
            </w:r>
          </w:p>
          <w:p w14:paraId="66274F45" w14:textId="535B4ADA" w:rsidR="00957941" w:rsidRDefault="00957941" w:rsidP="00D030B7">
            <w:r>
              <w:lastRenderedPageBreak/>
              <w:t xml:space="preserve">Po skončení </w:t>
            </w:r>
            <w:r w:rsidR="00040E29">
              <w:t>financování akce a po jejím dokončení má příjemce povinnost vyplnit formulář závěrečného vyhodnocení akce. Jedná se o souhrn</w:t>
            </w:r>
            <w:r w:rsidR="00256647">
              <w:t xml:space="preserve">nou informace o akci, která zahrnuje </w:t>
            </w:r>
            <w:r w:rsidR="00D9648D">
              <w:t>jak informace o finančních prostředcích, tak i o věcné náplni akce.</w:t>
            </w:r>
          </w:p>
          <w:p w14:paraId="16D417D7" w14:textId="22496C67" w:rsidR="00D030B7" w:rsidRPr="006526C0" w:rsidRDefault="00D030B7" w:rsidP="00D030B7">
            <w:pPr>
              <w:rPr>
                <w:rStyle w:val="year"/>
                <w:highlight w:val="yellow"/>
              </w:rPr>
            </w:pPr>
            <w:r w:rsidRPr="006B0233">
              <w:t xml:space="preserve">Více informací </w:t>
            </w:r>
            <w:r w:rsidR="00D9648D">
              <w:t xml:space="preserve">o ZVA </w:t>
            </w:r>
            <w:r w:rsidRPr="006B0233">
              <w:t xml:space="preserve">naleznete </w:t>
            </w:r>
            <w:hyperlink r:id="rId39" w:tgtFrame="_blank" w:history="1">
              <w:r w:rsidRPr="006B0233">
                <w:rPr>
                  <w:rStyle w:val="Odkazintenzivn"/>
                </w:rPr>
                <w:t>zde</w:t>
              </w:r>
            </w:hyperlink>
            <w:r w:rsidRPr="006B0233">
              <w:t xml:space="preserve">. </w:t>
            </w:r>
            <w:r w:rsidRPr="006B0233">
              <w:rPr>
                <w:lang w:val="en-US"/>
              </w:rPr>
              <w:t>[</w:t>
            </w:r>
            <w:r w:rsidRPr="006B0233">
              <w:t>odkaz na kapitolu 3.1.5]</w:t>
            </w:r>
          </w:p>
        </w:tc>
      </w:tr>
    </w:tbl>
    <w:p w14:paraId="68D01DBD" w14:textId="738DCEF1" w:rsidR="052CCD10" w:rsidRDefault="052CCD10" w:rsidP="737F7E30">
      <w:pPr>
        <w:rPr>
          <w:rStyle w:val="Siln"/>
          <w:b w:val="0"/>
          <w:bCs w:val="0"/>
          <w:highlight w:val="yellow"/>
        </w:rPr>
      </w:pPr>
      <w:r w:rsidRPr="737F7E30">
        <w:rPr>
          <w:rStyle w:val="Siln"/>
          <w:b w:val="0"/>
          <w:bCs w:val="0"/>
        </w:rPr>
        <w:lastRenderedPageBreak/>
        <w:t>Pokud je akce financována více let, k</w:t>
      </w:r>
      <w:r w:rsidR="0DF2FCBE" w:rsidRPr="737F7E30">
        <w:rPr>
          <w:rStyle w:val="Siln"/>
          <w:b w:val="0"/>
          <w:bCs w:val="0"/>
        </w:rPr>
        <w:t xml:space="preserve">roky 2.-7. případně 8. </w:t>
      </w:r>
      <w:r w:rsidRPr="737F7E30">
        <w:rPr>
          <w:rStyle w:val="Siln"/>
          <w:b w:val="0"/>
          <w:bCs w:val="0"/>
        </w:rPr>
        <w:t>se každoročně opakují.</w:t>
      </w:r>
    </w:p>
    <w:p w14:paraId="60E4A940" w14:textId="6A1D4616" w:rsidR="198E89B5" w:rsidRDefault="198E89B5" w:rsidP="1FB7A55A">
      <w:pPr>
        <w:rPr>
          <w:rFonts w:eastAsia="Calibri" w:cs="Arial"/>
        </w:rPr>
      </w:pPr>
    </w:p>
    <w:p w14:paraId="50F7730B" w14:textId="601B98D5" w:rsidR="0071501A" w:rsidRDefault="005C5FC2" w:rsidP="00B10148">
      <w:pPr>
        <w:pStyle w:val="Nadpis1"/>
        <w:rPr>
          <w:rFonts w:cs="Arial"/>
        </w:rPr>
      </w:pPr>
      <w:bookmarkStart w:id="46" w:name="_Toc100576200"/>
      <w:r>
        <w:rPr>
          <w:rFonts w:cs="Arial"/>
        </w:rPr>
        <w:t>Často kladené otázky</w:t>
      </w:r>
      <w:r w:rsidR="006D722C">
        <w:rPr>
          <w:rFonts w:cs="Arial"/>
        </w:rPr>
        <w:t xml:space="preserve"> (FAQ)</w:t>
      </w:r>
      <w:bookmarkEnd w:id="46"/>
    </w:p>
    <w:p w14:paraId="7F318784" w14:textId="474E4403" w:rsidR="00392119" w:rsidRDefault="00392119" w:rsidP="00AE076D">
      <w:pPr>
        <w:pStyle w:val="Nadpis2"/>
      </w:pPr>
      <w:bookmarkStart w:id="47" w:name="_Toc100576201"/>
      <w:r>
        <w:t xml:space="preserve">FAQ </w:t>
      </w:r>
      <w:r w:rsidR="00782CDE">
        <w:t xml:space="preserve">k Pravidlům pro </w:t>
      </w:r>
      <w:r w:rsidR="00F27B5C">
        <w:t>financování z rozpočtu SFDI</w:t>
      </w:r>
      <w:bookmarkEnd w:id="47"/>
    </w:p>
    <w:p w14:paraId="6764EE1B" w14:textId="31867CD8" w:rsidR="00F27B5C" w:rsidRPr="00610EF0" w:rsidRDefault="0040280E" w:rsidP="00F27B5C">
      <w:pPr>
        <w:rPr>
          <w:rStyle w:val="Zdraznnintenzivn"/>
        </w:rPr>
      </w:pPr>
      <w:r w:rsidRPr="00610EF0">
        <w:rPr>
          <w:rStyle w:val="Zdraznnintenzivn"/>
        </w:rPr>
        <w:t>Musí příjemce vracet smluvní pokuty, které má stanoveny ve smlouvě se zhotovitelem?</w:t>
      </w:r>
    </w:p>
    <w:p w14:paraId="6D159E37" w14:textId="31867CD8" w:rsidR="00431B60" w:rsidRDefault="00431B60" w:rsidP="00431B60">
      <w:r>
        <w:t>Příjemce není povinen odvádět na účet SFDI smluvní pokuty vyplývající ze vztahu mezi příjemcem a zhotovitelem, které nemají finanční dopad na prostředky poskytnuté SFDI. Pokud jsou např. stanoveny smluvní pokuty za nedodržení termínu realizace, příjemce není povinen odvést tyto prostředky na účet SFDI.</w:t>
      </w:r>
    </w:p>
    <w:p w14:paraId="17D5E92B" w14:textId="31867CD8" w:rsidR="0040280E" w:rsidRDefault="00431B60" w:rsidP="00431B60">
      <w:r>
        <w:t>V případě, že by se jednalo a smluvní pokuty, který mají finanční dopad, např. nekvalitně odvedená práce, skutečnosti, které mají za následek zvýšení požadavků na SFDI apod., příjemce musí tyto prostředky odvést na účet SFDI.</w:t>
      </w:r>
    </w:p>
    <w:p w14:paraId="00790468" w14:textId="0675CA8D" w:rsidR="005D4A76" w:rsidRPr="00610EF0" w:rsidRDefault="005D4A76" w:rsidP="002C7F72">
      <w:pPr>
        <w:rPr>
          <w:rStyle w:val="Zdraznnintenzivn"/>
        </w:rPr>
      </w:pPr>
      <w:r w:rsidRPr="00610EF0">
        <w:rPr>
          <w:rStyle w:val="Zdraznnintenzivn"/>
        </w:rPr>
        <w:t xml:space="preserve">Jaký je rozdíl mezi </w:t>
      </w:r>
      <w:r w:rsidR="002B586A" w:rsidRPr="00610EF0">
        <w:rPr>
          <w:rStyle w:val="Zdraznnintenzivn"/>
        </w:rPr>
        <w:t>rekonstrukcí a modernizací?</w:t>
      </w:r>
    </w:p>
    <w:p w14:paraId="2660B985" w14:textId="0675CA8D" w:rsidR="002C7F72" w:rsidRPr="00F27B5C" w:rsidRDefault="002C7F72" w:rsidP="002C7F72">
      <w:r>
        <w:t>doplnit</w:t>
      </w:r>
    </w:p>
    <w:p w14:paraId="73681116" w14:textId="22496C67" w:rsidR="00B10148" w:rsidRDefault="006D722C" w:rsidP="002C7F72">
      <w:pPr>
        <w:pStyle w:val="Nadpis2"/>
      </w:pPr>
      <w:bookmarkStart w:id="48" w:name="_Toc100576202"/>
      <w:r>
        <w:t>FAQ k</w:t>
      </w:r>
      <w:r w:rsidR="00AE076D">
        <w:t> Pravidlům pro financování silnic II. a III. třídy</w:t>
      </w:r>
      <w:bookmarkEnd w:id="48"/>
    </w:p>
    <w:p w14:paraId="5ABA907A" w14:textId="77777777" w:rsidR="00AE076D" w:rsidRDefault="00AE076D" w:rsidP="002C7F72"/>
    <w:p w14:paraId="7E72AF3E" w14:textId="58AEFA08" w:rsidR="00D35E3E" w:rsidRDefault="00047F13" w:rsidP="00047F13">
      <w:pPr>
        <w:pStyle w:val="Nadpis1"/>
      </w:pPr>
      <w:r>
        <w:t>Kontakty</w:t>
      </w:r>
    </w:p>
    <w:p w14:paraId="5B8A10D9" w14:textId="5C1AD926" w:rsidR="00047F13" w:rsidRDefault="00047F13" w:rsidP="002C7F72">
      <w:r>
        <w:t>forma vizitek</w:t>
      </w:r>
      <w:r w:rsidR="00AB13FA">
        <w:t xml:space="preserve">, zřejmě se nebude jednat o samostatnou stránku, ale </w:t>
      </w:r>
      <w:r w:rsidR="33841164">
        <w:t>u</w:t>
      </w:r>
      <w:r w:rsidR="00485C04">
        <w:t xml:space="preserve"> problematiky bude uvedena konkrétní kontaktní osoba</w:t>
      </w:r>
    </w:p>
    <w:p w14:paraId="313AB526" w14:textId="7654FEB9" w:rsidR="00485C04" w:rsidRDefault="00485C04" w:rsidP="002C7F72">
      <w:r>
        <w:t>Případně by mohla být i jako samostatná stránka, kde by bylo uvedeno podrobnější inf</w:t>
      </w:r>
      <w:r w:rsidR="00653DB5">
        <w:t>or</w:t>
      </w:r>
      <w:r>
        <w:t>mace</w:t>
      </w:r>
      <w:r w:rsidR="00653DB5">
        <w:t xml:space="preserve"> jako např. agenda.</w:t>
      </w:r>
    </w:p>
    <w:p w14:paraId="2625C9DB" w14:textId="6930C11F" w:rsidR="00047F13" w:rsidRDefault="00436184" w:rsidP="002C7F72">
      <w:r>
        <w:t>Ing. Denisa Plánková</w:t>
      </w:r>
    </w:p>
    <w:p w14:paraId="20072C3B" w14:textId="22A8AD01" w:rsidR="00436184" w:rsidRDefault="00436184" w:rsidP="002C7F72">
      <w:r>
        <w:t>vedoucí oddělení schvalování plateb II.</w:t>
      </w:r>
    </w:p>
    <w:p w14:paraId="2D751762" w14:textId="045865DF" w:rsidR="00436184" w:rsidRDefault="00436184" w:rsidP="002C7F72">
      <w:r>
        <w:t xml:space="preserve">agenda: </w:t>
      </w:r>
      <w:r w:rsidR="00327A38">
        <w:t>vedoucí pracovník</w:t>
      </w:r>
      <w:r w:rsidR="002B5E84">
        <w:t xml:space="preserve">, financování silnic II. a III. třídy, </w:t>
      </w:r>
      <w:r w:rsidR="00BF1041">
        <w:t>finanční manažer vybraných projektů OPD, CEF a RRF</w:t>
      </w:r>
    </w:p>
    <w:p w14:paraId="10C3948E" w14:textId="77777777" w:rsidR="001014CD" w:rsidRDefault="001014CD" w:rsidP="002C7F72"/>
    <w:p w14:paraId="7AE72135" w14:textId="77777777" w:rsidR="001014CD" w:rsidRPr="00B10148" w:rsidRDefault="001014CD" w:rsidP="002C7F72"/>
    <w:sectPr w:rsidR="001014CD" w:rsidRPr="00B10148" w:rsidSect="00002CF3">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6BD9" w14:textId="77777777" w:rsidR="005804E7" w:rsidRDefault="005804E7" w:rsidP="00BF7528">
      <w:pPr>
        <w:spacing w:after="0" w:line="240" w:lineRule="auto"/>
      </w:pPr>
      <w:r>
        <w:separator/>
      </w:r>
    </w:p>
  </w:endnote>
  <w:endnote w:type="continuationSeparator" w:id="0">
    <w:p w14:paraId="74AE2293" w14:textId="77777777" w:rsidR="005804E7" w:rsidRDefault="005804E7" w:rsidP="00BF7528">
      <w:pPr>
        <w:spacing w:after="0" w:line="240" w:lineRule="auto"/>
      </w:pPr>
      <w:r>
        <w:continuationSeparator/>
      </w:r>
    </w:p>
  </w:endnote>
  <w:endnote w:type="continuationNotice" w:id="1">
    <w:p w14:paraId="34B45DE1" w14:textId="77777777" w:rsidR="005804E7" w:rsidRDefault="00580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780403"/>
      <w:docPartObj>
        <w:docPartGallery w:val="Page Numbers (Bottom of Page)"/>
        <w:docPartUnique/>
      </w:docPartObj>
    </w:sdtPr>
    <w:sdtEndPr>
      <w:rPr>
        <w:rFonts w:cs="Arial"/>
      </w:rPr>
    </w:sdtEndPr>
    <w:sdtContent>
      <w:p w14:paraId="22BCAFD2" w14:textId="77777777" w:rsidR="009126A5" w:rsidRPr="00BF7528" w:rsidRDefault="009126A5">
        <w:pPr>
          <w:pStyle w:val="Zpat"/>
          <w:jc w:val="right"/>
          <w:rPr>
            <w:rFonts w:cs="Arial"/>
          </w:rPr>
        </w:pPr>
        <w:r w:rsidRPr="00BF7528">
          <w:rPr>
            <w:rFonts w:cs="Arial"/>
          </w:rPr>
          <w:fldChar w:fldCharType="begin"/>
        </w:r>
        <w:r w:rsidRPr="00BF7528">
          <w:rPr>
            <w:rFonts w:cs="Arial"/>
          </w:rPr>
          <w:instrText>PAGE   \* MERGEFORMAT</w:instrText>
        </w:r>
        <w:r w:rsidRPr="00BF7528">
          <w:rPr>
            <w:rFonts w:cs="Arial"/>
          </w:rPr>
          <w:fldChar w:fldCharType="separate"/>
        </w:r>
        <w:r w:rsidR="0028637B">
          <w:rPr>
            <w:rFonts w:cs="Arial"/>
            <w:noProof/>
          </w:rPr>
          <w:t>3</w:t>
        </w:r>
        <w:r w:rsidRPr="00BF7528">
          <w:rPr>
            <w:rFonts w:cs="Arial"/>
          </w:rPr>
          <w:fldChar w:fldCharType="end"/>
        </w:r>
      </w:p>
    </w:sdtContent>
  </w:sdt>
  <w:p w14:paraId="3BB1C61C" w14:textId="77777777" w:rsidR="009126A5" w:rsidRDefault="009126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F417" w14:textId="77777777" w:rsidR="005804E7" w:rsidRDefault="005804E7" w:rsidP="00BF7528">
      <w:pPr>
        <w:spacing w:after="0" w:line="240" w:lineRule="auto"/>
      </w:pPr>
      <w:r>
        <w:separator/>
      </w:r>
    </w:p>
  </w:footnote>
  <w:footnote w:type="continuationSeparator" w:id="0">
    <w:p w14:paraId="63A1BADD" w14:textId="77777777" w:rsidR="005804E7" w:rsidRDefault="005804E7" w:rsidP="00BF7528">
      <w:pPr>
        <w:spacing w:after="0" w:line="240" w:lineRule="auto"/>
      </w:pPr>
      <w:r>
        <w:continuationSeparator/>
      </w:r>
    </w:p>
  </w:footnote>
  <w:footnote w:type="continuationNotice" w:id="1">
    <w:p w14:paraId="36688233" w14:textId="77777777" w:rsidR="005804E7" w:rsidRDefault="005804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035"/>
    <w:multiLevelType w:val="hybridMultilevel"/>
    <w:tmpl w:val="7BDC28D4"/>
    <w:lvl w:ilvl="0" w:tplc="B22A637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3A0102"/>
    <w:multiLevelType w:val="hybridMultilevel"/>
    <w:tmpl w:val="A8A8ACFC"/>
    <w:lvl w:ilvl="0" w:tplc="5B6839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AF6D76"/>
    <w:multiLevelType w:val="hybridMultilevel"/>
    <w:tmpl w:val="088072C4"/>
    <w:lvl w:ilvl="0" w:tplc="B22A637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83323F"/>
    <w:multiLevelType w:val="hybridMultilevel"/>
    <w:tmpl w:val="C9F6652A"/>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6B1F0D"/>
    <w:multiLevelType w:val="hybridMultilevel"/>
    <w:tmpl w:val="F6E2CB26"/>
    <w:lvl w:ilvl="0" w:tplc="B22A637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565861"/>
    <w:multiLevelType w:val="hybridMultilevel"/>
    <w:tmpl w:val="A146AD3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1BA1016"/>
    <w:multiLevelType w:val="hybridMultilevel"/>
    <w:tmpl w:val="4E86D914"/>
    <w:lvl w:ilvl="0" w:tplc="5DC23ED0">
      <w:start w:val="1"/>
      <w:numFmt w:val="lowerLetter"/>
      <w:lvlText w:val="%1)"/>
      <w:lvlJc w:val="left"/>
      <w:pPr>
        <w:ind w:left="-47" w:hanging="360"/>
      </w:pPr>
      <w:rPr>
        <w:rFonts w:ascii="Arial" w:hAnsi="Arial" w:cs="Arial" w:hint="default"/>
        <w:sz w:val="22"/>
      </w:rPr>
    </w:lvl>
    <w:lvl w:ilvl="1" w:tplc="04050019" w:tentative="1">
      <w:start w:val="1"/>
      <w:numFmt w:val="lowerLetter"/>
      <w:lvlText w:val="%2."/>
      <w:lvlJc w:val="left"/>
      <w:pPr>
        <w:ind w:left="673" w:hanging="360"/>
      </w:pPr>
    </w:lvl>
    <w:lvl w:ilvl="2" w:tplc="0405001B" w:tentative="1">
      <w:start w:val="1"/>
      <w:numFmt w:val="lowerRoman"/>
      <w:lvlText w:val="%3."/>
      <w:lvlJc w:val="right"/>
      <w:pPr>
        <w:ind w:left="1393" w:hanging="180"/>
      </w:pPr>
    </w:lvl>
    <w:lvl w:ilvl="3" w:tplc="0405000F" w:tentative="1">
      <w:start w:val="1"/>
      <w:numFmt w:val="decimal"/>
      <w:lvlText w:val="%4."/>
      <w:lvlJc w:val="left"/>
      <w:pPr>
        <w:ind w:left="2113" w:hanging="360"/>
      </w:pPr>
    </w:lvl>
    <w:lvl w:ilvl="4" w:tplc="04050019" w:tentative="1">
      <w:start w:val="1"/>
      <w:numFmt w:val="lowerLetter"/>
      <w:lvlText w:val="%5."/>
      <w:lvlJc w:val="left"/>
      <w:pPr>
        <w:ind w:left="2833" w:hanging="360"/>
      </w:pPr>
    </w:lvl>
    <w:lvl w:ilvl="5" w:tplc="0405001B" w:tentative="1">
      <w:start w:val="1"/>
      <w:numFmt w:val="lowerRoman"/>
      <w:lvlText w:val="%6."/>
      <w:lvlJc w:val="right"/>
      <w:pPr>
        <w:ind w:left="3553" w:hanging="180"/>
      </w:pPr>
    </w:lvl>
    <w:lvl w:ilvl="6" w:tplc="0405000F" w:tentative="1">
      <w:start w:val="1"/>
      <w:numFmt w:val="decimal"/>
      <w:lvlText w:val="%7."/>
      <w:lvlJc w:val="left"/>
      <w:pPr>
        <w:ind w:left="4273" w:hanging="360"/>
      </w:pPr>
    </w:lvl>
    <w:lvl w:ilvl="7" w:tplc="04050019" w:tentative="1">
      <w:start w:val="1"/>
      <w:numFmt w:val="lowerLetter"/>
      <w:lvlText w:val="%8."/>
      <w:lvlJc w:val="left"/>
      <w:pPr>
        <w:ind w:left="4993" w:hanging="360"/>
      </w:pPr>
    </w:lvl>
    <w:lvl w:ilvl="8" w:tplc="0405001B" w:tentative="1">
      <w:start w:val="1"/>
      <w:numFmt w:val="lowerRoman"/>
      <w:lvlText w:val="%9."/>
      <w:lvlJc w:val="right"/>
      <w:pPr>
        <w:ind w:left="5713" w:hanging="180"/>
      </w:pPr>
    </w:lvl>
  </w:abstractNum>
  <w:abstractNum w:abstractNumId="7" w15:restartNumberingAfterBreak="0">
    <w:nsid w:val="24DE1089"/>
    <w:multiLevelType w:val="hybridMultilevel"/>
    <w:tmpl w:val="F52A0F9A"/>
    <w:lvl w:ilvl="0" w:tplc="B22A637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E30F34"/>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7948"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2D4C6747"/>
    <w:multiLevelType w:val="hybridMultilevel"/>
    <w:tmpl w:val="D304FA70"/>
    <w:lvl w:ilvl="0" w:tplc="B22A637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6E242A"/>
    <w:multiLevelType w:val="hybridMultilevel"/>
    <w:tmpl w:val="259E6000"/>
    <w:lvl w:ilvl="0" w:tplc="B22A637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262B71"/>
    <w:multiLevelType w:val="hybridMultilevel"/>
    <w:tmpl w:val="B7AA7848"/>
    <w:lvl w:ilvl="0" w:tplc="B22A637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615628"/>
    <w:multiLevelType w:val="hybridMultilevel"/>
    <w:tmpl w:val="01F6B3F2"/>
    <w:lvl w:ilvl="0" w:tplc="FFFFFFFF">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E171EE"/>
    <w:multiLevelType w:val="hybridMultilevel"/>
    <w:tmpl w:val="29027AD4"/>
    <w:lvl w:ilvl="0" w:tplc="B22A637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6273EF"/>
    <w:multiLevelType w:val="hybridMultilevel"/>
    <w:tmpl w:val="CD74829C"/>
    <w:lvl w:ilvl="0" w:tplc="B22A637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6825C3"/>
    <w:multiLevelType w:val="hybridMultilevel"/>
    <w:tmpl w:val="FFFFFFFF"/>
    <w:lvl w:ilvl="0" w:tplc="D938E374">
      <w:start w:val="1"/>
      <w:numFmt w:val="bullet"/>
      <w:lvlText w:val=""/>
      <w:lvlJc w:val="left"/>
      <w:pPr>
        <w:ind w:left="720" w:hanging="360"/>
      </w:pPr>
      <w:rPr>
        <w:rFonts w:ascii="Symbol" w:hAnsi="Symbol" w:hint="default"/>
      </w:rPr>
    </w:lvl>
    <w:lvl w:ilvl="1" w:tplc="88AA4DC0">
      <w:start w:val="1"/>
      <w:numFmt w:val="bullet"/>
      <w:lvlText w:val="o"/>
      <w:lvlJc w:val="left"/>
      <w:pPr>
        <w:ind w:left="1440" w:hanging="360"/>
      </w:pPr>
      <w:rPr>
        <w:rFonts w:ascii="Courier New" w:hAnsi="Courier New" w:hint="default"/>
      </w:rPr>
    </w:lvl>
    <w:lvl w:ilvl="2" w:tplc="40289B3A">
      <w:start w:val="1"/>
      <w:numFmt w:val="bullet"/>
      <w:lvlText w:val=""/>
      <w:lvlJc w:val="left"/>
      <w:pPr>
        <w:ind w:left="2160" w:hanging="360"/>
      </w:pPr>
      <w:rPr>
        <w:rFonts w:ascii="Wingdings" w:hAnsi="Wingdings" w:hint="default"/>
      </w:rPr>
    </w:lvl>
    <w:lvl w:ilvl="3" w:tplc="82F2EB28">
      <w:start w:val="1"/>
      <w:numFmt w:val="bullet"/>
      <w:lvlText w:val=""/>
      <w:lvlJc w:val="left"/>
      <w:pPr>
        <w:ind w:left="2880" w:hanging="360"/>
      </w:pPr>
      <w:rPr>
        <w:rFonts w:ascii="Symbol" w:hAnsi="Symbol" w:hint="default"/>
      </w:rPr>
    </w:lvl>
    <w:lvl w:ilvl="4" w:tplc="24BC8B66">
      <w:start w:val="1"/>
      <w:numFmt w:val="bullet"/>
      <w:lvlText w:val="o"/>
      <w:lvlJc w:val="left"/>
      <w:pPr>
        <w:ind w:left="3600" w:hanging="360"/>
      </w:pPr>
      <w:rPr>
        <w:rFonts w:ascii="Courier New" w:hAnsi="Courier New" w:hint="default"/>
      </w:rPr>
    </w:lvl>
    <w:lvl w:ilvl="5" w:tplc="3FBEEB44">
      <w:start w:val="1"/>
      <w:numFmt w:val="bullet"/>
      <w:lvlText w:val=""/>
      <w:lvlJc w:val="left"/>
      <w:pPr>
        <w:ind w:left="4320" w:hanging="360"/>
      </w:pPr>
      <w:rPr>
        <w:rFonts w:ascii="Wingdings" w:hAnsi="Wingdings" w:hint="default"/>
      </w:rPr>
    </w:lvl>
    <w:lvl w:ilvl="6" w:tplc="12AA624E">
      <w:start w:val="1"/>
      <w:numFmt w:val="bullet"/>
      <w:lvlText w:val=""/>
      <w:lvlJc w:val="left"/>
      <w:pPr>
        <w:ind w:left="5040" w:hanging="360"/>
      </w:pPr>
      <w:rPr>
        <w:rFonts w:ascii="Symbol" w:hAnsi="Symbol" w:hint="default"/>
      </w:rPr>
    </w:lvl>
    <w:lvl w:ilvl="7" w:tplc="DF4269F2">
      <w:start w:val="1"/>
      <w:numFmt w:val="bullet"/>
      <w:lvlText w:val="o"/>
      <w:lvlJc w:val="left"/>
      <w:pPr>
        <w:ind w:left="5760" w:hanging="360"/>
      </w:pPr>
      <w:rPr>
        <w:rFonts w:ascii="Courier New" w:hAnsi="Courier New" w:hint="default"/>
      </w:rPr>
    </w:lvl>
    <w:lvl w:ilvl="8" w:tplc="F3AA6190">
      <w:start w:val="1"/>
      <w:numFmt w:val="bullet"/>
      <w:lvlText w:val=""/>
      <w:lvlJc w:val="left"/>
      <w:pPr>
        <w:ind w:left="6480" w:hanging="360"/>
      </w:pPr>
      <w:rPr>
        <w:rFonts w:ascii="Wingdings" w:hAnsi="Wingdings" w:hint="default"/>
      </w:rPr>
    </w:lvl>
  </w:abstractNum>
  <w:abstractNum w:abstractNumId="16" w15:restartNumberingAfterBreak="0">
    <w:nsid w:val="553A6A8A"/>
    <w:multiLevelType w:val="hybridMultilevel"/>
    <w:tmpl w:val="F6C6A91C"/>
    <w:lvl w:ilvl="0" w:tplc="5B6839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5CE5E80"/>
    <w:multiLevelType w:val="hybridMultilevel"/>
    <w:tmpl w:val="54DE2FA8"/>
    <w:lvl w:ilvl="0" w:tplc="B22A637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90C3BE4"/>
    <w:multiLevelType w:val="hybridMultilevel"/>
    <w:tmpl w:val="FFFFFFFF"/>
    <w:lvl w:ilvl="0" w:tplc="CFE4047C">
      <w:numFmt w:val="none"/>
      <w:lvlText w:val=""/>
      <w:lvlJc w:val="left"/>
      <w:pPr>
        <w:tabs>
          <w:tab w:val="num" w:pos="360"/>
        </w:tabs>
      </w:pPr>
    </w:lvl>
    <w:lvl w:ilvl="1" w:tplc="83BC4872">
      <w:start w:val="1"/>
      <w:numFmt w:val="lowerLetter"/>
      <w:lvlText w:val="%2."/>
      <w:lvlJc w:val="left"/>
      <w:pPr>
        <w:ind w:left="1440" w:hanging="360"/>
      </w:pPr>
    </w:lvl>
    <w:lvl w:ilvl="2" w:tplc="B28E6436">
      <w:start w:val="1"/>
      <w:numFmt w:val="lowerRoman"/>
      <w:lvlText w:val="%3."/>
      <w:lvlJc w:val="right"/>
      <w:pPr>
        <w:ind w:left="2160" w:hanging="180"/>
      </w:pPr>
    </w:lvl>
    <w:lvl w:ilvl="3" w:tplc="F3CECD82">
      <w:start w:val="1"/>
      <w:numFmt w:val="decimal"/>
      <w:lvlText w:val="%4."/>
      <w:lvlJc w:val="left"/>
      <w:pPr>
        <w:ind w:left="2880" w:hanging="360"/>
      </w:pPr>
    </w:lvl>
    <w:lvl w:ilvl="4" w:tplc="A8ECD32C">
      <w:start w:val="1"/>
      <w:numFmt w:val="lowerLetter"/>
      <w:lvlText w:val="%5."/>
      <w:lvlJc w:val="left"/>
      <w:pPr>
        <w:ind w:left="3600" w:hanging="360"/>
      </w:pPr>
    </w:lvl>
    <w:lvl w:ilvl="5" w:tplc="EF0C4A06">
      <w:start w:val="1"/>
      <w:numFmt w:val="lowerRoman"/>
      <w:lvlText w:val="%6."/>
      <w:lvlJc w:val="right"/>
      <w:pPr>
        <w:ind w:left="4320" w:hanging="180"/>
      </w:pPr>
    </w:lvl>
    <w:lvl w:ilvl="6" w:tplc="22F0B288">
      <w:start w:val="1"/>
      <w:numFmt w:val="decimal"/>
      <w:lvlText w:val="%7."/>
      <w:lvlJc w:val="left"/>
      <w:pPr>
        <w:ind w:left="5040" w:hanging="360"/>
      </w:pPr>
    </w:lvl>
    <w:lvl w:ilvl="7" w:tplc="7C94BE7E">
      <w:start w:val="1"/>
      <w:numFmt w:val="lowerLetter"/>
      <w:lvlText w:val="%8."/>
      <w:lvlJc w:val="left"/>
      <w:pPr>
        <w:ind w:left="5760" w:hanging="360"/>
      </w:pPr>
    </w:lvl>
    <w:lvl w:ilvl="8" w:tplc="5E9605CC">
      <w:start w:val="1"/>
      <w:numFmt w:val="lowerRoman"/>
      <w:lvlText w:val="%9."/>
      <w:lvlJc w:val="right"/>
      <w:pPr>
        <w:ind w:left="6480" w:hanging="180"/>
      </w:pPr>
    </w:lvl>
  </w:abstractNum>
  <w:abstractNum w:abstractNumId="19" w15:restartNumberingAfterBreak="0">
    <w:nsid w:val="6B125BFE"/>
    <w:multiLevelType w:val="hybridMultilevel"/>
    <w:tmpl w:val="BD92FB2C"/>
    <w:lvl w:ilvl="0" w:tplc="B22A637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773A46"/>
    <w:multiLevelType w:val="hybridMultilevel"/>
    <w:tmpl w:val="977C031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9CB450A"/>
    <w:multiLevelType w:val="hybridMultilevel"/>
    <w:tmpl w:val="A4362C4E"/>
    <w:lvl w:ilvl="0" w:tplc="B22A637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CD420BA"/>
    <w:multiLevelType w:val="hybridMultilevel"/>
    <w:tmpl w:val="73B2F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7F0D37"/>
    <w:multiLevelType w:val="hybridMultilevel"/>
    <w:tmpl w:val="6D3C0228"/>
    <w:lvl w:ilvl="0" w:tplc="B22A637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57176059">
    <w:abstractNumId w:val="21"/>
  </w:num>
  <w:num w:numId="2" w16cid:durableId="306787706">
    <w:abstractNumId w:val="11"/>
  </w:num>
  <w:num w:numId="3" w16cid:durableId="269169904">
    <w:abstractNumId w:val="9"/>
  </w:num>
  <w:num w:numId="4" w16cid:durableId="1762264359">
    <w:abstractNumId w:val="4"/>
  </w:num>
  <w:num w:numId="5" w16cid:durableId="1602179466">
    <w:abstractNumId w:val="17"/>
  </w:num>
  <w:num w:numId="6" w16cid:durableId="1957566457">
    <w:abstractNumId w:val="7"/>
  </w:num>
  <w:num w:numId="7" w16cid:durableId="206912756">
    <w:abstractNumId w:val="10"/>
  </w:num>
  <w:num w:numId="8" w16cid:durableId="1040980915">
    <w:abstractNumId w:val="22"/>
  </w:num>
  <w:num w:numId="9" w16cid:durableId="476412456">
    <w:abstractNumId w:val="0"/>
  </w:num>
  <w:num w:numId="10" w16cid:durableId="1489248080">
    <w:abstractNumId w:val="14"/>
  </w:num>
  <w:num w:numId="11" w16cid:durableId="235938384">
    <w:abstractNumId w:val="20"/>
  </w:num>
  <w:num w:numId="12" w16cid:durableId="236091995">
    <w:abstractNumId w:val="6"/>
  </w:num>
  <w:num w:numId="13" w16cid:durableId="1296793110">
    <w:abstractNumId w:val="1"/>
  </w:num>
  <w:num w:numId="14" w16cid:durableId="1997607007">
    <w:abstractNumId w:val="16"/>
  </w:num>
  <w:num w:numId="15" w16cid:durableId="1961572473">
    <w:abstractNumId w:val="8"/>
  </w:num>
  <w:num w:numId="16" w16cid:durableId="956374475">
    <w:abstractNumId w:val="13"/>
  </w:num>
  <w:num w:numId="17" w16cid:durableId="1381637361">
    <w:abstractNumId w:val="3"/>
  </w:num>
  <w:num w:numId="18" w16cid:durableId="1700278597">
    <w:abstractNumId w:val="2"/>
  </w:num>
  <w:num w:numId="19" w16cid:durableId="1032270838">
    <w:abstractNumId w:val="23"/>
  </w:num>
  <w:num w:numId="20" w16cid:durableId="1194925745">
    <w:abstractNumId w:val="19"/>
  </w:num>
  <w:num w:numId="21" w16cid:durableId="1009022180">
    <w:abstractNumId w:val="15"/>
  </w:num>
  <w:num w:numId="22" w16cid:durableId="1681734602">
    <w:abstractNumId w:val="18"/>
  </w:num>
  <w:num w:numId="23" w16cid:durableId="2131126161">
    <w:abstractNumId w:val="12"/>
  </w:num>
  <w:num w:numId="24" w16cid:durableId="583103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9C5"/>
    <w:rsid w:val="000001E6"/>
    <w:rsid w:val="00000737"/>
    <w:rsid w:val="00002CF3"/>
    <w:rsid w:val="000067C2"/>
    <w:rsid w:val="00006A88"/>
    <w:rsid w:val="00006E45"/>
    <w:rsid w:val="00011096"/>
    <w:rsid w:val="00011A28"/>
    <w:rsid w:val="00013499"/>
    <w:rsid w:val="00016B34"/>
    <w:rsid w:val="00017786"/>
    <w:rsid w:val="00023D2A"/>
    <w:rsid w:val="00033470"/>
    <w:rsid w:val="00033976"/>
    <w:rsid w:val="00033B67"/>
    <w:rsid w:val="00033BD4"/>
    <w:rsid w:val="000362D3"/>
    <w:rsid w:val="00040419"/>
    <w:rsid w:val="00040E29"/>
    <w:rsid w:val="00044BD7"/>
    <w:rsid w:val="00047F13"/>
    <w:rsid w:val="00055634"/>
    <w:rsid w:val="000605AE"/>
    <w:rsid w:val="000716A1"/>
    <w:rsid w:val="00072C51"/>
    <w:rsid w:val="00073440"/>
    <w:rsid w:val="00082CE8"/>
    <w:rsid w:val="00082E5F"/>
    <w:rsid w:val="00084A83"/>
    <w:rsid w:val="000868A9"/>
    <w:rsid w:val="000A4BEB"/>
    <w:rsid w:val="000A670C"/>
    <w:rsid w:val="000B128F"/>
    <w:rsid w:val="000B488A"/>
    <w:rsid w:val="000B6C96"/>
    <w:rsid w:val="000B70C8"/>
    <w:rsid w:val="000C1E8D"/>
    <w:rsid w:val="000C45DF"/>
    <w:rsid w:val="000C576E"/>
    <w:rsid w:val="000D0612"/>
    <w:rsid w:val="000D079C"/>
    <w:rsid w:val="000D1DD2"/>
    <w:rsid w:val="000D2E82"/>
    <w:rsid w:val="000D32D7"/>
    <w:rsid w:val="000D3CAE"/>
    <w:rsid w:val="000D532B"/>
    <w:rsid w:val="000D65FC"/>
    <w:rsid w:val="000E2A7E"/>
    <w:rsid w:val="000E3DE3"/>
    <w:rsid w:val="000E6442"/>
    <w:rsid w:val="000F185B"/>
    <w:rsid w:val="000F4841"/>
    <w:rsid w:val="000F6B3F"/>
    <w:rsid w:val="000F7BC7"/>
    <w:rsid w:val="000F7D7C"/>
    <w:rsid w:val="001014CD"/>
    <w:rsid w:val="00102B1F"/>
    <w:rsid w:val="0010489E"/>
    <w:rsid w:val="00110786"/>
    <w:rsid w:val="00112E70"/>
    <w:rsid w:val="00113813"/>
    <w:rsid w:val="00113842"/>
    <w:rsid w:val="00113CAB"/>
    <w:rsid w:val="001162DE"/>
    <w:rsid w:val="001210C2"/>
    <w:rsid w:val="00121219"/>
    <w:rsid w:val="0013150D"/>
    <w:rsid w:val="0013291A"/>
    <w:rsid w:val="00133D62"/>
    <w:rsid w:val="0013450A"/>
    <w:rsid w:val="00135BD0"/>
    <w:rsid w:val="00137397"/>
    <w:rsid w:val="00140B7E"/>
    <w:rsid w:val="0014110A"/>
    <w:rsid w:val="00142A74"/>
    <w:rsid w:val="00144719"/>
    <w:rsid w:val="001460FA"/>
    <w:rsid w:val="001527A7"/>
    <w:rsid w:val="00154B01"/>
    <w:rsid w:val="00156DEF"/>
    <w:rsid w:val="00162150"/>
    <w:rsid w:val="00162BAC"/>
    <w:rsid w:val="00165958"/>
    <w:rsid w:val="00165EBE"/>
    <w:rsid w:val="0016727D"/>
    <w:rsid w:val="00167BB8"/>
    <w:rsid w:val="00167FFD"/>
    <w:rsid w:val="00171369"/>
    <w:rsid w:val="00187670"/>
    <w:rsid w:val="00187ACC"/>
    <w:rsid w:val="00187B2E"/>
    <w:rsid w:val="0019579E"/>
    <w:rsid w:val="0019606C"/>
    <w:rsid w:val="001A41C7"/>
    <w:rsid w:val="001A7CC5"/>
    <w:rsid w:val="001B2E00"/>
    <w:rsid w:val="001B3718"/>
    <w:rsid w:val="001B7520"/>
    <w:rsid w:val="001C25DD"/>
    <w:rsid w:val="001C49FC"/>
    <w:rsid w:val="001C792C"/>
    <w:rsid w:val="001D0C45"/>
    <w:rsid w:val="001D2C5E"/>
    <w:rsid w:val="001D7B03"/>
    <w:rsid w:val="001E34FE"/>
    <w:rsid w:val="001E57DB"/>
    <w:rsid w:val="001F14C3"/>
    <w:rsid w:val="001F4DA5"/>
    <w:rsid w:val="001F61D6"/>
    <w:rsid w:val="00201DBC"/>
    <w:rsid w:val="002108D1"/>
    <w:rsid w:val="00210CA6"/>
    <w:rsid w:val="00217C7C"/>
    <w:rsid w:val="002237B6"/>
    <w:rsid w:val="002253D3"/>
    <w:rsid w:val="00230A8A"/>
    <w:rsid w:val="00235A2F"/>
    <w:rsid w:val="00235A55"/>
    <w:rsid w:val="00236349"/>
    <w:rsid w:val="00254716"/>
    <w:rsid w:val="00256647"/>
    <w:rsid w:val="002614F6"/>
    <w:rsid w:val="00261DDD"/>
    <w:rsid w:val="00266625"/>
    <w:rsid w:val="0027229D"/>
    <w:rsid w:val="00274CF3"/>
    <w:rsid w:val="00282969"/>
    <w:rsid w:val="002843EF"/>
    <w:rsid w:val="00285453"/>
    <w:rsid w:val="00285471"/>
    <w:rsid w:val="0028637B"/>
    <w:rsid w:val="0029084E"/>
    <w:rsid w:val="00294889"/>
    <w:rsid w:val="002A0D9E"/>
    <w:rsid w:val="002A2824"/>
    <w:rsid w:val="002A4CAC"/>
    <w:rsid w:val="002A7739"/>
    <w:rsid w:val="002A79DC"/>
    <w:rsid w:val="002B586A"/>
    <w:rsid w:val="002B5E84"/>
    <w:rsid w:val="002B5F07"/>
    <w:rsid w:val="002B63DB"/>
    <w:rsid w:val="002C0A6F"/>
    <w:rsid w:val="002C1945"/>
    <w:rsid w:val="002C2AEF"/>
    <w:rsid w:val="002C4B84"/>
    <w:rsid w:val="002C7F72"/>
    <w:rsid w:val="002D203B"/>
    <w:rsid w:val="002D5AEE"/>
    <w:rsid w:val="002D6547"/>
    <w:rsid w:val="002E29F0"/>
    <w:rsid w:val="002E33C4"/>
    <w:rsid w:val="002E4383"/>
    <w:rsid w:val="002E6674"/>
    <w:rsid w:val="002E7F5F"/>
    <w:rsid w:val="002F401C"/>
    <w:rsid w:val="002F5113"/>
    <w:rsid w:val="00300B69"/>
    <w:rsid w:val="0030140E"/>
    <w:rsid w:val="00302AC1"/>
    <w:rsid w:val="00305B63"/>
    <w:rsid w:val="0030698D"/>
    <w:rsid w:val="00315986"/>
    <w:rsid w:val="00316343"/>
    <w:rsid w:val="00320230"/>
    <w:rsid w:val="00323773"/>
    <w:rsid w:val="00327A38"/>
    <w:rsid w:val="003315B5"/>
    <w:rsid w:val="0033364A"/>
    <w:rsid w:val="003421D6"/>
    <w:rsid w:val="003511D0"/>
    <w:rsid w:val="00355C49"/>
    <w:rsid w:val="0036060D"/>
    <w:rsid w:val="00372BA7"/>
    <w:rsid w:val="0037315D"/>
    <w:rsid w:val="0037432C"/>
    <w:rsid w:val="00375F70"/>
    <w:rsid w:val="00377CB7"/>
    <w:rsid w:val="00381789"/>
    <w:rsid w:val="00384A1B"/>
    <w:rsid w:val="003911FC"/>
    <w:rsid w:val="00392119"/>
    <w:rsid w:val="003921AA"/>
    <w:rsid w:val="0039647C"/>
    <w:rsid w:val="003A3298"/>
    <w:rsid w:val="003A4C85"/>
    <w:rsid w:val="003A6E25"/>
    <w:rsid w:val="003B256D"/>
    <w:rsid w:val="003B6688"/>
    <w:rsid w:val="003B6E63"/>
    <w:rsid w:val="003C0D33"/>
    <w:rsid w:val="003D007F"/>
    <w:rsid w:val="003D2C52"/>
    <w:rsid w:val="003E001A"/>
    <w:rsid w:val="003E00D9"/>
    <w:rsid w:val="003E0CAD"/>
    <w:rsid w:val="003E2872"/>
    <w:rsid w:val="003E7D13"/>
    <w:rsid w:val="003F1521"/>
    <w:rsid w:val="003F24B3"/>
    <w:rsid w:val="003F34A3"/>
    <w:rsid w:val="003F5264"/>
    <w:rsid w:val="004022F2"/>
    <w:rsid w:val="0040280E"/>
    <w:rsid w:val="00406BA7"/>
    <w:rsid w:val="00410723"/>
    <w:rsid w:val="00410ED1"/>
    <w:rsid w:val="004214A7"/>
    <w:rsid w:val="004237ED"/>
    <w:rsid w:val="00425832"/>
    <w:rsid w:val="004308D6"/>
    <w:rsid w:val="00431B60"/>
    <w:rsid w:val="00433C92"/>
    <w:rsid w:val="00434C7C"/>
    <w:rsid w:val="00436184"/>
    <w:rsid w:val="0043732F"/>
    <w:rsid w:val="00437D23"/>
    <w:rsid w:val="00440D32"/>
    <w:rsid w:val="004532B3"/>
    <w:rsid w:val="00454E08"/>
    <w:rsid w:val="00460653"/>
    <w:rsid w:val="00461B60"/>
    <w:rsid w:val="00462F1A"/>
    <w:rsid w:val="0046389F"/>
    <w:rsid w:val="00466B58"/>
    <w:rsid w:val="00471F0E"/>
    <w:rsid w:val="004726A8"/>
    <w:rsid w:val="0047327B"/>
    <w:rsid w:val="0047530F"/>
    <w:rsid w:val="0047549C"/>
    <w:rsid w:val="004757A6"/>
    <w:rsid w:val="00475D48"/>
    <w:rsid w:val="00476700"/>
    <w:rsid w:val="00476C55"/>
    <w:rsid w:val="00481FDC"/>
    <w:rsid w:val="00485639"/>
    <w:rsid w:val="00485C04"/>
    <w:rsid w:val="0049336B"/>
    <w:rsid w:val="00494715"/>
    <w:rsid w:val="004A08A7"/>
    <w:rsid w:val="004A3972"/>
    <w:rsid w:val="004B1679"/>
    <w:rsid w:val="004B2043"/>
    <w:rsid w:val="004B4F9C"/>
    <w:rsid w:val="004B56C2"/>
    <w:rsid w:val="004B5D0F"/>
    <w:rsid w:val="004C02A0"/>
    <w:rsid w:val="004C1EDD"/>
    <w:rsid w:val="004C3764"/>
    <w:rsid w:val="004C4AB7"/>
    <w:rsid w:val="004C635F"/>
    <w:rsid w:val="004C70A7"/>
    <w:rsid w:val="004D192C"/>
    <w:rsid w:val="004D345A"/>
    <w:rsid w:val="004D7970"/>
    <w:rsid w:val="004E0B3A"/>
    <w:rsid w:val="004E3539"/>
    <w:rsid w:val="004E357A"/>
    <w:rsid w:val="004E6C07"/>
    <w:rsid w:val="004E7595"/>
    <w:rsid w:val="004E75AD"/>
    <w:rsid w:val="004F198D"/>
    <w:rsid w:val="004F359B"/>
    <w:rsid w:val="004F415B"/>
    <w:rsid w:val="004F5277"/>
    <w:rsid w:val="004F588A"/>
    <w:rsid w:val="004F7434"/>
    <w:rsid w:val="00500644"/>
    <w:rsid w:val="00505A9A"/>
    <w:rsid w:val="005107FB"/>
    <w:rsid w:val="005114EC"/>
    <w:rsid w:val="00517D15"/>
    <w:rsid w:val="005201EC"/>
    <w:rsid w:val="0052188F"/>
    <w:rsid w:val="00521A35"/>
    <w:rsid w:val="00525CAA"/>
    <w:rsid w:val="005266CA"/>
    <w:rsid w:val="00531971"/>
    <w:rsid w:val="00532417"/>
    <w:rsid w:val="0053373E"/>
    <w:rsid w:val="005344CD"/>
    <w:rsid w:val="00537BE9"/>
    <w:rsid w:val="005408AF"/>
    <w:rsid w:val="00541210"/>
    <w:rsid w:val="00544797"/>
    <w:rsid w:val="00551A50"/>
    <w:rsid w:val="00554833"/>
    <w:rsid w:val="005566DB"/>
    <w:rsid w:val="00557277"/>
    <w:rsid w:val="0056195F"/>
    <w:rsid w:val="00561E80"/>
    <w:rsid w:val="00564401"/>
    <w:rsid w:val="00565FA6"/>
    <w:rsid w:val="0057343F"/>
    <w:rsid w:val="0057353E"/>
    <w:rsid w:val="005804E7"/>
    <w:rsid w:val="00583E1D"/>
    <w:rsid w:val="00584A27"/>
    <w:rsid w:val="005906F3"/>
    <w:rsid w:val="00590E54"/>
    <w:rsid w:val="0059236E"/>
    <w:rsid w:val="005A25BB"/>
    <w:rsid w:val="005A2AD8"/>
    <w:rsid w:val="005A3B52"/>
    <w:rsid w:val="005A71B8"/>
    <w:rsid w:val="005B087E"/>
    <w:rsid w:val="005B42C5"/>
    <w:rsid w:val="005B50C6"/>
    <w:rsid w:val="005C5FC2"/>
    <w:rsid w:val="005D152F"/>
    <w:rsid w:val="005D218A"/>
    <w:rsid w:val="005D4A76"/>
    <w:rsid w:val="005D6108"/>
    <w:rsid w:val="005E09FB"/>
    <w:rsid w:val="005E1D58"/>
    <w:rsid w:val="005E235C"/>
    <w:rsid w:val="005E3787"/>
    <w:rsid w:val="005E37BC"/>
    <w:rsid w:val="005E3DA3"/>
    <w:rsid w:val="005E60BF"/>
    <w:rsid w:val="005E68DF"/>
    <w:rsid w:val="005F420A"/>
    <w:rsid w:val="005F42D8"/>
    <w:rsid w:val="005F4360"/>
    <w:rsid w:val="005F5697"/>
    <w:rsid w:val="006009A8"/>
    <w:rsid w:val="00601CA2"/>
    <w:rsid w:val="00601D2D"/>
    <w:rsid w:val="00610EF0"/>
    <w:rsid w:val="00614CD8"/>
    <w:rsid w:val="00623B6D"/>
    <w:rsid w:val="00626497"/>
    <w:rsid w:val="00630410"/>
    <w:rsid w:val="00632F74"/>
    <w:rsid w:val="00633144"/>
    <w:rsid w:val="00642D23"/>
    <w:rsid w:val="006526C0"/>
    <w:rsid w:val="00653DB5"/>
    <w:rsid w:val="00661D08"/>
    <w:rsid w:val="00666488"/>
    <w:rsid w:val="00672739"/>
    <w:rsid w:val="00680D39"/>
    <w:rsid w:val="00686216"/>
    <w:rsid w:val="006903FE"/>
    <w:rsid w:val="00694E7D"/>
    <w:rsid w:val="006A17B9"/>
    <w:rsid w:val="006A1CAF"/>
    <w:rsid w:val="006A6823"/>
    <w:rsid w:val="006A6E5F"/>
    <w:rsid w:val="006B0233"/>
    <w:rsid w:val="006B3051"/>
    <w:rsid w:val="006B5E79"/>
    <w:rsid w:val="006C08B5"/>
    <w:rsid w:val="006C1DC4"/>
    <w:rsid w:val="006C2688"/>
    <w:rsid w:val="006C3341"/>
    <w:rsid w:val="006C4800"/>
    <w:rsid w:val="006D05ED"/>
    <w:rsid w:val="006D634F"/>
    <w:rsid w:val="006D722C"/>
    <w:rsid w:val="006E07A4"/>
    <w:rsid w:val="006E4C5A"/>
    <w:rsid w:val="006E58CE"/>
    <w:rsid w:val="006F43E7"/>
    <w:rsid w:val="006F58E3"/>
    <w:rsid w:val="00701308"/>
    <w:rsid w:val="0070479D"/>
    <w:rsid w:val="00704CC5"/>
    <w:rsid w:val="0070516E"/>
    <w:rsid w:val="00705879"/>
    <w:rsid w:val="00705DAF"/>
    <w:rsid w:val="0071501A"/>
    <w:rsid w:val="00715E8B"/>
    <w:rsid w:val="00720403"/>
    <w:rsid w:val="0072058D"/>
    <w:rsid w:val="00720F8B"/>
    <w:rsid w:val="00724261"/>
    <w:rsid w:val="007252E1"/>
    <w:rsid w:val="00726C9F"/>
    <w:rsid w:val="00727633"/>
    <w:rsid w:val="00730C07"/>
    <w:rsid w:val="00730CD0"/>
    <w:rsid w:val="0073359F"/>
    <w:rsid w:val="007375FC"/>
    <w:rsid w:val="00742A35"/>
    <w:rsid w:val="00746A12"/>
    <w:rsid w:val="007476B2"/>
    <w:rsid w:val="00751685"/>
    <w:rsid w:val="007563FE"/>
    <w:rsid w:val="00756C57"/>
    <w:rsid w:val="00770931"/>
    <w:rsid w:val="00771D68"/>
    <w:rsid w:val="00775A06"/>
    <w:rsid w:val="00776F33"/>
    <w:rsid w:val="0077713C"/>
    <w:rsid w:val="007822B0"/>
    <w:rsid w:val="00782CDE"/>
    <w:rsid w:val="007853DB"/>
    <w:rsid w:val="00786147"/>
    <w:rsid w:val="0079097A"/>
    <w:rsid w:val="00793612"/>
    <w:rsid w:val="007969FE"/>
    <w:rsid w:val="007A0D95"/>
    <w:rsid w:val="007A4240"/>
    <w:rsid w:val="007A4392"/>
    <w:rsid w:val="007A6083"/>
    <w:rsid w:val="007B1172"/>
    <w:rsid w:val="007B2505"/>
    <w:rsid w:val="007C166A"/>
    <w:rsid w:val="007C31AA"/>
    <w:rsid w:val="007C4183"/>
    <w:rsid w:val="007C5532"/>
    <w:rsid w:val="007C5E32"/>
    <w:rsid w:val="007C759E"/>
    <w:rsid w:val="007D05EC"/>
    <w:rsid w:val="007E1084"/>
    <w:rsid w:val="007F0122"/>
    <w:rsid w:val="007F2A9E"/>
    <w:rsid w:val="007F40A9"/>
    <w:rsid w:val="007F7C97"/>
    <w:rsid w:val="00800912"/>
    <w:rsid w:val="008010D4"/>
    <w:rsid w:val="008020B3"/>
    <w:rsid w:val="00802CD2"/>
    <w:rsid w:val="00802FBB"/>
    <w:rsid w:val="00810061"/>
    <w:rsid w:val="008111AF"/>
    <w:rsid w:val="0081130E"/>
    <w:rsid w:val="00811BFB"/>
    <w:rsid w:val="008121B2"/>
    <w:rsid w:val="00824678"/>
    <w:rsid w:val="008315CE"/>
    <w:rsid w:val="008368A7"/>
    <w:rsid w:val="00841569"/>
    <w:rsid w:val="008453F3"/>
    <w:rsid w:val="00850C79"/>
    <w:rsid w:val="008540BF"/>
    <w:rsid w:val="00854954"/>
    <w:rsid w:val="00861806"/>
    <w:rsid w:val="0086508E"/>
    <w:rsid w:val="008663FC"/>
    <w:rsid w:val="00867104"/>
    <w:rsid w:val="00870763"/>
    <w:rsid w:val="008709D7"/>
    <w:rsid w:val="008778F2"/>
    <w:rsid w:val="00880F4A"/>
    <w:rsid w:val="00881294"/>
    <w:rsid w:val="00881F2D"/>
    <w:rsid w:val="00885590"/>
    <w:rsid w:val="00885A78"/>
    <w:rsid w:val="008907F6"/>
    <w:rsid w:val="008942E9"/>
    <w:rsid w:val="008A4197"/>
    <w:rsid w:val="008B12F5"/>
    <w:rsid w:val="008B2AFE"/>
    <w:rsid w:val="008B589B"/>
    <w:rsid w:val="008C1614"/>
    <w:rsid w:val="008C2315"/>
    <w:rsid w:val="008C27F6"/>
    <w:rsid w:val="008D4CB0"/>
    <w:rsid w:val="008D61F5"/>
    <w:rsid w:val="008E03CE"/>
    <w:rsid w:val="008E0408"/>
    <w:rsid w:val="008E0969"/>
    <w:rsid w:val="008E2B97"/>
    <w:rsid w:val="008F1358"/>
    <w:rsid w:val="008F2884"/>
    <w:rsid w:val="008F6E33"/>
    <w:rsid w:val="008F7598"/>
    <w:rsid w:val="008F78C8"/>
    <w:rsid w:val="008F7DCB"/>
    <w:rsid w:val="0090765C"/>
    <w:rsid w:val="00911F6B"/>
    <w:rsid w:val="009126A5"/>
    <w:rsid w:val="009174C1"/>
    <w:rsid w:val="00930316"/>
    <w:rsid w:val="00932249"/>
    <w:rsid w:val="00933A43"/>
    <w:rsid w:val="00940956"/>
    <w:rsid w:val="00944E1B"/>
    <w:rsid w:val="00951FDE"/>
    <w:rsid w:val="009537D2"/>
    <w:rsid w:val="00954F02"/>
    <w:rsid w:val="00954F7A"/>
    <w:rsid w:val="00957941"/>
    <w:rsid w:val="009579EC"/>
    <w:rsid w:val="00971A6C"/>
    <w:rsid w:val="00972EF5"/>
    <w:rsid w:val="009747C4"/>
    <w:rsid w:val="00980CED"/>
    <w:rsid w:val="009815D9"/>
    <w:rsid w:val="0098375B"/>
    <w:rsid w:val="00992C2A"/>
    <w:rsid w:val="00993BA0"/>
    <w:rsid w:val="009B1A39"/>
    <w:rsid w:val="009B210E"/>
    <w:rsid w:val="009B30C9"/>
    <w:rsid w:val="009C5E0A"/>
    <w:rsid w:val="009C6454"/>
    <w:rsid w:val="009C714E"/>
    <w:rsid w:val="009E5034"/>
    <w:rsid w:val="009E5336"/>
    <w:rsid w:val="009E5B2C"/>
    <w:rsid w:val="009E5BEC"/>
    <w:rsid w:val="009E631A"/>
    <w:rsid w:val="009F56C7"/>
    <w:rsid w:val="009F730B"/>
    <w:rsid w:val="00A060DC"/>
    <w:rsid w:val="00A0696A"/>
    <w:rsid w:val="00A11453"/>
    <w:rsid w:val="00A129A6"/>
    <w:rsid w:val="00A1477D"/>
    <w:rsid w:val="00A16830"/>
    <w:rsid w:val="00A17D76"/>
    <w:rsid w:val="00A21A4B"/>
    <w:rsid w:val="00A274FF"/>
    <w:rsid w:val="00A330DF"/>
    <w:rsid w:val="00A34635"/>
    <w:rsid w:val="00A35470"/>
    <w:rsid w:val="00A4144B"/>
    <w:rsid w:val="00A477E8"/>
    <w:rsid w:val="00A53182"/>
    <w:rsid w:val="00A5395D"/>
    <w:rsid w:val="00A5421C"/>
    <w:rsid w:val="00A54C62"/>
    <w:rsid w:val="00A60A28"/>
    <w:rsid w:val="00A67C66"/>
    <w:rsid w:val="00A722DA"/>
    <w:rsid w:val="00A75E40"/>
    <w:rsid w:val="00A76637"/>
    <w:rsid w:val="00A8207B"/>
    <w:rsid w:val="00A823D9"/>
    <w:rsid w:val="00A8692D"/>
    <w:rsid w:val="00A91089"/>
    <w:rsid w:val="00A97926"/>
    <w:rsid w:val="00AA1797"/>
    <w:rsid w:val="00AA5F66"/>
    <w:rsid w:val="00AB13FA"/>
    <w:rsid w:val="00AB1BF8"/>
    <w:rsid w:val="00AB299B"/>
    <w:rsid w:val="00AB4DB7"/>
    <w:rsid w:val="00AC1ACA"/>
    <w:rsid w:val="00AC2910"/>
    <w:rsid w:val="00AC38F4"/>
    <w:rsid w:val="00AC3A4E"/>
    <w:rsid w:val="00AC779B"/>
    <w:rsid w:val="00AC796C"/>
    <w:rsid w:val="00AD1134"/>
    <w:rsid w:val="00AD15D5"/>
    <w:rsid w:val="00AD4B7B"/>
    <w:rsid w:val="00AE076D"/>
    <w:rsid w:val="00AE172B"/>
    <w:rsid w:val="00AE3E8A"/>
    <w:rsid w:val="00AE4855"/>
    <w:rsid w:val="00AF1043"/>
    <w:rsid w:val="00AF2CF5"/>
    <w:rsid w:val="00AF5C18"/>
    <w:rsid w:val="00B0396C"/>
    <w:rsid w:val="00B10148"/>
    <w:rsid w:val="00B12E8F"/>
    <w:rsid w:val="00B15958"/>
    <w:rsid w:val="00B234D4"/>
    <w:rsid w:val="00B25655"/>
    <w:rsid w:val="00B276D3"/>
    <w:rsid w:val="00B459E2"/>
    <w:rsid w:val="00B5356F"/>
    <w:rsid w:val="00B600D3"/>
    <w:rsid w:val="00B62B36"/>
    <w:rsid w:val="00B62DFE"/>
    <w:rsid w:val="00B64655"/>
    <w:rsid w:val="00B65EDC"/>
    <w:rsid w:val="00B65F6D"/>
    <w:rsid w:val="00B72A7A"/>
    <w:rsid w:val="00B74F22"/>
    <w:rsid w:val="00B75F98"/>
    <w:rsid w:val="00B76BC3"/>
    <w:rsid w:val="00B76EB1"/>
    <w:rsid w:val="00B90BDA"/>
    <w:rsid w:val="00B95929"/>
    <w:rsid w:val="00B96EE3"/>
    <w:rsid w:val="00B97317"/>
    <w:rsid w:val="00BA5108"/>
    <w:rsid w:val="00BA6ABB"/>
    <w:rsid w:val="00BB0465"/>
    <w:rsid w:val="00BB1880"/>
    <w:rsid w:val="00BB35BD"/>
    <w:rsid w:val="00BB649B"/>
    <w:rsid w:val="00BB6E21"/>
    <w:rsid w:val="00BC6758"/>
    <w:rsid w:val="00BD0CC8"/>
    <w:rsid w:val="00BE03C8"/>
    <w:rsid w:val="00BE6665"/>
    <w:rsid w:val="00BF1041"/>
    <w:rsid w:val="00BF453B"/>
    <w:rsid w:val="00BF4CE4"/>
    <w:rsid w:val="00BF7528"/>
    <w:rsid w:val="00C0370E"/>
    <w:rsid w:val="00C173A6"/>
    <w:rsid w:val="00C17969"/>
    <w:rsid w:val="00C201A4"/>
    <w:rsid w:val="00C323FC"/>
    <w:rsid w:val="00C36743"/>
    <w:rsid w:val="00C40415"/>
    <w:rsid w:val="00C45AE8"/>
    <w:rsid w:val="00C4602E"/>
    <w:rsid w:val="00C46729"/>
    <w:rsid w:val="00C46B2D"/>
    <w:rsid w:val="00C6087E"/>
    <w:rsid w:val="00C61EC9"/>
    <w:rsid w:val="00C64406"/>
    <w:rsid w:val="00C64E67"/>
    <w:rsid w:val="00C6651F"/>
    <w:rsid w:val="00C67964"/>
    <w:rsid w:val="00C72674"/>
    <w:rsid w:val="00C73D5F"/>
    <w:rsid w:val="00C764D0"/>
    <w:rsid w:val="00C81292"/>
    <w:rsid w:val="00CA0D5A"/>
    <w:rsid w:val="00CB085C"/>
    <w:rsid w:val="00CB49E9"/>
    <w:rsid w:val="00CB6FFC"/>
    <w:rsid w:val="00CC009D"/>
    <w:rsid w:val="00CC6546"/>
    <w:rsid w:val="00CD3B77"/>
    <w:rsid w:val="00CE56BE"/>
    <w:rsid w:val="00CE6C59"/>
    <w:rsid w:val="00D030B7"/>
    <w:rsid w:val="00D03669"/>
    <w:rsid w:val="00D03D1C"/>
    <w:rsid w:val="00D11D98"/>
    <w:rsid w:val="00D16395"/>
    <w:rsid w:val="00D17F71"/>
    <w:rsid w:val="00D20CAA"/>
    <w:rsid w:val="00D21059"/>
    <w:rsid w:val="00D30D35"/>
    <w:rsid w:val="00D34436"/>
    <w:rsid w:val="00D35E3E"/>
    <w:rsid w:val="00D42AA3"/>
    <w:rsid w:val="00D4597D"/>
    <w:rsid w:val="00D47C36"/>
    <w:rsid w:val="00D50CDE"/>
    <w:rsid w:val="00D51C2E"/>
    <w:rsid w:val="00D54861"/>
    <w:rsid w:val="00D55C3E"/>
    <w:rsid w:val="00D56499"/>
    <w:rsid w:val="00D56807"/>
    <w:rsid w:val="00D57D6D"/>
    <w:rsid w:val="00D63682"/>
    <w:rsid w:val="00D666E0"/>
    <w:rsid w:val="00D723F0"/>
    <w:rsid w:val="00D774FF"/>
    <w:rsid w:val="00D77D7C"/>
    <w:rsid w:val="00D80280"/>
    <w:rsid w:val="00D81D11"/>
    <w:rsid w:val="00D8289F"/>
    <w:rsid w:val="00D86836"/>
    <w:rsid w:val="00D958E2"/>
    <w:rsid w:val="00D9648D"/>
    <w:rsid w:val="00D97878"/>
    <w:rsid w:val="00D97AF4"/>
    <w:rsid w:val="00DA27D8"/>
    <w:rsid w:val="00DB07B5"/>
    <w:rsid w:val="00DB37F1"/>
    <w:rsid w:val="00DB65EF"/>
    <w:rsid w:val="00DB759A"/>
    <w:rsid w:val="00DC28EE"/>
    <w:rsid w:val="00DC450F"/>
    <w:rsid w:val="00DC4F4F"/>
    <w:rsid w:val="00DC5484"/>
    <w:rsid w:val="00DC6DE0"/>
    <w:rsid w:val="00DD02DC"/>
    <w:rsid w:val="00DD16A3"/>
    <w:rsid w:val="00DD53D2"/>
    <w:rsid w:val="00DD5FC7"/>
    <w:rsid w:val="00DD6FBA"/>
    <w:rsid w:val="00DE1386"/>
    <w:rsid w:val="00DF1446"/>
    <w:rsid w:val="00DF2814"/>
    <w:rsid w:val="00DF5807"/>
    <w:rsid w:val="00DF647C"/>
    <w:rsid w:val="00E00BBC"/>
    <w:rsid w:val="00E02134"/>
    <w:rsid w:val="00E06E71"/>
    <w:rsid w:val="00E13878"/>
    <w:rsid w:val="00E145F7"/>
    <w:rsid w:val="00E20039"/>
    <w:rsid w:val="00E201EF"/>
    <w:rsid w:val="00E203E2"/>
    <w:rsid w:val="00E206F0"/>
    <w:rsid w:val="00E207AF"/>
    <w:rsid w:val="00E22122"/>
    <w:rsid w:val="00E22A4A"/>
    <w:rsid w:val="00E23E32"/>
    <w:rsid w:val="00E24EC2"/>
    <w:rsid w:val="00E25889"/>
    <w:rsid w:val="00E25F27"/>
    <w:rsid w:val="00E32349"/>
    <w:rsid w:val="00E36BCF"/>
    <w:rsid w:val="00E41037"/>
    <w:rsid w:val="00E43E82"/>
    <w:rsid w:val="00E47CA5"/>
    <w:rsid w:val="00E508B9"/>
    <w:rsid w:val="00E511C0"/>
    <w:rsid w:val="00E6454D"/>
    <w:rsid w:val="00E65133"/>
    <w:rsid w:val="00E666E4"/>
    <w:rsid w:val="00E67F32"/>
    <w:rsid w:val="00E7028A"/>
    <w:rsid w:val="00E75C52"/>
    <w:rsid w:val="00E8165E"/>
    <w:rsid w:val="00E83BE9"/>
    <w:rsid w:val="00E90F50"/>
    <w:rsid w:val="00E951E6"/>
    <w:rsid w:val="00EA1CC6"/>
    <w:rsid w:val="00EA5B2C"/>
    <w:rsid w:val="00EA78A3"/>
    <w:rsid w:val="00EB282E"/>
    <w:rsid w:val="00EC02A2"/>
    <w:rsid w:val="00EC16FD"/>
    <w:rsid w:val="00EC51F0"/>
    <w:rsid w:val="00ED22CA"/>
    <w:rsid w:val="00ED2A2A"/>
    <w:rsid w:val="00ED64A7"/>
    <w:rsid w:val="00ED7190"/>
    <w:rsid w:val="00EE2606"/>
    <w:rsid w:val="00EE76B5"/>
    <w:rsid w:val="00EF3C68"/>
    <w:rsid w:val="00EF3FD6"/>
    <w:rsid w:val="00EF5A1D"/>
    <w:rsid w:val="00EF651F"/>
    <w:rsid w:val="00F05438"/>
    <w:rsid w:val="00F06DF4"/>
    <w:rsid w:val="00F1557B"/>
    <w:rsid w:val="00F24C1E"/>
    <w:rsid w:val="00F252AE"/>
    <w:rsid w:val="00F26AF1"/>
    <w:rsid w:val="00F27A9D"/>
    <w:rsid w:val="00F27B5C"/>
    <w:rsid w:val="00F3756B"/>
    <w:rsid w:val="00F45279"/>
    <w:rsid w:val="00F45AFC"/>
    <w:rsid w:val="00F46B0E"/>
    <w:rsid w:val="00F475DF"/>
    <w:rsid w:val="00F47FE1"/>
    <w:rsid w:val="00F50034"/>
    <w:rsid w:val="00F537B6"/>
    <w:rsid w:val="00F6615D"/>
    <w:rsid w:val="00F66B56"/>
    <w:rsid w:val="00F802DA"/>
    <w:rsid w:val="00F80932"/>
    <w:rsid w:val="00F926C8"/>
    <w:rsid w:val="00F942DD"/>
    <w:rsid w:val="00FA3525"/>
    <w:rsid w:val="00FB0E8E"/>
    <w:rsid w:val="00FB12D3"/>
    <w:rsid w:val="00FB1770"/>
    <w:rsid w:val="00FB27F1"/>
    <w:rsid w:val="00FB385E"/>
    <w:rsid w:val="00FB4E9F"/>
    <w:rsid w:val="00FC0E33"/>
    <w:rsid w:val="00FC24BA"/>
    <w:rsid w:val="00FC48E0"/>
    <w:rsid w:val="00FC632D"/>
    <w:rsid w:val="00FD1087"/>
    <w:rsid w:val="00FE0AD1"/>
    <w:rsid w:val="00FF4846"/>
    <w:rsid w:val="00FF79C5"/>
    <w:rsid w:val="01F3068D"/>
    <w:rsid w:val="027C7402"/>
    <w:rsid w:val="0472BB34"/>
    <w:rsid w:val="05117A56"/>
    <w:rsid w:val="052CCD10"/>
    <w:rsid w:val="05864DF4"/>
    <w:rsid w:val="05E79E0B"/>
    <w:rsid w:val="0607C8A4"/>
    <w:rsid w:val="068A55D8"/>
    <w:rsid w:val="06BED505"/>
    <w:rsid w:val="098E3EE1"/>
    <w:rsid w:val="09ADE770"/>
    <w:rsid w:val="09B335FD"/>
    <w:rsid w:val="0A39737D"/>
    <w:rsid w:val="0A5DAF93"/>
    <w:rsid w:val="0A642B7E"/>
    <w:rsid w:val="0B37E582"/>
    <w:rsid w:val="0BBD2FFF"/>
    <w:rsid w:val="0C47814B"/>
    <w:rsid w:val="0D39C33D"/>
    <w:rsid w:val="0D7AD2C5"/>
    <w:rsid w:val="0DF2FCBE"/>
    <w:rsid w:val="0F82896F"/>
    <w:rsid w:val="0FE79795"/>
    <w:rsid w:val="1016594B"/>
    <w:rsid w:val="103EAE16"/>
    <w:rsid w:val="111EC644"/>
    <w:rsid w:val="114E00E3"/>
    <w:rsid w:val="11B62886"/>
    <w:rsid w:val="11CCA837"/>
    <w:rsid w:val="1206A2BA"/>
    <w:rsid w:val="12F1B08F"/>
    <w:rsid w:val="12F3E8DE"/>
    <w:rsid w:val="14908388"/>
    <w:rsid w:val="1646E28E"/>
    <w:rsid w:val="166717D1"/>
    <w:rsid w:val="16E02D4B"/>
    <w:rsid w:val="176C159B"/>
    <w:rsid w:val="1848910B"/>
    <w:rsid w:val="188AAC93"/>
    <w:rsid w:val="192556B0"/>
    <w:rsid w:val="198E89B5"/>
    <w:rsid w:val="199EB893"/>
    <w:rsid w:val="1A97D85B"/>
    <w:rsid w:val="1B78A9E9"/>
    <w:rsid w:val="1C3727C5"/>
    <w:rsid w:val="1C4C102F"/>
    <w:rsid w:val="1C516537"/>
    <w:rsid w:val="1C81CB00"/>
    <w:rsid w:val="1D597139"/>
    <w:rsid w:val="1D772C22"/>
    <w:rsid w:val="1DF9F6C3"/>
    <w:rsid w:val="1DFE9717"/>
    <w:rsid w:val="1E13411C"/>
    <w:rsid w:val="1F1B4EB0"/>
    <w:rsid w:val="1F41C06D"/>
    <w:rsid w:val="1FB7A55A"/>
    <w:rsid w:val="1FCA7F5B"/>
    <w:rsid w:val="203158D4"/>
    <w:rsid w:val="215AA390"/>
    <w:rsid w:val="217C82C1"/>
    <w:rsid w:val="24E4B86D"/>
    <w:rsid w:val="2548B637"/>
    <w:rsid w:val="25D42FDA"/>
    <w:rsid w:val="2642FFE8"/>
    <w:rsid w:val="26650E24"/>
    <w:rsid w:val="26DF4598"/>
    <w:rsid w:val="279DE3B1"/>
    <w:rsid w:val="28A16548"/>
    <w:rsid w:val="2A683437"/>
    <w:rsid w:val="2A9541CE"/>
    <w:rsid w:val="2B03E3B6"/>
    <w:rsid w:val="2B9474BD"/>
    <w:rsid w:val="2BC94766"/>
    <w:rsid w:val="2DB08968"/>
    <w:rsid w:val="2DBA5F87"/>
    <w:rsid w:val="2E7791C2"/>
    <w:rsid w:val="2EDA439A"/>
    <w:rsid w:val="2F45DF17"/>
    <w:rsid w:val="3012CAAB"/>
    <w:rsid w:val="30E5901A"/>
    <w:rsid w:val="3179EF1B"/>
    <w:rsid w:val="328BF829"/>
    <w:rsid w:val="32B47BDF"/>
    <w:rsid w:val="336028B8"/>
    <w:rsid w:val="33841164"/>
    <w:rsid w:val="33865E45"/>
    <w:rsid w:val="3397B489"/>
    <w:rsid w:val="33F00316"/>
    <w:rsid w:val="344CA8BA"/>
    <w:rsid w:val="3560011F"/>
    <w:rsid w:val="36B038A1"/>
    <w:rsid w:val="37B8571E"/>
    <w:rsid w:val="37DC3FA0"/>
    <w:rsid w:val="3831A6E3"/>
    <w:rsid w:val="39B23C71"/>
    <w:rsid w:val="39F59FC9"/>
    <w:rsid w:val="3A4B5584"/>
    <w:rsid w:val="3B725DDA"/>
    <w:rsid w:val="3C2842C1"/>
    <w:rsid w:val="3D945A80"/>
    <w:rsid w:val="3DEA434E"/>
    <w:rsid w:val="4043E7D2"/>
    <w:rsid w:val="415B66C7"/>
    <w:rsid w:val="42089F34"/>
    <w:rsid w:val="43798000"/>
    <w:rsid w:val="443B578B"/>
    <w:rsid w:val="449782B1"/>
    <w:rsid w:val="4525C6AD"/>
    <w:rsid w:val="461BB23C"/>
    <w:rsid w:val="4631AE68"/>
    <w:rsid w:val="4731D844"/>
    <w:rsid w:val="48CA63B2"/>
    <w:rsid w:val="4919E275"/>
    <w:rsid w:val="4934324C"/>
    <w:rsid w:val="49C3AED5"/>
    <w:rsid w:val="4A13B119"/>
    <w:rsid w:val="4AAA780B"/>
    <w:rsid w:val="4B180007"/>
    <w:rsid w:val="4CC80A34"/>
    <w:rsid w:val="4D396828"/>
    <w:rsid w:val="4E552F74"/>
    <w:rsid w:val="4ECAE28B"/>
    <w:rsid w:val="4F355AAB"/>
    <w:rsid w:val="50F3D290"/>
    <w:rsid w:val="50FC2F55"/>
    <w:rsid w:val="521FBF1D"/>
    <w:rsid w:val="5503C867"/>
    <w:rsid w:val="554528E9"/>
    <w:rsid w:val="55810362"/>
    <w:rsid w:val="558F8D34"/>
    <w:rsid w:val="56A1AFE8"/>
    <w:rsid w:val="576524B1"/>
    <w:rsid w:val="5787100C"/>
    <w:rsid w:val="581863AC"/>
    <w:rsid w:val="59A9BFFD"/>
    <w:rsid w:val="59B393B3"/>
    <w:rsid w:val="5A2A5F8F"/>
    <w:rsid w:val="5AAB6BB7"/>
    <w:rsid w:val="5AC42683"/>
    <w:rsid w:val="5B260475"/>
    <w:rsid w:val="5C365A62"/>
    <w:rsid w:val="5D1CFECA"/>
    <w:rsid w:val="5D8EF33B"/>
    <w:rsid w:val="5D94AA1F"/>
    <w:rsid w:val="5EA4E910"/>
    <w:rsid w:val="5F110AC8"/>
    <w:rsid w:val="5FD6EDDC"/>
    <w:rsid w:val="600CC970"/>
    <w:rsid w:val="60EEFDF8"/>
    <w:rsid w:val="61021467"/>
    <w:rsid w:val="63870707"/>
    <w:rsid w:val="644523EC"/>
    <w:rsid w:val="650D5BBC"/>
    <w:rsid w:val="65422456"/>
    <w:rsid w:val="660968E0"/>
    <w:rsid w:val="6665D928"/>
    <w:rsid w:val="66F0DE92"/>
    <w:rsid w:val="671AD5A9"/>
    <w:rsid w:val="69C81CDB"/>
    <w:rsid w:val="69CFD53C"/>
    <w:rsid w:val="6A7CD040"/>
    <w:rsid w:val="6C13E76E"/>
    <w:rsid w:val="6C4E0AC2"/>
    <w:rsid w:val="6D1009DB"/>
    <w:rsid w:val="6D7B7D1F"/>
    <w:rsid w:val="6FE3CF5A"/>
    <w:rsid w:val="7099296D"/>
    <w:rsid w:val="7132AB48"/>
    <w:rsid w:val="71D52371"/>
    <w:rsid w:val="722AE4B7"/>
    <w:rsid w:val="72CD770E"/>
    <w:rsid w:val="730E1062"/>
    <w:rsid w:val="734FAFDF"/>
    <w:rsid w:val="737F7E30"/>
    <w:rsid w:val="73AD3526"/>
    <w:rsid w:val="73C083A8"/>
    <w:rsid w:val="73DCFA75"/>
    <w:rsid w:val="74BEEF32"/>
    <w:rsid w:val="7505288C"/>
    <w:rsid w:val="757FD169"/>
    <w:rsid w:val="768D5DCE"/>
    <w:rsid w:val="76EF3BC0"/>
    <w:rsid w:val="778FD454"/>
    <w:rsid w:val="7841DFD7"/>
    <w:rsid w:val="793B061A"/>
    <w:rsid w:val="79523924"/>
    <w:rsid w:val="79BF3706"/>
    <w:rsid w:val="7A13975F"/>
    <w:rsid w:val="7A8617B5"/>
    <w:rsid w:val="7B0653D9"/>
    <w:rsid w:val="7CA2243A"/>
    <w:rsid w:val="7DA468DC"/>
    <w:rsid w:val="7DC6F098"/>
    <w:rsid w:val="7E2B0431"/>
    <w:rsid w:val="7F872B36"/>
    <w:rsid w:val="7FD9C4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F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3D2A"/>
    <w:pPr>
      <w:spacing w:after="120"/>
      <w:jc w:val="both"/>
    </w:pPr>
    <w:rPr>
      <w:rFonts w:ascii="Arial" w:hAnsi="Arial"/>
    </w:rPr>
  </w:style>
  <w:style w:type="paragraph" w:styleId="Nadpis1">
    <w:name w:val="heading 1"/>
    <w:basedOn w:val="Normln"/>
    <w:next w:val="Normln"/>
    <w:link w:val="Nadpis1Char"/>
    <w:uiPriority w:val="9"/>
    <w:qFormat/>
    <w:rsid w:val="00135BD0"/>
    <w:pPr>
      <w:keepNext/>
      <w:keepLines/>
      <w:numPr>
        <w:numId w:val="15"/>
      </w:numPr>
      <w:spacing w:before="480" w:after="0"/>
      <w:outlineLvl w:val="0"/>
    </w:pPr>
    <w:rPr>
      <w:rFonts w:eastAsiaTheme="majorEastAsia"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84A1B"/>
    <w:pPr>
      <w:keepNext/>
      <w:keepLines/>
      <w:numPr>
        <w:ilvl w:val="1"/>
        <w:numId w:val="15"/>
      </w:numPr>
      <w:spacing w:before="240"/>
      <w:ind w:left="578" w:hanging="578"/>
      <w:jc w:val="left"/>
      <w:outlineLvl w:val="1"/>
    </w:pPr>
    <w:rPr>
      <w:rFonts w:eastAsiaTheme="majorEastAsia" w:cstheme="majorBidi"/>
      <w:b/>
      <w:bCs/>
      <w:color w:val="4F81BD" w:themeColor="accent1"/>
      <w:sz w:val="26"/>
      <w:szCs w:val="26"/>
    </w:rPr>
  </w:style>
  <w:style w:type="paragraph" w:styleId="Nadpis3">
    <w:name w:val="heading 3"/>
    <w:basedOn w:val="Normln"/>
    <w:next w:val="Normln"/>
    <w:link w:val="Nadpis3Char"/>
    <w:uiPriority w:val="9"/>
    <w:unhideWhenUsed/>
    <w:qFormat/>
    <w:rsid w:val="00F27A9D"/>
    <w:pPr>
      <w:keepNext/>
      <w:keepLines/>
      <w:numPr>
        <w:ilvl w:val="2"/>
        <w:numId w:val="15"/>
      </w:numPr>
      <w:spacing w:before="200" w:after="240"/>
      <w:outlineLvl w:val="2"/>
    </w:pPr>
    <w:rPr>
      <w:rFonts w:eastAsiaTheme="majorEastAsia" w:cstheme="majorBidi"/>
      <w:b/>
      <w:bCs/>
      <w:color w:val="4F81BD" w:themeColor="accent1"/>
    </w:rPr>
  </w:style>
  <w:style w:type="paragraph" w:styleId="Nadpis4">
    <w:name w:val="heading 4"/>
    <w:basedOn w:val="Normln"/>
    <w:next w:val="Normln"/>
    <w:link w:val="Nadpis4Char"/>
    <w:uiPriority w:val="9"/>
    <w:unhideWhenUsed/>
    <w:qFormat/>
    <w:rsid w:val="00E90F50"/>
    <w:pPr>
      <w:keepNext/>
      <w:keepLines/>
      <w:numPr>
        <w:ilvl w:val="3"/>
        <w:numId w:val="15"/>
      </w:numPr>
      <w:spacing w:before="40" w:after="0"/>
      <w:outlineLvl w:val="3"/>
    </w:pPr>
    <w:rPr>
      <w:rFonts w:eastAsiaTheme="majorEastAsia" w:cstheme="majorBidi"/>
      <w:i/>
      <w:iCs/>
      <w:color w:val="365F91" w:themeColor="accent1" w:themeShade="BF"/>
    </w:rPr>
  </w:style>
  <w:style w:type="paragraph" w:styleId="Nadpis5">
    <w:name w:val="heading 5"/>
    <w:basedOn w:val="Normln"/>
    <w:next w:val="Normln"/>
    <w:link w:val="Nadpis5Char"/>
    <w:uiPriority w:val="9"/>
    <w:semiHidden/>
    <w:unhideWhenUsed/>
    <w:qFormat/>
    <w:rsid w:val="004E0B3A"/>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4E0B3A"/>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4E0B3A"/>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4E0B3A"/>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0B3A"/>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508E"/>
    <w:pPr>
      <w:ind w:left="720"/>
      <w:contextualSpacing/>
    </w:pPr>
  </w:style>
  <w:style w:type="paragraph" w:styleId="Textbubliny">
    <w:name w:val="Balloon Text"/>
    <w:basedOn w:val="Normln"/>
    <w:link w:val="TextbublinyChar"/>
    <w:uiPriority w:val="99"/>
    <w:semiHidden/>
    <w:unhideWhenUsed/>
    <w:rsid w:val="001E57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57DB"/>
    <w:rPr>
      <w:rFonts w:ascii="Tahoma" w:hAnsi="Tahoma" w:cs="Tahoma"/>
      <w:sz w:val="16"/>
      <w:szCs w:val="16"/>
    </w:rPr>
  </w:style>
  <w:style w:type="character" w:customStyle="1" w:styleId="Nadpis1Char">
    <w:name w:val="Nadpis 1 Char"/>
    <w:basedOn w:val="Standardnpsmoodstavce"/>
    <w:link w:val="Nadpis1"/>
    <w:uiPriority w:val="9"/>
    <w:rsid w:val="00135BD0"/>
    <w:rPr>
      <w:rFonts w:ascii="Arial" w:eastAsiaTheme="majorEastAsia" w:hAnsi="Arial" w:cstheme="majorBidi"/>
      <w:b/>
      <w:bCs/>
      <w:color w:val="365F91" w:themeColor="accent1" w:themeShade="BF"/>
      <w:sz w:val="28"/>
      <w:szCs w:val="28"/>
    </w:rPr>
  </w:style>
  <w:style w:type="character" w:customStyle="1" w:styleId="Nadpis2Char">
    <w:name w:val="Nadpis 2 Char"/>
    <w:basedOn w:val="Standardnpsmoodstavce"/>
    <w:link w:val="Nadpis2"/>
    <w:uiPriority w:val="9"/>
    <w:rsid w:val="00384A1B"/>
    <w:rPr>
      <w:rFonts w:ascii="Arial" w:eastAsiaTheme="majorEastAsia" w:hAnsi="Arial" w:cstheme="majorBidi"/>
      <w:b/>
      <w:bCs/>
      <w:color w:val="4F81BD" w:themeColor="accent1"/>
      <w:sz w:val="26"/>
      <w:szCs w:val="26"/>
    </w:rPr>
  </w:style>
  <w:style w:type="table" w:styleId="Mkatabulky">
    <w:name w:val="Table Grid"/>
    <w:basedOn w:val="Normlntabulka"/>
    <w:uiPriority w:val="59"/>
    <w:rsid w:val="0035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1">
    <w:name w:val="Light Shading Accent 1"/>
    <w:basedOn w:val="Normlntabulka"/>
    <w:uiPriority w:val="60"/>
    <w:rsid w:val="00971A6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adpis3Char">
    <w:name w:val="Nadpis 3 Char"/>
    <w:basedOn w:val="Standardnpsmoodstavce"/>
    <w:link w:val="Nadpis3"/>
    <w:uiPriority w:val="9"/>
    <w:rsid w:val="00F27A9D"/>
    <w:rPr>
      <w:rFonts w:ascii="Arial" w:eastAsiaTheme="majorEastAsia" w:hAnsi="Arial" w:cstheme="majorBidi"/>
      <w:b/>
      <w:bCs/>
      <w:color w:val="4F81BD" w:themeColor="accent1"/>
    </w:rPr>
  </w:style>
  <w:style w:type="character" w:styleId="Hypertextovodkaz">
    <w:name w:val="Hyperlink"/>
    <w:basedOn w:val="Standardnpsmoodstavce"/>
    <w:uiPriority w:val="99"/>
    <w:unhideWhenUsed/>
    <w:rsid w:val="00EF651F"/>
    <w:rPr>
      <w:color w:val="0000FF" w:themeColor="hyperlink"/>
      <w:u w:val="single"/>
    </w:rPr>
  </w:style>
  <w:style w:type="paragraph" w:styleId="Nadpisobsahu">
    <w:name w:val="TOC Heading"/>
    <w:basedOn w:val="Nadpis1"/>
    <w:next w:val="Normln"/>
    <w:uiPriority w:val="39"/>
    <w:unhideWhenUsed/>
    <w:qFormat/>
    <w:rsid w:val="0016727D"/>
    <w:pPr>
      <w:outlineLvl w:val="9"/>
    </w:pPr>
    <w:rPr>
      <w:rFonts w:asciiTheme="majorHAnsi" w:hAnsiTheme="majorHAnsi"/>
      <w:lang w:eastAsia="cs-CZ"/>
    </w:rPr>
  </w:style>
  <w:style w:type="paragraph" w:styleId="Obsah1">
    <w:name w:val="toc 1"/>
    <w:basedOn w:val="Normln"/>
    <w:next w:val="Normln"/>
    <w:autoRedefine/>
    <w:uiPriority w:val="39"/>
    <w:unhideWhenUsed/>
    <w:rsid w:val="0016727D"/>
    <w:pPr>
      <w:spacing w:after="100"/>
    </w:pPr>
  </w:style>
  <w:style w:type="paragraph" w:styleId="Obsah2">
    <w:name w:val="toc 2"/>
    <w:basedOn w:val="Normln"/>
    <w:next w:val="Normln"/>
    <w:autoRedefine/>
    <w:uiPriority w:val="39"/>
    <w:unhideWhenUsed/>
    <w:rsid w:val="0016727D"/>
    <w:pPr>
      <w:spacing w:after="100"/>
      <w:ind w:left="220"/>
    </w:pPr>
  </w:style>
  <w:style w:type="paragraph" w:styleId="Obsah3">
    <w:name w:val="toc 3"/>
    <w:basedOn w:val="Normln"/>
    <w:next w:val="Normln"/>
    <w:autoRedefine/>
    <w:uiPriority w:val="39"/>
    <w:unhideWhenUsed/>
    <w:rsid w:val="0016727D"/>
    <w:pPr>
      <w:spacing w:after="100"/>
      <w:ind w:left="440"/>
    </w:pPr>
  </w:style>
  <w:style w:type="paragraph" w:styleId="Nzev">
    <w:name w:val="Title"/>
    <w:basedOn w:val="Normln"/>
    <w:next w:val="Normln"/>
    <w:link w:val="NzevChar"/>
    <w:uiPriority w:val="10"/>
    <w:qFormat/>
    <w:rsid w:val="002E6674"/>
    <w:pPr>
      <w:spacing w:before="120" w:line="240" w:lineRule="auto"/>
    </w:pPr>
    <w:rPr>
      <w:rFonts w:eastAsiaTheme="majorEastAsia" w:cstheme="majorBidi"/>
      <w:b/>
      <w:color w:val="31849B" w:themeColor="accent5" w:themeShade="BF"/>
      <w:spacing w:val="5"/>
      <w:kern w:val="28"/>
      <w:szCs w:val="52"/>
    </w:rPr>
  </w:style>
  <w:style w:type="character" w:customStyle="1" w:styleId="NzevChar">
    <w:name w:val="Název Char"/>
    <w:basedOn w:val="Standardnpsmoodstavce"/>
    <w:link w:val="Nzev"/>
    <w:uiPriority w:val="10"/>
    <w:rsid w:val="002E6674"/>
    <w:rPr>
      <w:rFonts w:ascii="Arial" w:eastAsiaTheme="majorEastAsia" w:hAnsi="Arial" w:cstheme="majorBidi"/>
      <w:b/>
      <w:color w:val="31849B" w:themeColor="accent5" w:themeShade="BF"/>
      <w:spacing w:val="5"/>
      <w:kern w:val="28"/>
      <w:szCs w:val="52"/>
    </w:rPr>
  </w:style>
  <w:style w:type="paragraph" w:styleId="Zhlav">
    <w:name w:val="header"/>
    <w:basedOn w:val="Normln"/>
    <w:link w:val="ZhlavChar"/>
    <w:uiPriority w:val="99"/>
    <w:unhideWhenUsed/>
    <w:rsid w:val="00BF75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7528"/>
  </w:style>
  <w:style w:type="paragraph" w:styleId="Zpat">
    <w:name w:val="footer"/>
    <w:basedOn w:val="Normln"/>
    <w:link w:val="ZpatChar"/>
    <w:uiPriority w:val="99"/>
    <w:unhideWhenUsed/>
    <w:rsid w:val="00BF7528"/>
    <w:pPr>
      <w:tabs>
        <w:tab w:val="center" w:pos="4536"/>
        <w:tab w:val="right" w:pos="9072"/>
      </w:tabs>
      <w:spacing w:after="0" w:line="240" w:lineRule="auto"/>
    </w:pPr>
  </w:style>
  <w:style w:type="character" w:customStyle="1" w:styleId="ZpatChar">
    <w:name w:val="Zápatí Char"/>
    <w:basedOn w:val="Standardnpsmoodstavce"/>
    <w:link w:val="Zpat"/>
    <w:uiPriority w:val="99"/>
    <w:rsid w:val="00BF7528"/>
  </w:style>
  <w:style w:type="character" w:customStyle="1" w:styleId="Nadpis4Char">
    <w:name w:val="Nadpis 4 Char"/>
    <w:basedOn w:val="Standardnpsmoodstavce"/>
    <w:link w:val="Nadpis4"/>
    <w:uiPriority w:val="9"/>
    <w:rsid w:val="00E90F50"/>
    <w:rPr>
      <w:rFonts w:ascii="Arial" w:eastAsiaTheme="majorEastAsia" w:hAnsi="Arial" w:cstheme="majorBidi"/>
      <w:i/>
      <w:iCs/>
      <w:color w:val="365F91" w:themeColor="accent1" w:themeShade="BF"/>
    </w:rPr>
  </w:style>
  <w:style w:type="character" w:customStyle="1" w:styleId="Nadpis5Char">
    <w:name w:val="Nadpis 5 Char"/>
    <w:basedOn w:val="Standardnpsmoodstavce"/>
    <w:link w:val="Nadpis5"/>
    <w:uiPriority w:val="9"/>
    <w:semiHidden/>
    <w:rsid w:val="004E0B3A"/>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4E0B3A"/>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4E0B3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4E0B3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0B3A"/>
    <w:rPr>
      <w:rFonts w:asciiTheme="majorHAnsi" w:eastAsiaTheme="majorEastAsia" w:hAnsiTheme="majorHAnsi" w:cstheme="majorBidi"/>
      <w:i/>
      <w:iCs/>
      <w:color w:val="272727" w:themeColor="text1" w:themeTint="D8"/>
      <w:sz w:val="21"/>
      <w:szCs w:val="21"/>
    </w:rPr>
  </w:style>
  <w:style w:type="character" w:styleId="Odkazintenzivn">
    <w:name w:val="Intense Reference"/>
    <w:basedOn w:val="Standardnpsmoodstavce"/>
    <w:uiPriority w:val="32"/>
    <w:qFormat/>
    <w:rsid w:val="004C3764"/>
    <w:rPr>
      <w:rFonts w:ascii="Arial" w:hAnsi="Arial"/>
      <w:b w:val="0"/>
      <w:bCs/>
      <w:caps w:val="0"/>
      <w:smallCaps w:val="0"/>
      <w:color w:val="00B0F0"/>
      <w:spacing w:val="5"/>
      <w:u w:val="single"/>
    </w:rPr>
  </w:style>
  <w:style w:type="paragraph" w:styleId="Normlnweb">
    <w:name w:val="Normal (Web)"/>
    <w:basedOn w:val="Normln"/>
    <w:uiPriority w:val="99"/>
    <w:semiHidden/>
    <w:unhideWhenUsed/>
    <w:rsid w:val="004E357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30CD0"/>
    <w:rPr>
      <w:b/>
      <w:bCs/>
    </w:rPr>
  </w:style>
  <w:style w:type="character" w:customStyle="1" w:styleId="year">
    <w:name w:val="year"/>
    <w:basedOn w:val="Standardnpsmoodstavce"/>
    <w:rsid w:val="00E511C0"/>
  </w:style>
  <w:style w:type="character" w:styleId="Zdraznnintenzivn">
    <w:name w:val="Intense Emphasis"/>
    <w:basedOn w:val="Standardnpsmoodstavce"/>
    <w:uiPriority w:val="21"/>
    <w:qFormat/>
    <w:rsid w:val="00544797"/>
    <w:rPr>
      <w:i/>
      <w:iCs/>
      <w:color w:val="4F81BD" w:themeColor="accent1"/>
    </w:rPr>
  </w:style>
  <w:style w:type="paragraph" w:styleId="Revize">
    <w:name w:val="Revision"/>
    <w:hidden/>
    <w:uiPriority w:val="99"/>
    <w:semiHidden/>
    <w:rsid w:val="006E58CE"/>
    <w:pPr>
      <w:spacing w:after="0" w:line="240" w:lineRule="auto"/>
    </w:pPr>
    <w:rPr>
      <w:rFonts w:ascii="Arial" w:hAnsi="Arial"/>
    </w:rPr>
  </w:style>
  <w:style w:type="character" w:styleId="Odkaznakoment">
    <w:name w:val="annotation reference"/>
    <w:basedOn w:val="Standardnpsmoodstavce"/>
    <w:uiPriority w:val="99"/>
    <w:semiHidden/>
    <w:unhideWhenUsed/>
    <w:rsid w:val="008663FC"/>
    <w:rPr>
      <w:sz w:val="16"/>
      <w:szCs w:val="16"/>
    </w:rPr>
  </w:style>
  <w:style w:type="paragraph" w:styleId="Textkomente">
    <w:name w:val="annotation text"/>
    <w:basedOn w:val="Normln"/>
    <w:link w:val="TextkomenteChar"/>
    <w:uiPriority w:val="99"/>
    <w:semiHidden/>
    <w:unhideWhenUsed/>
    <w:rsid w:val="008663FC"/>
    <w:pPr>
      <w:spacing w:line="240" w:lineRule="auto"/>
    </w:pPr>
    <w:rPr>
      <w:sz w:val="20"/>
      <w:szCs w:val="20"/>
    </w:rPr>
  </w:style>
  <w:style w:type="character" w:customStyle="1" w:styleId="TextkomenteChar">
    <w:name w:val="Text komentáře Char"/>
    <w:basedOn w:val="Standardnpsmoodstavce"/>
    <w:link w:val="Textkomente"/>
    <w:uiPriority w:val="99"/>
    <w:semiHidden/>
    <w:rsid w:val="008663FC"/>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663FC"/>
    <w:rPr>
      <w:b/>
      <w:bCs/>
    </w:rPr>
  </w:style>
  <w:style w:type="character" w:customStyle="1" w:styleId="PedmtkomenteChar">
    <w:name w:val="Předmět komentáře Char"/>
    <w:basedOn w:val="TextkomenteChar"/>
    <w:link w:val="Pedmtkomente"/>
    <w:uiPriority w:val="99"/>
    <w:semiHidden/>
    <w:rsid w:val="008663F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608">
      <w:bodyDiv w:val="1"/>
      <w:marLeft w:val="0"/>
      <w:marRight w:val="0"/>
      <w:marTop w:val="0"/>
      <w:marBottom w:val="0"/>
      <w:divBdr>
        <w:top w:val="none" w:sz="0" w:space="0" w:color="auto"/>
        <w:left w:val="none" w:sz="0" w:space="0" w:color="auto"/>
        <w:bottom w:val="none" w:sz="0" w:space="0" w:color="auto"/>
        <w:right w:val="none" w:sz="0" w:space="0" w:color="auto"/>
      </w:divBdr>
    </w:div>
    <w:div w:id="50619490">
      <w:bodyDiv w:val="1"/>
      <w:marLeft w:val="0"/>
      <w:marRight w:val="0"/>
      <w:marTop w:val="0"/>
      <w:marBottom w:val="0"/>
      <w:divBdr>
        <w:top w:val="none" w:sz="0" w:space="0" w:color="auto"/>
        <w:left w:val="none" w:sz="0" w:space="0" w:color="auto"/>
        <w:bottom w:val="none" w:sz="0" w:space="0" w:color="auto"/>
        <w:right w:val="none" w:sz="0" w:space="0" w:color="auto"/>
      </w:divBdr>
    </w:div>
    <w:div w:id="134105166">
      <w:bodyDiv w:val="1"/>
      <w:marLeft w:val="0"/>
      <w:marRight w:val="0"/>
      <w:marTop w:val="0"/>
      <w:marBottom w:val="0"/>
      <w:divBdr>
        <w:top w:val="none" w:sz="0" w:space="0" w:color="auto"/>
        <w:left w:val="none" w:sz="0" w:space="0" w:color="auto"/>
        <w:bottom w:val="none" w:sz="0" w:space="0" w:color="auto"/>
        <w:right w:val="none" w:sz="0" w:space="0" w:color="auto"/>
      </w:divBdr>
    </w:div>
    <w:div w:id="177545555">
      <w:bodyDiv w:val="1"/>
      <w:marLeft w:val="0"/>
      <w:marRight w:val="0"/>
      <w:marTop w:val="0"/>
      <w:marBottom w:val="0"/>
      <w:divBdr>
        <w:top w:val="none" w:sz="0" w:space="0" w:color="auto"/>
        <w:left w:val="none" w:sz="0" w:space="0" w:color="auto"/>
        <w:bottom w:val="none" w:sz="0" w:space="0" w:color="auto"/>
        <w:right w:val="none" w:sz="0" w:space="0" w:color="auto"/>
      </w:divBdr>
    </w:div>
    <w:div w:id="196698258">
      <w:bodyDiv w:val="1"/>
      <w:marLeft w:val="0"/>
      <w:marRight w:val="0"/>
      <w:marTop w:val="0"/>
      <w:marBottom w:val="0"/>
      <w:divBdr>
        <w:top w:val="none" w:sz="0" w:space="0" w:color="auto"/>
        <w:left w:val="none" w:sz="0" w:space="0" w:color="auto"/>
        <w:bottom w:val="none" w:sz="0" w:space="0" w:color="auto"/>
        <w:right w:val="none" w:sz="0" w:space="0" w:color="auto"/>
      </w:divBdr>
    </w:div>
    <w:div w:id="217977161">
      <w:bodyDiv w:val="1"/>
      <w:marLeft w:val="0"/>
      <w:marRight w:val="0"/>
      <w:marTop w:val="0"/>
      <w:marBottom w:val="0"/>
      <w:divBdr>
        <w:top w:val="none" w:sz="0" w:space="0" w:color="auto"/>
        <w:left w:val="none" w:sz="0" w:space="0" w:color="auto"/>
        <w:bottom w:val="none" w:sz="0" w:space="0" w:color="auto"/>
        <w:right w:val="none" w:sz="0" w:space="0" w:color="auto"/>
      </w:divBdr>
    </w:div>
    <w:div w:id="237908218">
      <w:bodyDiv w:val="1"/>
      <w:marLeft w:val="0"/>
      <w:marRight w:val="0"/>
      <w:marTop w:val="0"/>
      <w:marBottom w:val="0"/>
      <w:divBdr>
        <w:top w:val="none" w:sz="0" w:space="0" w:color="auto"/>
        <w:left w:val="none" w:sz="0" w:space="0" w:color="auto"/>
        <w:bottom w:val="none" w:sz="0" w:space="0" w:color="auto"/>
        <w:right w:val="none" w:sz="0" w:space="0" w:color="auto"/>
      </w:divBdr>
    </w:div>
    <w:div w:id="382142229">
      <w:bodyDiv w:val="1"/>
      <w:marLeft w:val="0"/>
      <w:marRight w:val="0"/>
      <w:marTop w:val="0"/>
      <w:marBottom w:val="0"/>
      <w:divBdr>
        <w:top w:val="none" w:sz="0" w:space="0" w:color="auto"/>
        <w:left w:val="none" w:sz="0" w:space="0" w:color="auto"/>
        <w:bottom w:val="none" w:sz="0" w:space="0" w:color="auto"/>
        <w:right w:val="none" w:sz="0" w:space="0" w:color="auto"/>
      </w:divBdr>
    </w:div>
    <w:div w:id="404030619">
      <w:bodyDiv w:val="1"/>
      <w:marLeft w:val="0"/>
      <w:marRight w:val="0"/>
      <w:marTop w:val="0"/>
      <w:marBottom w:val="0"/>
      <w:divBdr>
        <w:top w:val="none" w:sz="0" w:space="0" w:color="auto"/>
        <w:left w:val="none" w:sz="0" w:space="0" w:color="auto"/>
        <w:bottom w:val="none" w:sz="0" w:space="0" w:color="auto"/>
        <w:right w:val="none" w:sz="0" w:space="0" w:color="auto"/>
      </w:divBdr>
    </w:div>
    <w:div w:id="433130323">
      <w:bodyDiv w:val="1"/>
      <w:marLeft w:val="0"/>
      <w:marRight w:val="0"/>
      <w:marTop w:val="0"/>
      <w:marBottom w:val="0"/>
      <w:divBdr>
        <w:top w:val="none" w:sz="0" w:space="0" w:color="auto"/>
        <w:left w:val="none" w:sz="0" w:space="0" w:color="auto"/>
        <w:bottom w:val="none" w:sz="0" w:space="0" w:color="auto"/>
        <w:right w:val="none" w:sz="0" w:space="0" w:color="auto"/>
      </w:divBdr>
    </w:div>
    <w:div w:id="449907484">
      <w:bodyDiv w:val="1"/>
      <w:marLeft w:val="0"/>
      <w:marRight w:val="0"/>
      <w:marTop w:val="0"/>
      <w:marBottom w:val="0"/>
      <w:divBdr>
        <w:top w:val="none" w:sz="0" w:space="0" w:color="auto"/>
        <w:left w:val="none" w:sz="0" w:space="0" w:color="auto"/>
        <w:bottom w:val="none" w:sz="0" w:space="0" w:color="auto"/>
        <w:right w:val="none" w:sz="0" w:space="0" w:color="auto"/>
      </w:divBdr>
    </w:div>
    <w:div w:id="481890023">
      <w:bodyDiv w:val="1"/>
      <w:marLeft w:val="0"/>
      <w:marRight w:val="0"/>
      <w:marTop w:val="0"/>
      <w:marBottom w:val="0"/>
      <w:divBdr>
        <w:top w:val="none" w:sz="0" w:space="0" w:color="auto"/>
        <w:left w:val="none" w:sz="0" w:space="0" w:color="auto"/>
        <w:bottom w:val="none" w:sz="0" w:space="0" w:color="auto"/>
        <w:right w:val="none" w:sz="0" w:space="0" w:color="auto"/>
      </w:divBdr>
    </w:div>
    <w:div w:id="488908545">
      <w:bodyDiv w:val="1"/>
      <w:marLeft w:val="0"/>
      <w:marRight w:val="0"/>
      <w:marTop w:val="0"/>
      <w:marBottom w:val="0"/>
      <w:divBdr>
        <w:top w:val="none" w:sz="0" w:space="0" w:color="auto"/>
        <w:left w:val="none" w:sz="0" w:space="0" w:color="auto"/>
        <w:bottom w:val="none" w:sz="0" w:space="0" w:color="auto"/>
        <w:right w:val="none" w:sz="0" w:space="0" w:color="auto"/>
      </w:divBdr>
    </w:div>
    <w:div w:id="489252253">
      <w:bodyDiv w:val="1"/>
      <w:marLeft w:val="0"/>
      <w:marRight w:val="0"/>
      <w:marTop w:val="0"/>
      <w:marBottom w:val="0"/>
      <w:divBdr>
        <w:top w:val="none" w:sz="0" w:space="0" w:color="auto"/>
        <w:left w:val="none" w:sz="0" w:space="0" w:color="auto"/>
        <w:bottom w:val="none" w:sz="0" w:space="0" w:color="auto"/>
        <w:right w:val="none" w:sz="0" w:space="0" w:color="auto"/>
      </w:divBdr>
    </w:div>
    <w:div w:id="572203579">
      <w:bodyDiv w:val="1"/>
      <w:marLeft w:val="0"/>
      <w:marRight w:val="0"/>
      <w:marTop w:val="0"/>
      <w:marBottom w:val="0"/>
      <w:divBdr>
        <w:top w:val="none" w:sz="0" w:space="0" w:color="auto"/>
        <w:left w:val="none" w:sz="0" w:space="0" w:color="auto"/>
        <w:bottom w:val="none" w:sz="0" w:space="0" w:color="auto"/>
        <w:right w:val="none" w:sz="0" w:space="0" w:color="auto"/>
      </w:divBdr>
    </w:div>
    <w:div w:id="576792717">
      <w:bodyDiv w:val="1"/>
      <w:marLeft w:val="0"/>
      <w:marRight w:val="0"/>
      <w:marTop w:val="0"/>
      <w:marBottom w:val="0"/>
      <w:divBdr>
        <w:top w:val="none" w:sz="0" w:space="0" w:color="auto"/>
        <w:left w:val="none" w:sz="0" w:space="0" w:color="auto"/>
        <w:bottom w:val="none" w:sz="0" w:space="0" w:color="auto"/>
        <w:right w:val="none" w:sz="0" w:space="0" w:color="auto"/>
      </w:divBdr>
    </w:div>
    <w:div w:id="631667602">
      <w:bodyDiv w:val="1"/>
      <w:marLeft w:val="0"/>
      <w:marRight w:val="0"/>
      <w:marTop w:val="0"/>
      <w:marBottom w:val="0"/>
      <w:divBdr>
        <w:top w:val="none" w:sz="0" w:space="0" w:color="auto"/>
        <w:left w:val="none" w:sz="0" w:space="0" w:color="auto"/>
        <w:bottom w:val="none" w:sz="0" w:space="0" w:color="auto"/>
        <w:right w:val="none" w:sz="0" w:space="0" w:color="auto"/>
      </w:divBdr>
    </w:div>
    <w:div w:id="717511490">
      <w:bodyDiv w:val="1"/>
      <w:marLeft w:val="0"/>
      <w:marRight w:val="0"/>
      <w:marTop w:val="0"/>
      <w:marBottom w:val="0"/>
      <w:divBdr>
        <w:top w:val="none" w:sz="0" w:space="0" w:color="auto"/>
        <w:left w:val="none" w:sz="0" w:space="0" w:color="auto"/>
        <w:bottom w:val="none" w:sz="0" w:space="0" w:color="auto"/>
        <w:right w:val="none" w:sz="0" w:space="0" w:color="auto"/>
      </w:divBdr>
    </w:div>
    <w:div w:id="750153720">
      <w:bodyDiv w:val="1"/>
      <w:marLeft w:val="0"/>
      <w:marRight w:val="0"/>
      <w:marTop w:val="0"/>
      <w:marBottom w:val="0"/>
      <w:divBdr>
        <w:top w:val="none" w:sz="0" w:space="0" w:color="auto"/>
        <w:left w:val="none" w:sz="0" w:space="0" w:color="auto"/>
        <w:bottom w:val="none" w:sz="0" w:space="0" w:color="auto"/>
        <w:right w:val="none" w:sz="0" w:space="0" w:color="auto"/>
      </w:divBdr>
    </w:div>
    <w:div w:id="902452721">
      <w:bodyDiv w:val="1"/>
      <w:marLeft w:val="0"/>
      <w:marRight w:val="0"/>
      <w:marTop w:val="0"/>
      <w:marBottom w:val="0"/>
      <w:divBdr>
        <w:top w:val="none" w:sz="0" w:space="0" w:color="auto"/>
        <w:left w:val="none" w:sz="0" w:space="0" w:color="auto"/>
        <w:bottom w:val="none" w:sz="0" w:space="0" w:color="auto"/>
        <w:right w:val="none" w:sz="0" w:space="0" w:color="auto"/>
      </w:divBdr>
    </w:div>
    <w:div w:id="934097799">
      <w:bodyDiv w:val="1"/>
      <w:marLeft w:val="0"/>
      <w:marRight w:val="0"/>
      <w:marTop w:val="0"/>
      <w:marBottom w:val="0"/>
      <w:divBdr>
        <w:top w:val="none" w:sz="0" w:space="0" w:color="auto"/>
        <w:left w:val="none" w:sz="0" w:space="0" w:color="auto"/>
        <w:bottom w:val="none" w:sz="0" w:space="0" w:color="auto"/>
        <w:right w:val="none" w:sz="0" w:space="0" w:color="auto"/>
      </w:divBdr>
    </w:div>
    <w:div w:id="984578417">
      <w:bodyDiv w:val="1"/>
      <w:marLeft w:val="0"/>
      <w:marRight w:val="0"/>
      <w:marTop w:val="0"/>
      <w:marBottom w:val="0"/>
      <w:divBdr>
        <w:top w:val="none" w:sz="0" w:space="0" w:color="auto"/>
        <w:left w:val="none" w:sz="0" w:space="0" w:color="auto"/>
        <w:bottom w:val="none" w:sz="0" w:space="0" w:color="auto"/>
        <w:right w:val="none" w:sz="0" w:space="0" w:color="auto"/>
      </w:divBdr>
    </w:div>
    <w:div w:id="1024132930">
      <w:bodyDiv w:val="1"/>
      <w:marLeft w:val="0"/>
      <w:marRight w:val="0"/>
      <w:marTop w:val="0"/>
      <w:marBottom w:val="0"/>
      <w:divBdr>
        <w:top w:val="none" w:sz="0" w:space="0" w:color="auto"/>
        <w:left w:val="none" w:sz="0" w:space="0" w:color="auto"/>
        <w:bottom w:val="none" w:sz="0" w:space="0" w:color="auto"/>
        <w:right w:val="none" w:sz="0" w:space="0" w:color="auto"/>
      </w:divBdr>
    </w:div>
    <w:div w:id="1078013876">
      <w:bodyDiv w:val="1"/>
      <w:marLeft w:val="0"/>
      <w:marRight w:val="0"/>
      <w:marTop w:val="0"/>
      <w:marBottom w:val="0"/>
      <w:divBdr>
        <w:top w:val="none" w:sz="0" w:space="0" w:color="auto"/>
        <w:left w:val="none" w:sz="0" w:space="0" w:color="auto"/>
        <w:bottom w:val="none" w:sz="0" w:space="0" w:color="auto"/>
        <w:right w:val="none" w:sz="0" w:space="0" w:color="auto"/>
      </w:divBdr>
    </w:div>
    <w:div w:id="1110927482">
      <w:bodyDiv w:val="1"/>
      <w:marLeft w:val="0"/>
      <w:marRight w:val="0"/>
      <w:marTop w:val="0"/>
      <w:marBottom w:val="0"/>
      <w:divBdr>
        <w:top w:val="none" w:sz="0" w:space="0" w:color="auto"/>
        <w:left w:val="none" w:sz="0" w:space="0" w:color="auto"/>
        <w:bottom w:val="none" w:sz="0" w:space="0" w:color="auto"/>
        <w:right w:val="none" w:sz="0" w:space="0" w:color="auto"/>
      </w:divBdr>
    </w:div>
    <w:div w:id="1202473301">
      <w:bodyDiv w:val="1"/>
      <w:marLeft w:val="0"/>
      <w:marRight w:val="0"/>
      <w:marTop w:val="0"/>
      <w:marBottom w:val="0"/>
      <w:divBdr>
        <w:top w:val="none" w:sz="0" w:space="0" w:color="auto"/>
        <w:left w:val="none" w:sz="0" w:space="0" w:color="auto"/>
        <w:bottom w:val="none" w:sz="0" w:space="0" w:color="auto"/>
        <w:right w:val="none" w:sz="0" w:space="0" w:color="auto"/>
      </w:divBdr>
    </w:div>
    <w:div w:id="1223295779">
      <w:bodyDiv w:val="1"/>
      <w:marLeft w:val="0"/>
      <w:marRight w:val="0"/>
      <w:marTop w:val="0"/>
      <w:marBottom w:val="0"/>
      <w:divBdr>
        <w:top w:val="none" w:sz="0" w:space="0" w:color="auto"/>
        <w:left w:val="none" w:sz="0" w:space="0" w:color="auto"/>
        <w:bottom w:val="none" w:sz="0" w:space="0" w:color="auto"/>
        <w:right w:val="none" w:sz="0" w:space="0" w:color="auto"/>
      </w:divBdr>
    </w:div>
    <w:div w:id="1435635435">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481533662">
      <w:bodyDiv w:val="1"/>
      <w:marLeft w:val="0"/>
      <w:marRight w:val="0"/>
      <w:marTop w:val="0"/>
      <w:marBottom w:val="0"/>
      <w:divBdr>
        <w:top w:val="none" w:sz="0" w:space="0" w:color="auto"/>
        <w:left w:val="none" w:sz="0" w:space="0" w:color="auto"/>
        <w:bottom w:val="none" w:sz="0" w:space="0" w:color="auto"/>
        <w:right w:val="none" w:sz="0" w:space="0" w:color="auto"/>
      </w:divBdr>
    </w:div>
    <w:div w:id="1525559258">
      <w:bodyDiv w:val="1"/>
      <w:marLeft w:val="0"/>
      <w:marRight w:val="0"/>
      <w:marTop w:val="0"/>
      <w:marBottom w:val="0"/>
      <w:divBdr>
        <w:top w:val="none" w:sz="0" w:space="0" w:color="auto"/>
        <w:left w:val="none" w:sz="0" w:space="0" w:color="auto"/>
        <w:bottom w:val="none" w:sz="0" w:space="0" w:color="auto"/>
        <w:right w:val="none" w:sz="0" w:space="0" w:color="auto"/>
      </w:divBdr>
    </w:div>
    <w:div w:id="1528760913">
      <w:bodyDiv w:val="1"/>
      <w:marLeft w:val="0"/>
      <w:marRight w:val="0"/>
      <w:marTop w:val="0"/>
      <w:marBottom w:val="0"/>
      <w:divBdr>
        <w:top w:val="none" w:sz="0" w:space="0" w:color="auto"/>
        <w:left w:val="none" w:sz="0" w:space="0" w:color="auto"/>
        <w:bottom w:val="none" w:sz="0" w:space="0" w:color="auto"/>
        <w:right w:val="none" w:sz="0" w:space="0" w:color="auto"/>
      </w:divBdr>
    </w:div>
    <w:div w:id="1545171630">
      <w:bodyDiv w:val="1"/>
      <w:marLeft w:val="0"/>
      <w:marRight w:val="0"/>
      <w:marTop w:val="0"/>
      <w:marBottom w:val="0"/>
      <w:divBdr>
        <w:top w:val="none" w:sz="0" w:space="0" w:color="auto"/>
        <w:left w:val="none" w:sz="0" w:space="0" w:color="auto"/>
        <w:bottom w:val="none" w:sz="0" w:space="0" w:color="auto"/>
        <w:right w:val="none" w:sz="0" w:space="0" w:color="auto"/>
      </w:divBdr>
    </w:div>
    <w:div w:id="1663581255">
      <w:bodyDiv w:val="1"/>
      <w:marLeft w:val="0"/>
      <w:marRight w:val="0"/>
      <w:marTop w:val="0"/>
      <w:marBottom w:val="0"/>
      <w:divBdr>
        <w:top w:val="none" w:sz="0" w:space="0" w:color="auto"/>
        <w:left w:val="none" w:sz="0" w:space="0" w:color="auto"/>
        <w:bottom w:val="none" w:sz="0" w:space="0" w:color="auto"/>
        <w:right w:val="none" w:sz="0" w:space="0" w:color="auto"/>
      </w:divBdr>
    </w:div>
    <w:div w:id="1782414715">
      <w:bodyDiv w:val="1"/>
      <w:marLeft w:val="0"/>
      <w:marRight w:val="0"/>
      <w:marTop w:val="0"/>
      <w:marBottom w:val="0"/>
      <w:divBdr>
        <w:top w:val="none" w:sz="0" w:space="0" w:color="auto"/>
        <w:left w:val="none" w:sz="0" w:space="0" w:color="auto"/>
        <w:bottom w:val="none" w:sz="0" w:space="0" w:color="auto"/>
        <w:right w:val="none" w:sz="0" w:space="0" w:color="auto"/>
      </w:divBdr>
    </w:div>
    <w:div w:id="1791631017">
      <w:bodyDiv w:val="1"/>
      <w:marLeft w:val="0"/>
      <w:marRight w:val="0"/>
      <w:marTop w:val="0"/>
      <w:marBottom w:val="0"/>
      <w:divBdr>
        <w:top w:val="none" w:sz="0" w:space="0" w:color="auto"/>
        <w:left w:val="none" w:sz="0" w:space="0" w:color="auto"/>
        <w:bottom w:val="none" w:sz="0" w:space="0" w:color="auto"/>
        <w:right w:val="none" w:sz="0" w:space="0" w:color="auto"/>
      </w:divBdr>
    </w:div>
    <w:div w:id="1811627541">
      <w:bodyDiv w:val="1"/>
      <w:marLeft w:val="0"/>
      <w:marRight w:val="0"/>
      <w:marTop w:val="0"/>
      <w:marBottom w:val="0"/>
      <w:divBdr>
        <w:top w:val="none" w:sz="0" w:space="0" w:color="auto"/>
        <w:left w:val="none" w:sz="0" w:space="0" w:color="auto"/>
        <w:bottom w:val="none" w:sz="0" w:space="0" w:color="auto"/>
        <w:right w:val="none" w:sz="0" w:space="0" w:color="auto"/>
      </w:divBdr>
    </w:div>
    <w:div w:id="1857039125">
      <w:bodyDiv w:val="1"/>
      <w:marLeft w:val="0"/>
      <w:marRight w:val="0"/>
      <w:marTop w:val="0"/>
      <w:marBottom w:val="0"/>
      <w:divBdr>
        <w:top w:val="none" w:sz="0" w:space="0" w:color="auto"/>
        <w:left w:val="none" w:sz="0" w:space="0" w:color="auto"/>
        <w:bottom w:val="none" w:sz="0" w:space="0" w:color="auto"/>
        <w:right w:val="none" w:sz="0" w:space="0" w:color="auto"/>
      </w:divBdr>
    </w:div>
    <w:div w:id="1894848912">
      <w:bodyDiv w:val="1"/>
      <w:marLeft w:val="0"/>
      <w:marRight w:val="0"/>
      <w:marTop w:val="0"/>
      <w:marBottom w:val="0"/>
      <w:divBdr>
        <w:top w:val="none" w:sz="0" w:space="0" w:color="auto"/>
        <w:left w:val="none" w:sz="0" w:space="0" w:color="auto"/>
        <w:bottom w:val="none" w:sz="0" w:space="0" w:color="auto"/>
        <w:right w:val="none" w:sz="0" w:space="0" w:color="auto"/>
      </w:divBdr>
    </w:div>
    <w:div w:id="1900165210">
      <w:bodyDiv w:val="1"/>
      <w:marLeft w:val="0"/>
      <w:marRight w:val="0"/>
      <w:marTop w:val="0"/>
      <w:marBottom w:val="0"/>
      <w:divBdr>
        <w:top w:val="none" w:sz="0" w:space="0" w:color="auto"/>
        <w:left w:val="none" w:sz="0" w:space="0" w:color="auto"/>
        <w:bottom w:val="none" w:sz="0" w:space="0" w:color="auto"/>
        <w:right w:val="none" w:sz="0" w:space="0" w:color="auto"/>
      </w:divBdr>
    </w:div>
    <w:div w:id="1939169768">
      <w:bodyDiv w:val="1"/>
      <w:marLeft w:val="0"/>
      <w:marRight w:val="0"/>
      <w:marTop w:val="0"/>
      <w:marBottom w:val="0"/>
      <w:divBdr>
        <w:top w:val="none" w:sz="0" w:space="0" w:color="auto"/>
        <w:left w:val="none" w:sz="0" w:space="0" w:color="auto"/>
        <w:bottom w:val="none" w:sz="0" w:space="0" w:color="auto"/>
        <w:right w:val="none" w:sz="0" w:space="0" w:color="auto"/>
      </w:divBdr>
    </w:div>
    <w:div w:id="2015958113">
      <w:bodyDiv w:val="1"/>
      <w:marLeft w:val="0"/>
      <w:marRight w:val="0"/>
      <w:marTop w:val="0"/>
      <w:marBottom w:val="0"/>
      <w:divBdr>
        <w:top w:val="none" w:sz="0" w:space="0" w:color="auto"/>
        <w:left w:val="none" w:sz="0" w:space="0" w:color="auto"/>
        <w:bottom w:val="none" w:sz="0" w:space="0" w:color="auto"/>
        <w:right w:val="none" w:sz="0" w:space="0" w:color="auto"/>
      </w:divBdr>
    </w:div>
    <w:div w:id="2019770451">
      <w:bodyDiv w:val="1"/>
      <w:marLeft w:val="0"/>
      <w:marRight w:val="0"/>
      <w:marTop w:val="0"/>
      <w:marBottom w:val="0"/>
      <w:divBdr>
        <w:top w:val="none" w:sz="0" w:space="0" w:color="auto"/>
        <w:left w:val="none" w:sz="0" w:space="0" w:color="auto"/>
        <w:bottom w:val="none" w:sz="0" w:space="0" w:color="auto"/>
        <w:right w:val="none" w:sz="0" w:space="0" w:color="auto"/>
      </w:divBdr>
    </w:div>
    <w:div w:id="2076975614">
      <w:bodyDiv w:val="1"/>
      <w:marLeft w:val="0"/>
      <w:marRight w:val="0"/>
      <w:marTop w:val="0"/>
      <w:marBottom w:val="0"/>
      <w:divBdr>
        <w:top w:val="none" w:sz="0" w:space="0" w:color="auto"/>
        <w:left w:val="none" w:sz="0" w:space="0" w:color="auto"/>
        <w:bottom w:val="none" w:sz="0" w:space="0" w:color="auto"/>
        <w:right w:val="none" w:sz="0" w:space="0" w:color="auto"/>
      </w:divBdr>
    </w:div>
    <w:div w:id="21284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hyperlink" Target="https://www.sfdiweb.cz/index.php/financovani-zeleznice/obecne-informace-metodicke-dokumenty-a-formulare/zamery-projektu/" TargetMode="External"/><Relationship Id="rId39" Type="http://schemas.openxmlformats.org/officeDocument/2006/relationships/hyperlink" Target="https://www.sfdiweb.cz/index.php/financovani-zeleznice/zaver-roku-a-financni-vyporadani/" TargetMode="External"/><Relationship Id="rId21" Type="http://schemas.openxmlformats.org/officeDocument/2006/relationships/image" Target="media/image11.emf"/><Relationship Id="rId34" Type="http://schemas.openxmlformats.org/officeDocument/2006/relationships/hyperlink" Target="https://www.sfdiweb.cz/index.php/financovani-zeleznice/uzavirani-smluvnich-vztah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yperlink" Target="https://www.sfdiweb.cz/index.php/financovani-zeleznice/pozadavky-vyuctovani-preuctovani-a-vratk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4.png"/><Relationship Id="rId32" Type="http://schemas.openxmlformats.org/officeDocument/2006/relationships/hyperlink" Target="https://www.sfdiweb.cz/index.php/financovani-zeleznice/zaver-roku-a-financni-vyporadani/" TargetMode="External"/><Relationship Id="rId37" Type="http://schemas.openxmlformats.org/officeDocument/2006/relationships/hyperlink" Target="https://www.sfdiweb.cz/index.php/financovani-zeleznice/rozpoctova-opatreni-a-zmenova-rizeni/"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omas.jandl@sfdi.cz" TargetMode="External"/><Relationship Id="rId23" Type="http://schemas.openxmlformats.org/officeDocument/2006/relationships/image" Target="media/image13.png"/><Relationship Id="rId28" Type="http://schemas.openxmlformats.org/officeDocument/2006/relationships/hyperlink" Target="https://www.sfdiweb.cz/index.php/financovani-zeleznice/obecne-informace-metodicke-dokumenty-a-formulare/prevod-nevycerpanych-financnich-prostredku/" TargetMode="External"/><Relationship Id="rId36" Type="http://schemas.openxmlformats.org/officeDocument/2006/relationships/hyperlink" Target="https://www.sfdiweb.cz/index.php/financovani-zeleznice/pozadavky-vyuctovani-preuctovani-a-vratky/" TargetMode="External"/><Relationship Id="rId10" Type="http://schemas.openxmlformats.org/officeDocument/2006/relationships/image" Target="media/image1.png"/><Relationship Id="rId19" Type="http://schemas.openxmlformats.org/officeDocument/2006/relationships/image" Target="media/image9.emf"/><Relationship Id="rId31" Type="http://schemas.openxmlformats.org/officeDocument/2006/relationships/hyperlink" Target="https://www.sfdiweb.cz/index.php/financovani-zeleznice/rozpoctova-opatreni-a-zmenova-rizeni/" TargetMode="External"/><Relationship Id="rId4" Type="http://schemas.openxmlformats.org/officeDocument/2006/relationships/settings" Target="settings.xml"/><Relationship Id="rId9" Type="http://schemas.openxmlformats.org/officeDocument/2006/relationships/hyperlink" Target="mailto:tomas.jandl@sfdi.cz" TargetMode="External"/><Relationship Id="rId14" Type="http://schemas.openxmlformats.org/officeDocument/2006/relationships/image" Target="media/image5.emf"/><Relationship Id="rId22" Type="http://schemas.openxmlformats.org/officeDocument/2006/relationships/image" Target="media/image12.png"/><Relationship Id="rId27" Type="http://schemas.openxmlformats.org/officeDocument/2006/relationships/hyperlink" Target="https://www.sfdiweb.cz/index.php/financovani-zeleznice/uzavirani-smluvnich-vztahu/" TargetMode="External"/><Relationship Id="rId30" Type="http://schemas.openxmlformats.org/officeDocument/2006/relationships/hyperlink" Target="https://www.sfdiweb.cz/index.php/financovani-zeleznice/pozadavky-vyuctovani-preuctovani-a-vratky/" TargetMode="External"/><Relationship Id="rId35" Type="http://schemas.openxmlformats.org/officeDocument/2006/relationships/hyperlink" Target="https://www.sfdiweb.cz/index.php/financovani-zeleznice/pozadavky-vyuctovani-preuctovani-a-vratky/" TargetMode="External"/><Relationship Id="rId8" Type="http://schemas.openxmlformats.org/officeDocument/2006/relationships/hyperlink" Target="https://www.sfdi.cz/soubory/obrazky-clanky/metodiky/2017_smernice_postupy_pripravydi.pdf"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hyperlink" Target="https://www.sfdiweb.cz/index.php/financovani-zeleznice/priprava-rozpoctu-a-sdv/" TargetMode="External"/><Relationship Id="rId33" Type="http://schemas.openxmlformats.org/officeDocument/2006/relationships/hyperlink" Target="https://www.sfdiweb.cz/index.php/financovani-zeleznice/obecne-informace-metodicke-dokumenty-a-formulare/zamery-projektu/" TargetMode="External"/><Relationship Id="rId38" Type="http://schemas.openxmlformats.org/officeDocument/2006/relationships/hyperlink" Target="https://www.sfdiweb.cz/index.php/financovani-zeleznice/obecne-informace-metodicke-dokumenty-a-formulare/prevod-nevycerpanych-financnich-prostred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ADF46-7722-4605-8D27-AEEA11A2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7397</Words>
  <Characters>43647</Characters>
  <Application>Microsoft Office Word</Application>
  <DocSecurity>0</DocSecurity>
  <Lines>363</Lines>
  <Paragraphs>101</Paragraphs>
  <ScaleCrop>false</ScaleCrop>
  <Company/>
  <LinksUpToDate>false</LinksUpToDate>
  <CharactersWithSpaces>50943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2024-01-25T08:37:00Z</dcterms:created>
  <dcterms:modified xsi:type="dcterms:W3CDTF">2024-01-25T08:37:00Z</dcterms:modified>
</cp:coreProperties>
</file>