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F9" w:rsidRDefault="00C371F9">
      <w:pPr>
        <w:spacing w:after="399" w:line="1" w:lineRule="exact"/>
      </w:pPr>
      <w:bookmarkStart w:id="0" w:name="_GoBack"/>
      <w:bookmarkEnd w:id="0"/>
    </w:p>
    <w:p w:rsidR="00C371F9" w:rsidRPr="004B2117" w:rsidRDefault="00C371F9">
      <w:pPr>
        <w:pStyle w:val="Titulektabulky0"/>
        <w:shd w:val="clear" w:color="auto" w:fill="auto"/>
        <w:ind w:left="4949"/>
        <w:rPr>
          <w:b w:val="0"/>
          <w:bCs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7224"/>
      </w:tblGrid>
      <w:tr w:rsidR="00C371F9">
        <w:trPr>
          <w:trHeight w:hRule="exact" w:val="2323"/>
          <w:jc w:val="center"/>
        </w:trPr>
        <w:tc>
          <w:tcPr>
            <w:tcW w:w="1901" w:type="dxa"/>
            <w:shd w:val="clear" w:color="auto" w:fill="FFFFFF"/>
          </w:tcPr>
          <w:p w:rsidR="00C371F9" w:rsidRDefault="00C371F9">
            <w:pPr>
              <w:rPr>
                <w:sz w:val="10"/>
                <w:szCs w:val="10"/>
              </w:rPr>
            </w:pPr>
          </w:p>
        </w:tc>
        <w:tc>
          <w:tcPr>
            <w:tcW w:w="7224" w:type="dxa"/>
            <w:shd w:val="clear" w:color="auto" w:fill="FFFFFF"/>
            <w:vAlign w:val="bottom"/>
          </w:tcPr>
          <w:p w:rsidR="00C371F9" w:rsidRDefault="00000A6B">
            <w:pPr>
              <w:pStyle w:val="Jin0"/>
              <w:shd w:val="clear" w:color="auto" w:fill="auto"/>
              <w:spacing w:after="320" w:line="240" w:lineRule="auto"/>
              <w:ind w:firstLine="940"/>
              <w:rPr>
                <w:sz w:val="40"/>
                <w:szCs w:val="40"/>
              </w:rPr>
            </w:pPr>
            <w:r>
              <w:rPr>
                <w:b/>
                <w:bCs/>
                <w:sz w:val="40"/>
                <w:szCs w:val="40"/>
              </w:rPr>
              <w:t>KUPNÍ SMLOUVA</w:t>
            </w:r>
          </w:p>
          <w:p w:rsidR="00C371F9" w:rsidRPr="004B2117" w:rsidRDefault="00000A6B">
            <w:pPr>
              <w:pStyle w:val="Jin0"/>
              <w:shd w:val="clear" w:color="auto" w:fill="auto"/>
              <w:spacing w:after="820" w:line="240" w:lineRule="auto"/>
              <w:ind w:left="1660"/>
              <w:rPr>
                <w:color w:val="auto"/>
              </w:rPr>
            </w:pPr>
            <w:r>
              <w:t xml:space="preserve">Č.: </w:t>
            </w:r>
            <w:r w:rsidR="004B2117" w:rsidRPr="004B2117">
              <w:rPr>
                <w:color w:val="auto"/>
              </w:rPr>
              <w:t>S</w:t>
            </w:r>
            <w:r w:rsidR="004B2117">
              <w:rPr>
                <w:color w:val="auto"/>
              </w:rPr>
              <w:t>ML/196/23/029</w:t>
            </w:r>
          </w:p>
          <w:p w:rsidR="00C371F9" w:rsidRDefault="00000A6B">
            <w:pPr>
              <w:pStyle w:val="Jin0"/>
              <w:shd w:val="clear" w:color="auto" w:fill="auto"/>
              <w:spacing w:after="560" w:line="240" w:lineRule="auto"/>
              <w:ind w:left="1420"/>
              <w:rPr>
                <w:sz w:val="24"/>
                <w:szCs w:val="24"/>
              </w:rPr>
            </w:pPr>
            <w:bookmarkStart w:id="1" w:name="bookmark0"/>
            <w:r>
              <w:rPr>
                <w:b/>
                <w:bCs/>
                <w:sz w:val="24"/>
                <w:szCs w:val="24"/>
              </w:rPr>
              <w:t>1. Smluvní strany</w:t>
            </w:r>
            <w:bookmarkEnd w:id="1"/>
          </w:p>
        </w:tc>
      </w:tr>
    </w:tbl>
    <w:p w:rsidR="00C371F9" w:rsidRDefault="00C371F9">
      <w:pPr>
        <w:spacing w:after="439" w:line="1" w:lineRule="exact"/>
      </w:pPr>
    </w:p>
    <w:p w:rsidR="00C371F9" w:rsidRDefault="009E2C54">
      <w:pPr>
        <w:pStyle w:val="Titulektabulky0"/>
        <w:shd w:val="clear" w:color="auto" w:fill="auto"/>
      </w:pPr>
      <w:r>
        <w:t xml:space="preserve">     </w:t>
      </w:r>
      <w:r w:rsidR="00000A6B">
        <w:t xml:space="preserve">Česká </w:t>
      </w:r>
      <w:proofErr w:type="gramStart"/>
      <w:r w:rsidR="00000A6B">
        <w:t>republika - Státní</w:t>
      </w:r>
      <w:proofErr w:type="gramEnd"/>
      <w:r w:rsidR="00000A6B">
        <w:t xml:space="preserve"> zemědělská a potravinářská inspekce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7224"/>
      </w:tblGrid>
      <w:tr w:rsidR="00C371F9">
        <w:trPr>
          <w:trHeight w:hRule="exact" w:val="336"/>
          <w:jc w:val="center"/>
        </w:trPr>
        <w:tc>
          <w:tcPr>
            <w:tcW w:w="1901" w:type="dxa"/>
            <w:shd w:val="clear" w:color="auto" w:fill="FFFFFF"/>
            <w:vAlign w:val="bottom"/>
          </w:tcPr>
          <w:p w:rsidR="00C371F9" w:rsidRDefault="00000A6B">
            <w:pPr>
              <w:pStyle w:val="Jin0"/>
              <w:shd w:val="clear" w:color="auto" w:fill="auto"/>
              <w:spacing w:after="0" w:line="240" w:lineRule="auto"/>
            </w:pPr>
            <w:r>
              <w:t>Sídlo:</w:t>
            </w:r>
          </w:p>
        </w:tc>
        <w:tc>
          <w:tcPr>
            <w:tcW w:w="7224" w:type="dxa"/>
            <w:shd w:val="clear" w:color="auto" w:fill="FFFFFF"/>
            <w:vAlign w:val="bottom"/>
          </w:tcPr>
          <w:p w:rsidR="00C371F9" w:rsidRDefault="00000A6B">
            <w:pPr>
              <w:pStyle w:val="Jin0"/>
              <w:shd w:val="clear" w:color="auto" w:fill="auto"/>
              <w:spacing w:after="0" w:line="240" w:lineRule="auto"/>
              <w:ind w:firstLine="220"/>
            </w:pPr>
            <w:r>
              <w:t>Květná 15, 603 00 Brno</w:t>
            </w:r>
          </w:p>
        </w:tc>
      </w:tr>
      <w:tr w:rsidR="00C371F9">
        <w:trPr>
          <w:trHeight w:hRule="exact" w:val="456"/>
          <w:jc w:val="center"/>
        </w:trPr>
        <w:tc>
          <w:tcPr>
            <w:tcW w:w="1901" w:type="dxa"/>
            <w:shd w:val="clear" w:color="auto" w:fill="FFFFFF"/>
            <w:vAlign w:val="bottom"/>
          </w:tcPr>
          <w:p w:rsidR="00C371F9" w:rsidRDefault="00000A6B">
            <w:pPr>
              <w:pStyle w:val="Jin0"/>
              <w:shd w:val="clear" w:color="auto" w:fill="auto"/>
              <w:spacing w:after="0" w:line="240" w:lineRule="auto"/>
            </w:pPr>
            <w:r>
              <w:t>za kterou jedná:</w:t>
            </w:r>
          </w:p>
        </w:tc>
        <w:tc>
          <w:tcPr>
            <w:tcW w:w="7224" w:type="dxa"/>
            <w:shd w:val="clear" w:color="auto" w:fill="FFFFFF"/>
            <w:vAlign w:val="bottom"/>
          </w:tcPr>
          <w:p w:rsidR="00C371F9" w:rsidRDefault="00000A6B">
            <w:pPr>
              <w:pStyle w:val="Jin0"/>
              <w:shd w:val="clear" w:color="auto" w:fill="auto"/>
              <w:spacing w:after="0" w:line="240" w:lineRule="auto"/>
              <w:ind w:firstLine="220"/>
            </w:pPr>
            <w:r>
              <w:t>Ing. Martin Klanica, ústřední ředitel</w:t>
            </w:r>
          </w:p>
        </w:tc>
      </w:tr>
      <w:tr w:rsidR="00C371F9">
        <w:trPr>
          <w:trHeight w:hRule="exact" w:val="446"/>
          <w:jc w:val="center"/>
        </w:trPr>
        <w:tc>
          <w:tcPr>
            <w:tcW w:w="1901" w:type="dxa"/>
            <w:shd w:val="clear" w:color="auto" w:fill="FFFFFF"/>
            <w:vAlign w:val="bottom"/>
          </w:tcPr>
          <w:p w:rsidR="00C371F9" w:rsidRDefault="00000A6B">
            <w:pPr>
              <w:pStyle w:val="Jin0"/>
              <w:shd w:val="clear" w:color="auto" w:fill="auto"/>
              <w:spacing w:after="0" w:line="240" w:lineRule="auto"/>
            </w:pPr>
            <w:bookmarkStart w:id="2" w:name="bookmark1"/>
            <w:r>
              <w:t>IČO:</w:t>
            </w:r>
            <w:bookmarkEnd w:id="2"/>
          </w:p>
        </w:tc>
        <w:tc>
          <w:tcPr>
            <w:tcW w:w="7224" w:type="dxa"/>
            <w:shd w:val="clear" w:color="auto" w:fill="FFFFFF"/>
            <w:vAlign w:val="bottom"/>
          </w:tcPr>
          <w:p w:rsidR="00C371F9" w:rsidRDefault="00000A6B">
            <w:pPr>
              <w:pStyle w:val="Jin0"/>
              <w:shd w:val="clear" w:color="auto" w:fill="auto"/>
              <w:spacing w:after="0" w:line="240" w:lineRule="auto"/>
              <w:ind w:firstLine="220"/>
            </w:pPr>
            <w:r>
              <w:t>75014149</w:t>
            </w:r>
          </w:p>
        </w:tc>
      </w:tr>
      <w:tr w:rsidR="00C371F9">
        <w:trPr>
          <w:trHeight w:hRule="exact" w:val="379"/>
          <w:jc w:val="center"/>
        </w:trPr>
        <w:tc>
          <w:tcPr>
            <w:tcW w:w="1901" w:type="dxa"/>
            <w:shd w:val="clear" w:color="auto" w:fill="FFFFFF"/>
            <w:vAlign w:val="bottom"/>
          </w:tcPr>
          <w:p w:rsidR="00C371F9" w:rsidRDefault="00000A6B">
            <w:pPr>
              <w:pStyle w:val="Jin0"/>
              <w:shd w:val="clear" w:color="auto" w:fill="auto"/>
              <w:spacing w:after="0" w:line="240" w:lineRule="auto"/>
            </w:pPr>
            <w:r>
              <w:t>DIČ:</w:t>
            </w:r>
          </w:p>
        </w:tc>
        <w:tc>
          <w:tcPr>
            <w:tcW w:w="7224" w:type="dxa"/>
            <w:shd w:val="clear" w:color="auto" w:fill="FFFFFF"/>
            <w:vAlign w:val="bottom"/>
          </w:tcPr>
          <w:p w:rsidR="00C371F9" w:rsidRDefault="00000A6B">
            <w:pPr>
              <w:pStyle w:val="Jin0"/>
              <w:shd w:val="clear" w:color="auto" w:fill="auto"/>
              <w:spacing w:after="0" w:line="240" w:lineRule="auto"/>
              <w:ind w:firstLine="220"/>
            </w:pPr>
            <w:proofErr w:type="gramStart"/>
            <w:r>
              <w:t>CZ75014149 - neplátce</w:t>
            </w:r>
            <w:proofErr w:type="gramEnd"/>
            <w:r>
              <w:t xml:space="preserve"> DPH</w:t>
            </w:r>
          </w:p>
        </w:tc>
      </w:tr>
    </w:tbl>
    <w:p w:rsidR="00C371F9" w:rsidRDefault="00C371F9">
      <w:pPr>
        <w:spacing w:after="439" w:line="1" w:lineRule="exact"/>
      </w:pPr>
    </w:p>
    <w:p w:rsidR="00C371F9" w:rsidRDefault="00000A6B">
      <w:pPr>
        <w:pStyle w:val="Zkladntext1"/>
        <w:shd w:val="clear" w:color="auto" w:fill="auto"/>
        <w:spacing w:after="440" w:line="240" w:lineRule="auto"/>
        <w:ind w:firstLine="300"/>
      </w:pPr>
      <w:r>
        <w:t xml:space="preserve">dále jen </w:t>
      </w:r>
      <w:r>
        <w:rPr>
          <w:b/>
          <w:bCs/>
        </w:rPr>
        <w:t xml:space="preserve">„kupující“ </w:t>
      </w:r>
      <w:r>
        <w:t>na straně jedné</w:t>
      </w:r>
    </w:p>
    <w:p w:rsidR="00C371F9" w:rsidRDefault="00000A6B">
      <w:pPr>
        <w:pStyle w:val="Zkladntext1"/>
        <w:shd w:val="clear" w:color="auto" w:fill="auto"/>
        <w:spacing w:after="440" w:line="240" w:lineRule="auto"/>
        <w:ind w:firstLine="300"/>
      </w:pPr>
      <w:r>
        <w:t>a</w:t>
      </w:r>
    </w:p>
    <w:p w:rsidR="00C371F9" w:rsidRDefault="00000A6B">
      <w:pPr>
        <w:pStyle w:val="Zkladntext1"/>
        <w:shd w:val="clear" w:color="auto" w:fill="auto"/>
        <w:spacing w:after="140" w:line="240" w:lineRule="auto"/>
        <w:ind w:firstLine="300"/>
      </w:pPr>
      <w:proofErr w:type="spellStart"/>
      <w:r>
        <w:rPr>
          <w:b/>
          <w:bCs/>
        </w:rPr>
        <w:t>A</w:t>
      </w:r>
      <w:r w:rsidR="000D2275">
        <w:rPr>
          <w:b/>
          <w:bCs/>
        </w:rPr>
        <w:t>ricoma</w:t>
      </w:r>
      <w:proofErr w:type="spellEnd"/>
      <w:r w:rsidR="000D2275">
        <w:rPr>
          <w:b/>
          <w:bCs/>
        </w:rPr>
        <w:t xml:space="preserve"> Systems</w:t>
      </w:r>
      <w:r>
        <w:rPr>
          <w:b/>
          <w:bCs/>
        </w:rPr>
        <w:t xml:space="preserve">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7224"/>
      </w:tblGrid>
      <w:tr w:rsidR="00C371F9">
        <w:trPr>
          <w:trHeight w:hRule="exact" w:val="557"/>
          <w:jc w:val="center"/>
        </w:trPr>
        <w:tc>
          <w:tcPr>
            <w:tcW w:w="1901" w:type="dxa"/>
            <w:shd w:val="clear" w:color="auto" w:fill="FFFFFF"/>
            <w:vAlign w:val="bottom"/>
          </w:tcPr>
          <w:p w:rsidR="00C371F9" w:rsidRDefault="00000A6B">
            <w:pPr>
              <w:pStyle w:val="Jin0"/>
              <w:shd w:val="clear" w:color="auto" w:fill="auto"/>
              <w:spacing w:after="0" w:line="240" w:lineRule="auto"/>
            </w:pPr>
            <w:r>
              <w:t>Sídlo:</w:t>
            </w:r>
          </w:p>
        </w:tc>
        <w:tc>
          <w:tcPr>
            <w:tcW w:w="7224" w:type="dxa"/>
            <w:shd w:val="clear" w:color="auto" w:fill="FFFFFF"/>
            <w:vAlign w:val="bottom"/>
          </w:tcPr>
          <w:p w:rsidR="00C371F9" w:rsidRDefault="00000A6B">
            <w:pPr>
              <w:pStyle w:val="Jin0"/>
              <w:shd w:val="clear" w:color="auto" w:fill="auto"/>
              <w:spacing w:after="0" w:line="240" w:lineRule="auto"/>
              <w:ind w:firstLine="220"/>
            </w:pPr>
            <w:r>
              <w:t>Hornopolní 3322/34, 702 00 Ostrava</w:t>
            </w:r>
          </w:p>
        </w:tc>
      </w:tr>
      <w:tr w:rsidR="00C371F9">
        <w:trPr>
          <w:trHeight w:hRule="exact" w:val="456"/>
          <w:jc w:val="center"/>
        </w:trPr>
        <w:tc>
          <w:tcPr>
            <w:tcW w:w="1901" w:type="dxa"/>
            <w:shd w:val="clear" w:color="auto" w:fill="FFFFFF"/>
            <w:vAlign w:val="center"/>
          </w:tcPr>
          <w:p w:rsidR="00C371F9" w:rsidRDefault="00000A6B">
            <w:pPr>
              <w:pStyle w:val="Jin0"/>
              <w:shd w:val="clear" w:color="auto" w:fill="auto"/>
              <w:spacing w:after="0" w:line="240" w:lineRule="auto"/>
            </w:pPr>
            <w:r>
              <w:t>za kterou jedná:</w:t>
            </w:r>
          </w:p>
        </w:tc>
        <w:tc>
          <w:tcPr>
            <w:tcW w:w="7224" w:type="dxa"/>
            <w:shd w:val="clear" w:color="auto" w:fill="FFFFFF"/>
            <w:vAlign w:val="bottom"/>
          </w:tcPr>
          <w:p w:rsidR="00C371F9" w:rsidRDefault="009779B9">
            <w:pPr>
              <w:pStyle w:val="Jin0"/>
              <w:shd w:val="clear" w:color="auto" w:fill="auto"/>
              <w:spacing w:after="0" w:line="240" w:lineRule="auto"/>
              <w:ind w:firstLine="220"/>
            </w:pPr>
            <w:r>
              <w:t>XXXXXXXXXXXXXXX</w:t>
            </w:r>
          </w:p>
        </w:tc>
      </w:tr>
      <w:tr w:rsidR="00C371F9">
        <w:trPr>
          <w:trHeight w:hRule="exact" w:val="437"/>
          <w:jc w:val="center"/>
        </w:trPr>
        <w:tc>
          <w:tcPr>
            <w:tcW w:w="1901" w:type="dxa"/>
            <w:shd w:val="clear" w:color="auto" w:fill="FFFFFF"/>
            <w:vAlign w:val="bottom"/>
          </w:tcPr>
          <w:p w:rsidR="00C371F9" w:rsidRDefault="00000A6B">
            <w:pPr>
              <w:pStyle w:val="Jin0"/>
              <w:shd w:val="clear" w:color="auto" w:fill="auto"/>
              <w:spacing w:after="0" w:line="240" w:lineRule="auto"/>
            </w:pPr>
            <w:bookmarkStart w:id="3" w:name="bookmark2"/>
            <w:r>
              <w:t>IČO:</w:t>
            </w:r>
            <w:bookmarkEnd w:id="3"/>
          </w:p>
        </w:tc>
        <w:tc>
          <w:tcPr>
            <w:tcW w:w="7224" w:type="dxa"/>
            <w:shd w:val="clear" w:color="auto" w:fill="FFFFFF"/>
            <w:vAlign w:val="bottom"/>
          </w:tcPr>
          <w:p w:rsidR="00C371F9" w:rsidRDefault="00000A6B">
            <w:pPr>
              <w:pStyle w:val="Jin0"/>
              <w:shd w:val="clear" w:color="auto" w:fill="auto"/>
              <w:spacing w:after="0" w:line="240" w:lineRule="auto"/>
              <w:ind w:firstLine="220"/>
            </w:pPr>
            <w:r>
              <w:t>04308697</w:t>
            </w:r>
          </w:p>
        </w:tc>
      </w:tr>
      <w:tr w:rsidR="00C371F9">
        <w:trPr>
          <w:trHeight w:hRule="exact" w:val="456"/>
          <w:jc w:val="center"/>
        </w:trPr>
        <w:tc>
          <w:tcPr>
            <w:tcW w:w="1901" w:type="dxa"/>
            <w:shd w:val="clear" w:color="auto" w:fill="FFFFFF"/>
            <w:vAlign w:val="bottom"/>
          </w:tcPr>
          <w:p w:rsidR="00C371F9" w:rsidRDefault="00000A6B">
            <w:pPr>
              <w:pStyle w:val="Jin0"/>
              <w:shd w:val="clear" w:color="auto" w:fill="auto"/>
              <w:spacing w:after="0" w:line="240" w:lineRule="auto"/>
            </w:pPr>
            <w:r>
              <w:t>DIČ:</w:t>
            </w:r>
          </w:p>
        </w:tc>
        <w:tc>
          <w:tcPr>
            <w:tcW w:w="7224" w:type="dxa"/>
            <w:shd w:val="clear" w:color="auto" w:fill="FFFFFF"/>
            <w:vAlign w:val="center"/>
          </w:tcPr>
          <w:p w:rsidR="00C371F9" w:rsidRDefault="00000A6B">
            <w:pPr>
              <w:pStyle w:val="Jin0"/>
              <w:shd w:val="clear" w:color="auto" w:fill="auto"/>
              <w:spacing w:after="0" w:line="240" w:lineRule="auto"/>
              <w:ind w:firstLine="220"/>
            </w:pPr>
            <w:r>
              <w:t>CZ04308697</w:t>
            </w:r>
          </w:p>
        </w:tc>
      </w:tr>
      <w:tr w:rsidR="00C371F9">
        <w:trPr>
          <w:trHeight w:hRule="exact" w:val="379"/>
          <w:jc w:val="center"/>
        </w:trPr>
        <w:tc>
          <w:tcPr>
            <w:tcW w:w="1901" w:type="dxa"/>
            <w:shd w:val="clear" w:color="auto" w:fill="FFFFFF"/>
            <w:vAlign w:val="bottom"/>
          </w:tcPr>
          <w:p w:rsidR="00C371F9" w:rsidRDefault="00000A6B">
            <w:pPr>
              <w:pStyle w:val="Jin0"/>
              <w:shd w:val="clear" w:color="auto" w:fill="auto"/>
              <w:spacing w:after="0" w:line="240" w:lineRule="auto"/>
            </w:pPr>
            <w:r>
              <w:t>bankovní spojení:</w:t>
            </w:r>
          </w:p>
        </w:tc>
        <w:tc>
          <w:tcPr>
            <w:tcW w:w="7224" w:type="dxa"/>
            <w:shd w:val="clear" w:color="auto" w:fill="FFFFFF"/>
            <w:vAlign w:val="bottom"/>
          </w:tcPr>
          <w:p w:rsidR="00C371F9" w:rsidRDefault="009779B9">
            <w:pPr>
              <w:pStyle w:val="Jin0"/>
              <w:shd w:val="clear" w:color="auto" w:fill="auto"/>
              <w:spacing w:after="0" w:line="240" w:lineRule="auto"/>
              <w:ind w:firstLine="220"/>
            </w:pPr>
            <w:r>
              <w:t>XXXXXXXXXXXXXXX</w:t>
            </w:r>
          </w:p>
        </w:tc>
      </w:tr>
    </w:tbl>
    <w:p w:rsidR="00C371F9" w:rsidRDefault="00C371F9">
      <w:pPr>
        <w:spacing w:after="139" w:line="1" w:lineRule="exact"/>
      </w:pPr>
    </w:p>
    <w:p w:rsidR="00C371F9" w:rsidRDefault="00000A6B">
      <w:pPr>
        <w:pStyle w:val="Zkladntext1"/>
        <w:shd w:val="clear" w:color="auto" w:fill="auto"/>
        <w:spacing w:after="440"/>
        <w:ind w:firstLine="300"/>
      </w:pPr>
      <w:r>
        <w:t>registrován u: Krajského soudu v Ostravě, oddíl B, vložka 11012</w:t>
      </w:r>
    </w:p>
    <w:p w:rsidR="00C371F9" w:rsidRDefault="00000A6B">
      <w:pPr>
        <w:pStyle w:val="Zkladntext1"/>
        <w:shd w:val="clear" w:color="auto" w:fill="auto"/>
        <w:spacing w:after="380"/>
        <w:ind w:firstLine="300"/>
      </w:pPr>
      <w:r>
        <w:t xml:space="preserve">dále jen </w:t>
      </w:r>
      <w:r>
        <w:rPr>
          <w:b/>
          <w:bCs/>
        </w:rPr>
        <w:t xml:space="preserve">„prodávající“ </w:t>
      </w:r>
      <w:r>
        <w:t>na straně druhé</w:t>
      </w:r>
    </w:p>
    <w:p w:rsidR="00C371F9" w:rsidRDefault="00000A6B">
      <w:pPr>
        <w:pStyle w:val="Zkladntext1"/>
        <w:shd w:val="clear" w:color="auto" w:fill="auto"/>
        <w:spacing w:after="440"/>
        <w:ind w:left="300"/>
      </w:pPr>
      <w:r>
        <w:t>uzavírají níže uvedeného dne, měsíce a roku ve smyslu ustanovení § 2079 a následujících zák. č. 89/2012 Sb., občanského zákoníku, ve znění pozdějších předpisů (dále „občanský zákoník“) tuto Kupní smlouvu (dále „Smlouva“), a to na základě zadávacího řízení pro veřejnou zakázku s názvem „Obměna a rozšíření diskového pole serverovna Květná“.</w:t>
      </w:r>
    </w:p>
    <w:p w:rsidR="00C371F9" w:rsidRDefault="00000A6B">
      <w:pPr>
        <w:pStyle w:val="Nadpis10"/>
        <w:keepNext/>
        <w:keepLines/>
        <w:numPr>
          <w:ilvl w:val="0"/>
          <w:numId w:val="1"/>
        </w:numPr>
        <w:shd w:val="clear" w:color="auto" w:fill="auto"/>
        <w:tabs>
          <w:tab w:val="left" w:pos="846"/>
        </w:tabs>
        <w:spacing w:line="240" w:lineRule="auto"/>
      </w:pPr>
      <w:bookmarkStart w:id="4" w:name="bookmark3"/>
      <w:bookmarkStart w:id="5" w:name="bookmark4"/>
      <w:r>
        <w:t>Předmět Smlouvy</w:t>
      </w:r>
      <w:bookmarkEnd w:id="4"/>
      <w:bookmarkEnd w:id="5"/>
    </w:p>
    <w:p w:rsidR="00C371F9" w:rsidRDefault="00000A6B">
      <w:pPr>
        <w:pStyle w:val="Zkladntext1"/>
        <w:numPr>
          <w:ilvl w:val="1"/>
          <w:numId w:val="1"/>
        </w:numPr>
        <w:shd w:val="clear" w:color="auto" w:fill="auto"/>
        <w:tabs>
          <w:tab w:val="left" w:pos="870"/>
        </w:tabs>
        <w:spacing w:after="0" w:line="240" w:lineRule="auto"/>
        <w:ind w:left="880" w:hanging="580"/>
        <w:jc w:val="both"/>
      </w:pPr>
      <w:r>
        <w:t xml:space="preserve">Předmětem této Smlouvy je závazek prodávajícího dodat kupujícímu 1 ks diskového pole (dále jen „zařízení“) dle Technické specifikace uvedené v Příloze č.1 Smlouvy a poskytnout kupujícímu další související plnění dle článku 2.2. této Smlouvy v rámci investiční akce „OSS </w:t>
      </w:r>
      <w:proofErr w:type="gramStart"/>
      <w:r>
        <w:lastRenderedPageBreak/>
        <w:t xml:space="preserve">SZPI - </w:t>
      </w:r>
      <w:r>
        <w:rPr>
          <w:lang w:val="en-US" w:eastAsia="en-US" w:bidi="en-US"/>
        </w:rPr>
        <w:t>ICT</w:t>
      </w:r>
      <w:proofErr w:type="gramEnd"/>
      <w:r>
        <w:rPr>
          <w:lang w:val="en-US" w:eastAsia="en-US" w:bidi="en-US"/>
        </w:rPr>
        <w:t xml:space="preserve"> </w:t>
      </w:r>
      <w:r>
        <w:t>HW - stroje, přístroje a zařízení 2023 - Obměna a rozšíření diskového pole serverovna Květná“ a závazek kupujícího zaplatit za poskytnuté plnění kupní cenu.</w:t>
      </w:r>
    </w:p>
    <w:p w:rsidR="000C60D6" w:rsidRDefault="00000A6B" w:rsidP="000C60D6">
      <w:pPr>
        <w:pStyle w:val="Zkladntext1"/>
        <w:numPr>
          <w:ilvl w:val="1"/>
          <w:numId w:val="1"/>
        </w:numPr>
        <w:shd w:val="clear" w:color="auto" w:fill="auto"/>
        <w:tabs>
          <w:tab w:val="left" w:pos="870"/>
        </w:tabs>
        <w:spacing w:after="320"/>
        <w:ind w:left="880" w:hanging="580"/>
        <w:jc w:val="both"/>
      </w:pPr>
      <w:bookmarkStart w:id="6" w:name="bookmark5"/>
      <w:r>
        <w:t xml:space="preserve">Spolu s dodáním předmětu plnění uvedeného v článku 2.1. této Smlouvy se prodávající zavazuje zajistit dopravu zařízení do místa plnění uvedeného v článku 3.7. této Smlouvy, zajistit uvedení zařízení do provozu, ověřit jeho funkčnost a zajistit integraci do stávající struktury kupujícího spočívající zejména v připojení ke stávajícím prostředkům ICT SZPI, tj. připojení k Informačním a Komunikačním Technologiím SZPI, zejména k virtualizačním serverům </w:t>
      </w:r>
      <w:proofErr w:type="gramStart"/>
      <w:r w:rsidR="004B2117">
        <w:t>k</w:t>
      </w:r>
      <w:r>
        <w:t>upujícího - IBM</w:t>
      </w:r>
      <w:proofErr w:type="gramEnd"/>
      <w:r>
        <w:t xml:space="preserve"> </w:t>
      </w:r>
      <w:proofErr w:type="spellStart"/>
      <w:r>
        <w:t>Flex</w:t>
      </w:r>
      <w:proofErr w:type="spellEnd"/>
      <w:r>
        <w:t xml:space="preserve"> </w:t>
      </w:r>
      <w:r w:rsidR="00062940">
        <w:t>Systém</w:t>
      </w:r>
      <w:bookmarkEnd w:id="6"/>
      <w:r w:rsidR="00062940">
        <w:t>.</w:t>
      </w:r>
    </w:p>
    <w:p w:rsidR="00C371F9" w:rsidRDefault="00000A6B">
      <w:pPr>
        <w:pStyle w:val="Nadpis10"/>
        <w:keepNext/>
        <w:keepLines/>
        <w:numPr>
          <w:ilvl w:val="0"/>
          <w:numId w:val="1"/>
        </w:numPr>
        <w:shd w:val="clear" w:color="auto" w:fill="auto"/>
        <w:tabs>
          <w:tab w:val="left" w:pos="566"/>
        </w:tabs>
      </w:pPr>
      <w:bookmarkStart w:id="7" w:name="bookmark6"/>
      <w:bookmarkStart w:id="8" w:name="bookmark7"/>
      <w:r>
        <w:t>Termín a místo plnění</w:t>
      </w:r>
      <w:bookmarkEnd w:id="7"/>
      <w:bookmarkEnd w:id="8"/>
    </w:p>
    <w:p w:rsidR="00C371F9" w:rsidRDefault="00000A6B">
      <w:pPr>
        <w:pStyle w:val="Nadpis20"/>
        <w:keepNext/>
        <w:keepLines/>
        <w:numPr>
          <w:ilvl w:val="1"/>
          <w:numId w:val="1"/>
        </w:numPr>
        <w:shd w:val="clear" w:color="auto" w:fill="auto"/>
        <w:tabs>
          <w:tab w:val="left" w:pos="870"/>
        </w:tabs>
        <w:spacing w:line="254" w:lineRule="auto"/>
        <w:jc w:val="both"/>
      </w:pPr>
      <w:bookmarkStart w:id="9" w:name="bookmark8"/>
      <w:bookmarkStart w:id="10" w:name="bookmark9"/>
      <w:r>
        <w:t>Prodávající se zavazuje dodat předmět plnění dle kapitoly 2 a dle Přílohy č. 1 této Smlouvy včetně veškeré dokumentace (zejména záruční listy, návody k obsluze, dokumentace skutečného stavu provedení podle Přílohy č. 1) nejpozději do 70 dnů od účinnosti Smlouvy.</w:t>
      </w:r>
      <w:bookmarkEnd w:id="9"/>
      <w:bookmarkEnd w:id="10"/>
    </w:p>
    <w:p w:rsidR="00C371F9" w:rsidRDefault="00000A6B">
      <w:pPr>
        <w:pStyle w:val="Nadpis20"/>
        <w:keepNext/>
        <w:keepLines/>
        <w:numPr>
          <w:ilvl w:val="1"/>
          <w:numId w:val="1"/>
        </w:numPr>
        <w:shd w:val="clear" w:color="auto" w:fill="auto"/>
        <w:tabs>
          <w:tab w:val="left" w:pos="870"/>
        </w:tabs>
        <w:jc w:val="both"/>
      </w:pPr>
      <w:bookmarkStart w:id="11" w:name="bookmark10"/>
      <w:bookmarkStart w:id="12" w:name="bookmark11"/>
      <w:r>
        <w:t>Smluvní strany berou na vědomí, že dodržení sjednaného termínu plnění je podmíněno poskytnutím řádné součinnosti kupujícím.</w:t>
      </w:r>
      <w:bookmarkEnd w:id="11"/>
      <w:bookmarkEnd w:id="12"/>
    </w:p>
    <w:p w:rsidR="00C371F9" w:rsidRDefault="00000A6B">
      <w:pPr>
        <w:pStyle w:val="Nadpis20"/>
        <w:keepNext/>
        <w:keepLines/>
        <w:numPr>
          <w:ilvl w:val="1"/>
          <w:numId w:val="1"/>
        </w:numPr>
        <w:shd w:val="clear" w:color="auto" w:fill="auto"/>
        <w:tabs>
          <w:tab w:val="left" w:pos="870"/>
        </w:tabs>
        <w:jc w:val="both"/>
      </w:pPr>
      <w:bookmarkStart w:id="13" w:name="bookmark12"/>
      <w:bookmarkStart w:id="14" w:name="bookmark13"/>
      <w:r>
        <w:t>O předání a převzetí předmětu Smlouvy bude pořízen předávací protokol podepsaný oprávněnými zástupci obou stran nebo jimi pověřenými osobami.</w:t>
      </w:r>
      <w:bookmarkEnd w:id="13"/>
      <w:bookmarkEnd w:id="14"/>
    </w:p>
    <w:p w:rsidR="00C371F9" w:rsidRDefault="00000A6B">
      <w:pPr>
        <w:pStyle w:val="Nadpis20"/>
        <w:keepNext/>
        <w:keepLines/>
        <w:numPr>
          <w:ilvl w:val="1"/>
          <w:numId w:val="1"/>
        </w:numPr>
        <w:shd w:val="clear" w:color="auto" w:fill="auto"/>
        <w:tabs>
          <w:tab w:val="left" w:pos="870"/>
        </w:tabs>
        <w:jc w:val="both"/>
      </w:pPr>
      <w:bookmarkStart w:id="15" w:name="bookmark14"/>
      <w:bookmarkStart w:id="16" w:name="bookmark15"/>
      <w:r>
        <w:t>Prodávající se zavazuje minimálně 5 pracovních dní před zamýšlenou dodávkou předmětu plnění informovat o této skutečnosti oprávněného zástupce kupujícího.</w:t>
      </w:r>
      <w:bookmarkEnd w:id="15"/>
      <w:bookmarkEnd w:id="16"/>
    </w:p>
    <w:p w:rsidR="00062940" w:rsidRPr="00062940" w:rsidRDefault="00000A6B">
      <w:pPr>
        <w:pStyle w:val="Nadpis20"/>
        <w:keepNext/>
        <w:keepLines/>
        <w:numPr>
          <w:ilvl w:val="1"/>
          <w:numId w:val="1"/>
        </w:numPr>
        <w:shd w:val="clear" w:color="auto" w:fill="auto"/>
        <w:tabs>
          <w:tab w:val="left" w:pos="870"/>
        </w:tabs>
        <w:jc w:val="both"/>
      </w:pPr>
      <w:bookmarkStart w:id="17" w:name="bookmark16"/>
      <w:bookmarkStart w:id="18" w:name="bookmark17"/>
      <w:r>
        <w:t xml:space="preserve">Kupující stanovuje jako oprávněnou osobu pro jednání ve věcech provozních a technických </w:t>
      </w:r>
      <w:r w:rsidR="00E94F82">
        <w:t>XXXXXXXXX</w:t>
      </w:r>
      <w:r w:rsidRPr="00062940">
        <w:rPr>
          <w:color w:val="auto"/>
        </w:rPr>
        <w:t xml:space="preserve">, </w:t>
      </w:r>
    </w:p>
    <w:p w:rsidR="00C371F9" w:rsidRDefault="00000A6B" w:rsidP="00062940">
      <w:pPr>
        <w:pStyle w:val="Nadpis20"/>
        <w:keepNext/>
        <w:keepLines/>
        <w:shd w:val="clear" w:color="auto" w:fill="auto"/>
        <w:tabs>
          <w:tab w:val="left" w:pos="870"/>
        </w:tabs>
        <w:ind w:firstLine="0"/>
        <w:jc w:val="both"/>
      </w:pPr>
      <w:r w:rsidRPr="00062940">
        <w:rPr>
          <w:color w:val="auto"/>
        </w:rPr>
        <w:t>tel</w:t>
      </w:r>
      <w:r>
        <w:t xml:space="preserve">.: </w:t>
      </w:r>
      <w:r w:rsidR="00E94F82">
        <w:t>XXXXXXXXX</w:t>
      </w:r>
      <w:r>
        <w:t>, mobil</w:t>
      </w:r>
      <w:r w:rsidRPr="00062940">
        <w:rPr>
          <w:color w:val="auto"/>
        </w:rPr>
        <w:t xml:space="preserve">: </w:t>
      </w:r>
      <w:r w:rsidR="00E94F82">
        <w:t>XXXXXXXXX</w:t>
      </w:r>
      <w:r w:rsidRPr="00062940">
        <w:rPr>
          <w:color w:val="auto"/>
        </w:rPr>
        <w:t xml:space="preserve">, e-mail: </w:t>
      </w:r>
      <w:r w:rsidR="00E94F82">
        <w:t>XXXXXXXXX</w:t>
      </w:r>
      <w:r>
        <w:t>.</w:t>
      </w:r>
      <w:bookmarkEnd w:id="17"/>
      <w:bookmarkEnd w:id="18"/>
    </w:p>
    <w:p w:rsidR="00C371F9" w:rsidRDefault="00000A6B" w:rsidP="00062940">
      <w:pPr>
        <w:pStyle w:val="Nadpis20"/>
        <w:keepNext/>
        <w:keepLines/>
        <w:numPr>
          <w:ilvl w:val="1"/>
          <w:numId w:val="1"/>
        </w:numPr>
        <w:shd w:val="clear" w:color="auto" w:fill="auto"/>
        <w:tabs>
          <w:tab w:val="left" w:pos="870"/>
        </w:tabs>
        <w:ind w:left="0" w:firstLine="300"/>
      </w:pPr>
      <w:bookmarkStart w:id="19" w:name="bookmark18"/>
      <w:bookmarkStart w:id="20" w:name="bookmark19"/>
      <w:r>
        <w:t>Prodávající stanovuje jako oprávněnou osobu pro jednání ve věcech provozních a</w:t>
      </w:r>
      <w:bookmarkEnd w:id="19"/>
      <w:bookmarkEnd w:id="20"/>
    </w:p>
    <w:p w:rsidR="00062940" w:rsidRDefault="00000A6B" w:rsidP="00062940">
      <w:pPr>
        <w:pStyle w:val="Zkladntext1"/>
        <w:shd w:val="clear" w:color="auto" w:fill="auto"/>
        <w:tabs>
          <w:tab w:val="left" w:pos="6544"/>
          <w:tab w:val="left" w:pos="7250"/>
          <w:tab w:val="left" w:pos="7955"/>
        </w:tabs>
        <w:spacing w:after="0"/>
        <w:ind w:firstLine="880"/>
      </w:pPr>
      <w:bookmarkStart w:id="21" w:name="bookmark20"/>
      <w:r>
        <w:t xml:space="preserve">technických </w:t>
      </w:r>
      <w:r w:rsidR="00E94F82">
        <w:t>XXXXXXXXX</w:t>
      </w:r>
      <w:r>
        <w:t xml:space="preserve">, </w:t>
      </w:r>
    </w:p>
    <w:p w:rsidR="00C371F9" w:rsidRDefault="00000A6B" w:rsidP="00062940">
      <w:pPr>
        <w:pStyle w:val="Zkladntext1"/>
        <w:shd w:val="clear" w:color="auto" w:fill="auto"/>
        <w:tabs>
          <w:tab w:val="left" w:pos="6544"/>
          <w:tab w:val="left" w:pos="7250"/>
          <w:tab w:val="left" w:pos="7955"/>
        </w:tabs>
        <w:spacing w:after="0"/>
        <w:ind w:firstLine="880"/>
      </w:pPr>
      <w:r>
        <w:t xml:space="preserve">mobil: </w:t>
      </w:r>
      <w:r w:rsidR="00E94F82">
        <w:t>XXXXXXXXX</w:t>
      </w:r>
      <w:r>
        <w:t>, e-mail:</w:t>
      </w:r>
      <w:bookmarkEnd w:id="21"/>
      <w:r w:rsidR="00E94F82" w:rsidRPr="00E94F82">
        <w:t xml:space="preserve"> </w:t>
      </w:r>
      <w:r w:rsidR="00E94F82">
        <w:t>XXXXXXXXX</w:t>
      </w:r>
    </w:p>
    <w:p w:rsidR="008D11EC" w:rsidRDefault="008D11EC" w:rsidP="00062940">
      <w:pPr>
        <w:pStyle w:val="Zkladntext1"/>
        <w:shd w:val="clear" w:color="auto" w:fill="auto"/>
        <w:tabs>
          <w:tab w:val="left" w:pos="6544"/>
          <w:tab w:val="left" w:pos="7250"/>
          <w:tab w:val="left" w:pos="7955"/>
        </w:tabs>
        <w:spacing w:after="0"/>
        <w:ind w:firstLine="880"/>
      </w:pPr>
    </w:p>
    <w:p w:rsidR="00C371F9" w:rsidRDefault="00000A6B">
      <w:pPr>
        <w:pStyle w:val="Nadpis20"/>
        <w:keepNext/>
        <w:keepLines/>
        <w:numPr>
          <w:ilvl w:val="1"/>
          <w:numId w:val="1"/>
        </w:numPr>
        <w:shd w:val="clear" w:color="auto" w:fill="auto"/>
        <w:tabs>
          <w:tab w:val="left" w:pos="870"/>
        </w:tabs>
        <w:jc w:val="both"/>
      </w:pPr>
      <w:bookmarkStart w:id="22" w:name="bookmark22"/>
      <w:bookmarkStart w:id="23" w:name="bookmark23"/>
      <w:r>
        <w:t>Místem plnění je Ústřední inspektorát Státní zemědělské a potravinářské inspekce, Květná 15, 603 00 Brno, místnost 322.</w:t>
      </w:r>
      <w:bookmarkEnd w:id="22"/>
      <w:bookmarkEnd w:id="23"/>
    </w:p>
    <w:p w:rsidR="00C371F9" w:rsidRDefault="00000A6B">
      <w:pPr>
        <w:pStyle w:val="Nadpis20"/>
        <w:keepNext/>
        <w:keepLines/>
        <w:numPr>
          <w:ilvl w:val="1"/>
          <w:numId w:val="1"/>
        </w:numPr>
        <w:shd w:val="clear" w:color="auto" w:fill="auto"/>
        <w:tabs>
          <w:tab w:val="left" w:pos="870"/>
        </w:tabs>
        <w:spacing w:after="360"/>
        <w:ind w:left="0" w:firstLine="300"/>
      </w:pPr>
      <w:bookmarkStart w:id="24" w:name="bookmark24"/>
      <w:bookmarkStart w:id="25" w:name="bookmark25"/>
      <w:r>
        <w:t>Dopravu zajišťuje prodávající na své náklady.</w:t>
      </w:r>
      <w:bookmarkEnd w:id="24"/>
      <w:bookmarkEnd w:id="25"/>
    </w:p>
    <w:p w:rsidR="00C371F9" w:rsidRDefault="00000A6B">
      <w:pPr>
        <w:pStyle w:val="Nadpis10"/>
        <w:keepNext/>
        <w:keepLines/>
        <w:numPr>
          <w:ilvl w:val="0"/>
          <w:numId w:val="1"/>
        </w:numPr>
        <w:shd w:val="clear" w:color="auto" w:fill="auto"/>
        <w:tabs>
          <w:tab w:val="left" w:pos="566"/>
        </w:tabs>
        <w:spacing w:line="240" w:lineRule="auto"/>
      </w:pPr>
      <w:bookmarkStart w:id="26" w:name="bookmark26"/>
      <w:bookmarkStart w:id="27" w:name="bookmark27"/>
      <w:r>
        <w:t>Kupní cena</w:t>
      </w:r>
      <w:bookmarkEnd w:id="26"/>
      <w:bookmarkEnd w:id="27"/>
    </w:p>
    <w:p w:rsidR="00C371F9" w:rsidRDefault="00000A6B">
      <w:pPr>
        <w:pStyle w:val="Nadpis20"/>
        <w:keepNext/>
        <w:keepLines/>
        <w:numPr>
          <w:ilvl w:val="1"/>
          <w:numId w:val="1"/>
        </w:numPr>
        <w:shd w:val="clear" w:color="auto" w:fill="auto"/>
        <w:tabs>
          <w:tab w:val="left" w:pos="870"/>
        </w:tabs>
        <w:spacing w:after="320" w:line="240" w:lineRule="auto"/>
        <w:ind w:left="0" w:firstLine="300"/>
      </w:pPr>
      <w:bookmarkStart w:id="28" w:name="bookmark28"/>
      <w:bookmarkStart w:id="29" w:name="bookmark29"/>
      <w:r>
        <w:t>Kupní cena předmětu plnění je stanovena dohodou a činí v Kč:</w:t>
      </w:r>
      <w:bookmarkEnd w:id="28"/>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2750"/>
        <w:gridCol w:w="2242"/>
        <w:gridCol w:w="2414"/>
        <w:gridCol w:w="2347"/>
      </w:tblGrid>
      <w:tr w:rsidR="00C371F9">
        <w:trPr>
          <w:trHeight w:hRule="exact" w:val="442"/>
          <w:jc w:val="center"/>
        </w:trPr>
        <w:tc>
          <w:tcPr>
            <w:tcW w:w="2750" w:type="dxa"/>
            <w:tcBorders>
              <w:top w:val="single" w:sz="4" w:space="0" w:color="auto"/>
              <w:left w:val="single" w:sz="4" w:space="0" w:color="auto"/>
            </w:tcBorders>
            <w:shd w:val="clear" w:color="auto" w:fill="DADADA"/>
          </w:tcPr>
          <w:p w:rsidR="00C371F9" w:rsidRDefault="00C371F9">
            <w:pPr>
              <w:rPr>
                <w:sz w:val="10"/>
                <w:szCs w:val="10"/>
              </w:rPr>
            </w:pPr>
          </w:p>
        </w:tc>
        <w:tc>
          <w:tcPr>
            <w:tcW w:w="2242" w:type="dxa"/>
            <w:tcBorders>
              <w:top w:val="single" w:sz="4" w:space="0" w:color="auto"/>
              <w:left w:val="single" w:sz="4" w:space="0" w:color="auto"/>
            </w:tcBorders>
            <w:shd w:val="clear" w:color="auto" w:fill="DADADA"/>
            <w:vAlign w:val="bottom"/>
          </w:tcPr>
          <w:p w:rsidR="00C371F9" w:rsidRDefault="00000A6B">
            <w:pPr>
              <w:pStyle w:val="Jin0"/>
              <w:shd w:val="clear" w:color="auto" w:fill="auto"/>
              <w:spacing w:after="0" w:line="240" w:lineRule="auto"/>
              <w:jc w:val="center"/>
            </w:pPr>
            <w:r>
              <w:rPr>
                <w:b/>
                <w:bCs/>
              </w:rPr>
              <w:t>Cena bez DPH</w:t>
            </w:r>
          </w:p>
        </w:tc>
        <w:tc>
          <w:tcPr>
            <w:tcW w:w="2414" w:type="dxa"/>
            <w:tcBorders>
              <w:top w:val="single" w:sz="4" w:space="0" w:color="auto"/>
              <w:left w:val="single" w:sz="4" w:space="0" w:color="auto"/>
            </w:tcBorders>
            <w:shd w:val="clear" w:color="auto" w:fill="DADADA"/>
            <w:vAlign w:val="bottom"/>
          </w:tcPr>
          <w:p w:rsidR="00C371F9" w:rsidRDefault="00000A6B">
            <w:pPr>
              <w:pStyle w:val="Jin0"/>
              <w:shd w:val="clear" w:color="auto" w:fill="auto"/>
              <w:spacing w:after="0" w:line="240" w:lineRule="auto"/>
              <w:jc w:val="center"/>
            </w:pPr>
            <w:r>
              <w:rPr>
                <w:b/>
                <w:bCs/>
              </w:rPr>
              <w:t>DPH (21 %)</w:t>
            </w:r>
          </w:p>
        </w:tc>
        <w:tc>
          <w:tcPr>
            <w:tcW w:w="2347" w:type="dxa"/>
            <w:tcBorders>
              <w:top w:val="single" w:sz="4" w:space="0" w:color="auto"/>
              <w:left w:val="single" w:sz="4" w:space="0" w:color="auto"/>
              <w:right w:val="single" w:sz="4" w:space="0" w:color="auto"/>
            </w:tcBorders>
            <w:shd w:val="clear" w:color="auto" w:fill="DADADA"/>
            <w:vAlign w:val="bottom"/>
          </w:tcPr>
          <w:p w:rsidR="00C371F9" w:rsidRDefault="00000A6B">
            <w:pPr>
              <w:pStyle w:val="Jin0"/>
              <w:shd w:val="clear" w:color="auto" w:fill="auto"/>
              <w:spacing w:after="0" w:line="240" w:lineRule="auto"/>
              <w:jc w:val="center"/>
            </w:pPr>
            <w:r>
              <w:rPr>
                <w:b/>
                <w:bCs/>
              </w:rPr>
              <w:t>Cena včetně DPH</w:t>
            </w:r>
          </w:p>
        </w:tc>
      </w:tr>
      <w:tr w:rsidR="00C371F9">
        <w:trPr>
          <w:trHeight w:hRule="exact" w:val="1080"/>
          <w:jc w:val="center"/>
        </w:trPr>
        <w:tc>
          <w:tcPr>
            <w:tcW w:w="2750" w:type="dxa"/>
            <w:tcBorders>
              <w:top w:val="single" w:sz="4" w:space="0" w:color="auto"/>
              <w:left w:val="single" w:sz="4" w:space="0" w:color="auto"/>
              <w:bottom w:val="single" w:sz="4" w:space="0" w:color="auto"/>
            </w:tcBorders>
            <w:shd w:val="clear" w:color="auto" w:fill="FFFFFF"/>
            <w:vAlign w:val="center"/>
          </w:tcPr>
          <w:p w:rsidR="00C371F9" w:rsidRDefault="00000A6B">
            <w:pPr>
              <w:pStyle w:val="Jin0"/>
              <w:shd w:val="clear" w:color="auto" w:fill="auto"/>
              <w:spacing w:after="0"/>
              <w:jc w:val="center"/>
            </w:pPr>
            <w:r>
              <w:t>Celková kupní cena za předmět Smlouvy (kap. 2)</w:t>
            </w:r>
          </w:p>
        </w:tc>
        <w:tc>
          <w:tcPr>
            <w:tcW w:w="2242" w:type="dxa"/>
            <w:tcBorders>
              <w:top w:val="single" w:sz="4" w:space="0" w:color="auto"/>
              <w:left w:val="single" w:sz="4" w:space="0" w:color="auto"/>
              <w:bottom w:val="single" w:sz="4" w:space="0" w:color="auto"/>
            </w:tcBorders>
            <w:shd w:val="clear" w:color="auto" w:fill="FFFFFF"/>
            <w:vAlign w:val="center"/>
          </w:tcPr>
          <w:p w:rsidR="00C371F9" w:rsidRDefault="00000A6B">
            <w:pPr>
              <w:pStyle w:val="Jin0"/>
              <w:shd w:val="clear" w:color="auto" w:fill="auto"/>
              <w:spacing w:after="0" w:line="240" w:lineRule="auto"/>
              <w:jc w:val="center"/>
            </w:pPr>
            <w:r>
              <w:t>3 305 000,00 Kč</w:t>
            </w:r>
          </w:p>
        </w:tc>
        <w:tc>
          <w:tcPr>
            <w:tcW w:w="2414" w:type="dxa"/>
            <w:tcBorders>
              <w:top w:val="single" w:sz="4" w:space="0" w:color="auto"/>
              <w:left w:val="single" w:sz="4" w:space="0" w:color="auto"/>
              <w:bottom w:val="single" w:sz="4" w:space="0" w:color="auto"/>
            </w:tcBorders>
            <w:shd w:val="clear" w:color="auto" w:fill="FFFFFF"/>
            <w:vAlign w:val="center"/>
          </w:tcPr>
          <w:p w:rsidR="00C371F9" w:rsidRDefault="00000A6B">
            <w:pPr>
              <w:pStyle w:val="Jin0"/>
              <w:shd w:val="clear" w:color="auto" w:fill="auto"/>
              <w:spacing w:after="0" w:line="240" w:lineRule="auto"/>
              <w:jc w:val="center"/>
            </w:pPr>
            <w:r>
              <w:t>694 050,00 Kč</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C371F9" w:rsidRDefault="00000A6B">
            <w:pPr>
              <w:pStyle w:val="Jin0"/>
              <w:shd w:val="clear" w:color="auto" w:fill="auto"/>
              <w:spacing w:after="0" w:line="240" w:lineRule="auto"/>
              <w:jc w:val="center"/>
            </w:pPr>
            <w:r>
              <w:t>3 999 050,00 Kč</w:t>
            </w:r>
          </w:p>
        </w:tc>
      </w:tr>
    </w:tbl>
    <w:p w:rsidR="00062940" w:rsidRDefault="00062940" w:rsidP="00062940">
      <w:pPr>
        <w:pStyle w:val="Zkladntext1"/>
        <w:shd w:val="clear" w:color="auto" w:fill="auto"/>
        <w:spacing w:after="0"/>
        <w:jc w:val="both"/>
      </w:pPr>
    </w:p>
    <w:p w:rsidR="00C371F9" w:rsidRDefault="00000A6B" w:rsidP="00062940">
      <w:pPr>
        <w:pStyle w:val="Zkladntext1"/>
        <w:shd w:val="clear" w:color="auto" w:fill="auto"/>
        <w:spacing w:after="0"/>
        <w:jc w:val="both"/>
      </w:pPr>
      <w:r>
        <w:t>Takto dohodnutá kupní cena je konečná a nejvýše přípustná a zahrnuje v sobě veškeré náklady související s plněním dle této Smlouvy (čl. 2.1., čl. 2.2. Smlouvy).</w:t>
      </w:r>
    </w:p>
    <w:p w:rsidR="00062940" w:rsidRDefault="00062940" w:rsidP="00062940">
      <w:pPr>
        <w:pStyle w:val="Zkladntext1"/>
        <w:shd w:val="clear" w:color="auto" w:fill="auto"/>
        <w:spacing w:after="0"/>
        <w:jc w:val="both"/>
      </w:pPr>
    </w:p>
    <w:p w:rsidR="00062940" w:rsidRDefault="00062940" w:rsidP="00062940">
      <w:pPr>
        <w:pStyle w:val="Zkladntext1"/>
        <w:shd w:val="clear" w:color="auto" w:fill="auto"/>
        <w:spacing w:after="0"/>
        <w:jc w:val="both"/>
      </w:pPr>
    </w:p>
    <w:p w:rsidR="00C371F9" w:rsidRDefault="00000A6B">
      <w:pPr>
        <w:pStyle w:val="Nadpis10"/>
        <w:keepNext/>
        <w:keepLines/>
        <w:numPr>
          <w:ilvl w:val="0"/>
          <w:numId w:val="1"/>
        </w:numPr>
        <w:shd w:val="clear" w:color="auto" w:fill="auto"/>
        <w:tabs>
          <w:tab w:val="left" w:pos="709"/>
        </w:tabs>
      </w:pPr>
      <w:bookmarkStart w:id="30" w:name="bookmark30"/>
      <w:bookmarkStart w:id="31" w:name="bookmark31"/>
      <w:r>
        <w:t>Platební podmínky</w:t>
      </w:r>
      <w:bookmarkEnd w:id="30"/>
      <w:bookmarkEnd w:id="31"/>
    </w:p>
    <w:p w:rsidR="000C60D6" w:rsidRDefault="000C60D6">
      <w:pPr>
        <w:pStyle w:val="Zkladntext1"/>
        <w:numPr>
          <w:ilvl w:val="1"/>
          <w:numId w:val="1"/>
        </w:numPr>
        <w:shd w:val="clear" w:color="auto" w:fill="auto"/>
        <w:tabs>
          <w:tab w:val="left" w:pos="866"/>
        </w:tabs>
        <w:ind w:left="880" w:hanging="580"/>
        <w:jc w:val="both"/>
      </w:pPr>
      <w:r>
        <w:t xml:space="preserve">Cena bude fakturována bezprostředně po dokončení veškerého plnění dle kap. 2 této Smlouvy a po předání předmětu plnění kupujícímu. O tom bude vyhotoven a oprávněnými </w:t>
      </w:r>
      <w:r>
        <w:lastRenderedPageBreak/>
        <w:t xml:space="preserve">zástupci obou smluvních stran této Smlouvy podepsán předávací protokol (čl. 3.3.), který bude podkladem k vystavení daňového dokladu (faktury). Daňový doklad musí obsahovat odkaz na číslo Smlouvy uvedené v záhlaví a dále náležitosti vyžadované příslušnými předpisy. Splatnost faktury je 30 dní od data doručení do datové schránky kupujícího: </w:t>
      </w:r>
      <w:proofErr w:type="spellStart"/>
      <w:r>
        <w:t>avraiqg</w:t>
      </w:r>
      <w:proofErr w:type="spellEnd"/>
      <w:r>
        <w:t xml:space="preserve"> nebo v elektronické podobě na adresu epodatelna@szpi.gov.cz.</w:t>
      </w:r>
    </w:p>
    <w:p w:rsidR="00C371F9" w:rsidRDefault="00000A6B">
      <w:pPr>
        <w:pStyle w:val="Zkladntext1"/>
        <w:numPr>
          <w:ilvl w:val="1"/>
          <w:numId w:val="1"/>
        </w:numPr>
        <w:shd w:val="clear" w:color="auto" w:fill="auto"/>
        <w:tabs>
          <w:tab w:val="left" w:pos="866"/>
        </w:tabs>
        <w:ind w:left="880" w:hanging="580"/>
        <w:jc w:val="both"/>
      </w:pPr>
      <w:r>
        <w:t>Bude-li faktura obsahovat nesprávné nebo neúplné údaje či náležitosti požadované podle této Smlouvy, je kupující oprávněn ji do data splatnosti vrátit prodávajícímu. Po opravě faktury předloží prodávající kupujícímu novou fakturu. Stejně tak, zjistí-li kupující před úhradou faktury u dodávky předmětu plnění či poskytování souvisejících plnění dle článku 2.2. této Smlouvy vad</w:t>
      </w:r>
      <w:r w:rsidR="004E6C8D">
        <w:t>u</w:t>
      </w:r>
      <w:r>
        <w:t>, je oprávněn prodávajícímu fakturu vrátit. Po odstranění vady nebo po jiném zániku odpovědnosti prodávajícího za vadu předloží prodávající kupujícímu novou fakturu. V takovém případě lhůta splatnosti neběží a začne běžet až doručením opravené faktury způsobem dle čl. 5.1. této Smlouvy.</w:t>
      </w:r>
    </w:p>
    <w:p w:rsidR="00C371F9" w:rsidRDefault="00000A6B">
      <w:pPr>
        <w:pStyle w:val="Zkladntext1"/>
        <w:numPr>
          <w:ilvl w:val="1"/>
          <w:numId w:val="1"/>
        </w:numPr>
        <w:shd w:val="clear" w:color="auto" w:fill="auto"/>
        <w:tabs>
          <w:tab w:val="left" w:pos="866"/>
        </w:tabs>
        <w:ind w:left="880" w:hanging="580"/>
        <w:jc w:val="both"/>
      </w:pPr>
      <w:r>
        <w:t>Přílohou daňového dokladu (faktury) musí být předávací protokol vypracovaný v souladu s čl. 3.3. této Smlouvy.</w:t>
      </w:r>
    </w:p>
    <w:p w:rsidR="00C371F9" w:rsidRDefault="00000A6B" w:rsidP="00E276B8">
      <w:pPr>
        <w:pStyle w:val="Zkladntext1"/>
        <w:numPr>
          <w:ilvl w:val="1"/>
          <w:numId w:val="1"/>
        </w:numPr>
        <w:shd w:val="clear" w:color="auto" w:fill="auto"/>
        <w:tabs>
          <w:tab w:val="left" w:pos="866"/>
        </w:tabs>
        <w:spacing w:after="0"/>
        <w:ind w:left="880" w:hanging="580"/>
        <w:jc w:val="both"/>
      </w:pPr>
      <w:r>
        <w:t>Platba faktury bude kupujícím provedena bezhotovostním převodem na účet prodávajícího uvedený v záhlaví této Smlouvy.</w:t>
      </w:r>
    </w:p>
    <w:p w:rsidR="00E276B8" w:rsidRDefault="00E276B8" w:rsidP="00E276B8">
      <w:pPr>
        <w:pStyle w:val="Zkladntext1"/>
        <w:shd w:val="clear" w:color="auto" w:fill="auto"/>
        <w:tabs>
          <w:tab w:val="left" w:pos="866"/>
        </w:tabs>
        <w:spacing w:after="0"/>
        <w:ind w:left="880"/>
        <w:jc w:val="both"/>
      </w:pPr>
    </w:p>
    <w:p w:rsidR="00C371F9" w:rsidRDefault="00000A6B" w:rsidP="00E276B8">
      <w:pPr>
        <w:pStyle w:val="Nadpis10"/>
        <w:keepNext/>
        <w:keepLines/>
        <w:numPr>
          <w:ilvl w:val="0"/>
          <w:numId w:val="1"/>
        </w:numPr>
        <w:shd w:val="clear" w:color="auto" w:fill="auto"/>
        <w:tabs>
          <w:tab w:val="left" w:pos="709"/>
        </w:tabs>
        <w:spacing w:after="0"/>
      </w:pPr>
      <w:bookmarkStart w:id="32" w:name="bookmark32"/>
      <w:bookmarkStart w:id="33" w:name="bookmark33"/>
      <w:r>
        <w:t>Přechod vlastnictví a nebezpečí škody</w:t>
      </w:r>
      <w:bookmarkEnd w:id="32"/>
      <w:bookmarkEnd w:id="33"/>
    </w:p>
    <w:p w:rsidR="00E276B8" w:rsidRDefault="00E276B8" w:rsidP="00E276B8">
      <w:pPr>
        <w:pStyle w:val="Nadpis10"/>
        <w:keepNext/>
        <w:keepLines/>
        <w:shd w:val="clear" w:color="auto" w:fill="auto"/>
        <w:tabs>
          <w:tab w:val="left" w:pos="709"/>
        </w:tabs>
        <w:spacing w:after="0"/>
        <w:jc w:val="left"/>
      </w:pPr>
    </w:p>
    <w:p w:rsidR="00C371F9" w:rsidRDefault="00000A6B">
      <w:pPr>
        <w:pStyle w:val="Nadpis20"/>
        <w:keepNext/>
        <w:keepLines/>
        <w:numPr>
          <w:ilvl w:val="1"/>
          <w:numId w:val="1"/>
        </w:numPr>
        <w:shd w:val="clear" w:color="auto" w:fill="auto"/>
        <w:tabs>
          <w:tab w:val="left" w:pos="866"/>
        </w:tabs>
        <w:jc w:val="both"/>
      </w:pPr>
      <w:bookmarkStart w:id="34" w:name="bookmark34"/>
      <w:bookmarkStart w:id="35" w:name="bookmark35"/>
      <w:r>
        <w:t>Vlastnické právo k předmětu plnění, specifikovanému v čl. 2.1 a v Příloze č. 1 této Smlouvy, přechází na kupujícího v okamžiku jeho zaplacení dle kap. 5 této Smlouvy, a to i v případě začlenění předmětu plnění do systému, který je majetkem kupujícího.</w:t>
      </w:r>
      <w:bookmarkEnd w:id="34"/>
      <w:bookmarkEnd w:id="35"/>
    </w:p>
    <w:p w:rsidR="00C371F9" w:rsidRDefault="00000A6B">
      <w:pPr>
        <w:pStyle w:val="Nadpis20"/>
        <w:keepNext/>
        <w:keepLines/>
        <w:numPr>
          <w:ilvl w:val="1"/>
          <w:numId w:val="1"/>
        </w:numPr>
        <w:shd w:val="clear" w:color="auto" w:fill="auto"/>
        <w:tabs>
          <w:tab w:val="left" w:pos="866"/>
        </w:tabs>
        <w:jc w:val="both"/>
      </w:pPr>
      <w:bookmarkStart w:id="36" w:name="bookmark36"/>
      <w:bookmarkStart w:id="37" w:name="bookmark37"/>
      <w:r>
        <w:t>Předmět plnění bude předáván tak, aby byl dodržen termín plnění uvedený v článku 3.1 této Smlouvy. Předání bude potvrzeno podpisem předávacího protokolu.</w:t>
      </w:r>
      <w:bookmarkEnd w:id="36"/>
      <w:bookmarkEnd w:id="37"/>
    </w:p>
    <w:p w:rsidR="00C371F9" w:rsidRDefault="00000A6B">
      <w:pPr>
        <w:pStyle w:val="Nadpis20"/>
        <w:keepNext/>
        <w:keepLines/>
        <w:numPr>
          <w:ilvl w:val="1"/>
          <w:numId w:val="1"/>
        </w:numPr>
        <w:shd w:val="clear" w:color="auto" w:fill="auto"/>
        <w:tabs>
          <w:tab w:val="left" w:pos="866"/>
        </w:tabs>
        <w:spacing w:after="340"/>
        <w:jc w:val="both"/>
      </w:pPr>
      <w:bookmarkStart w:id="38" w:name="bookmark38"/>
      <w:bookmarkStart w:id="39" w:name="bookmark39"/>
      <w:r>
        <w:t>Nebezpečí vzniku nahodilé škody na předmětu plnění přechází na kupujícího okamžikem převzetí předmětu plnění.</w:t>
      </w:r>
      <w:bookmarkEnd w:id="38"/>
      <w:bookmarkEnd w:id="39"/>
    </w:p>
    <w:p w:rsidR="00C371F9" w:rsidRDefault="00000A6B">
      <w:pPr>
        <w:pStyle w:val="Nadpis10"/>
        <w:keepNext/>
        <w:keepLines/>
        <w:numPr>
          <w:ilvl w:val="0"/>
          <w:numId w:val="1"/>
        </w:numPr>
        <w:shd w:val="clear" w:color="auto" w:fill="auto"/>
        <w:tabs>
          <w:tab w:val="left" w:pos="709"/>
        </w:tabs>
      </w:pPr>
      <w:bookmarkStart w:id="40" w:name="bookmark40"/>
      <w:bookmarkStart w:id="41" w:name="bookmark41"/>
      <w:r>
        <w:t>Odpovědnost za vady, záruka</w:t>
      </w:r>
      <w:bookmarkEnd w:id="40"/>
      <w:bookmarkEnd w:id="41"/>
    </w:p>
    <w:p w:rsidR="00C371F9" w:rsidRDefault="00000A6B">
      <w:pPr>
        <w:pStyle w:val="Zkladntext1"/>
        <w:numPr>
          <w:ilvl w:val="1"/>
          <w:numId w:val="1"/>
        </w:numPr>
        <w:shd w:val="clear" w:color="auto" w:fill="auto"/>
        <w:tabs>
          <w:tab w:val="left" w:pos="866"/>
        </w:tabs>
        <w:spacing w:after="0"/>
        <w:ind w:left="880" w:hanging="580"/>
        <w:jc w:val="both"/>
      </w:pPr>
      <w:bookmarkStart w:id="42" w:name="bookmark42"/>
      <w:r>
        <w:t>Prodávající odpovídá kupujícímu za vady předmětu plnění podle ustanovení občanského zákoníku. Vedle toho prodávající poskytuje záruku garantovanou výrobcem; prodávající se zaručuje, že předmět plnění bude po dobu záruční doby způsobilý k užívání pro účel, ke kterému je určen, bez jakýchkoliv vad, včetně právních vad. Dále se prodávající zaručuje, že předmět plnění bude mít vlastnosti určené dle této Smlouvy, a nevyplývají-li požadované vlastnosti z této Smlouvy, pak obvyklé vlastnosti,</w:t>
      </w:r>
      <w:bookmarkEnd w:id="42"/>
      <w:r>
        <w:t xml:space="preserve"> a že bude kompletní a bez vad, včetně právních vad. Záruční doba činí 60 měsíců a běží ode dne předání a převzetí předmětu plnění.</w:t>
      </w:r>
    </w:p>
    <w:p w:rsidR="00C371F9" w:rsidRDefault="00000A6B">
      <w:pPr>
        <w:pStyle w:val="Nadpis20"/>
        <w:keepNext/>
        <w:keepLines/>
        <w:numPr>
          <w:ilvl w:val="1"/>
          <w:numId w:val="1"/>
        </w:numPr>
        <w:shd w:val="clear" w:color="auto" w:fill="auto"/>
        <w:tabs>
          <w:tab w:val="left" w:pos="870"/>
        </w:tabs>
        <w:jc w:val="both"/>
      </w:pPr>
      <w:bookmarkStart w:id="43" w:name="bookmark43"/>
      <w:bookmarkStart w:id="44" w:name="bookmark44"/>
      <w:r>
        <w:t>Předmět plnění má vadu, neodpovídá-li této Smlouvě. Za vadu se považuje každá vada, tj. i vada, která se vyskytla opakovaně.</w:t>
      </w:r>
      <w:bookmarkEnd w:id="43"/>
      <w:bookmarkEnd w:id="44"/>
    </w:p>
    <w:p w:rsidR="00C371F9" w:rsidRDefault="00000A6B">
      <w:pPr>
        <w:pStyle w:val="Zkladntext1"/>
        <w:numPr>
          <w:ilvl w:val="1"/>
          <w:numId w:val="1"/>
        </w:numPr>
        <w:shd w:val="clear" w:color="auto" w:fill="auto"/>
        <w:tabs>
          <w:tab w:val="left" w:pos="870"/>
        </w:tabs>
        <w:spacing w:after="0"/>
        <w:ind w:left="880" w:hanging="580"/>
        <w:jc w:val="both"/>
      </w:pPr>
      <w:bookmarkStart w:id="45" w:name="bookmark45"/>
      <w:r>
        <w:t>Prodávající neodpovídá za vady způsobené neodbornou údržbou nebo obsluhou prováděnou v rozporu s provozními předpisy nebo návody k obsluze. Kupující nemá právo ze záruky v případě neoprávněného zásahu do předmětu plnění. Záruka se dále nevztahuje na odstraňování vad, které vznikly mechanickým poškozením předmětu plnění, běžným opotřebením, případně z důvodů vyšší moci.</w:t>
      </w:r>
      <w:bookmarkEnd w:id="45"/>
    </w:p>
    <w:p w:rsidR="00C371F9" w:rsidRDefault="00000A6B">
      <w:pPr>
        <w:pStyle w:val="Nadpis20"/>
        <w:keepNext/>
        <w:keepLines/>
        <w:numPr>
          <w:ilvl w:val="1"/>
          <w:numId w:val="1"/>
        </w:numPr>
        <w:shd w:val="clear" w:color="auto" w:fill="auto"/>
        <w:tabs>
          <w:tab w:val="left" w:pos="870"/>
        </w:tabs>
        <w:jc w:val="both"/>
      </w:pPr>
      <w:bookmarkStart w:id="46" w:name="bookmark46"/>
      <w:bookmarkStart w:id="47" w:name="bookmark47"/>
      <w:r>
        <w:lastRenderedPageBreak/>
        <w:t>Kupující je oprávněn vady písemně reklamovat u prodávajícího kdykoliv v průběhu záruční doby. Proti reklamaci kupujícího není prodávající oprávněn uplatnit námitku, že kupující nesplnil včas svoji povinnost oznámit vady. Reklamaci lze uplatnit nejpozději do posledního dne záruční doby.</w:t>
      </w:r>
      <w:bookmarkEnd w:id="46"/>
      <w:bookmarkEnd w:id="47"/>
    </w:p>
    <w:p w:rsidR="00C371F9" w:rsidRDefault="00000A6B">
      <w:pPr>
        <w:pStyle w:val="Nadpis20"/>
        <w:keepNext/>
        <w:keepLines/>
        <w:numPr>
          <w:ilvl w:val="1"/>
          <w:numId w:val="1"/>
        </w:numPr>
        <w:shd w:val="clear" w:color="auto" w:fill="auto"/>
        <w:tabs>
          <w:tab w:val="left" w:pos="870"/>
        </w:tabs>
        <w:jc w:val="both"/>
      </w:pPr>
      <w:bookmarkStart w:id="48" w:name="bookmark48"/>
      <w:bookmarkStart w:id="49" w:name="bookmark49"/>
      <w:r>
        <w:t>V reklamaci musí být vady popsány a uvedeno, jak se projevují. Dále v reklamaci kupující uvede, jakým způsobem požaduje zjednat nápravu. Kupující má právo na:</w:t>
      </w:r>
      <w:bookmarkEnd w:id="48"/>
      <w:bookmarkEnd w:id="49"/>
    </w:p>
    <w:p w:rsidR="00C371F9" w:rsidRDefault="00000A6B">
      <w:pPr>
        <w:pStyle w:val="Zkladntext1"/>
        <w:numPr>
          <w:ilvl w:val="0"/>
          <w:numId w:val="2"/>
        </w:numPr>
        <w:shd w:val="clear" w:color="auto" w:fill="auto"/>
        <w:tabs>
          <w:tab w:val="left" w:pos="1420"/>
        </w:tabs>
        <w:ind w:firstLine="880"/>
      </w:pPr>
      <w:r>
        <w:t>bezplatné odstranění vady dodáním náhradního plnění,</w:t>
      </w:r>
    </w:p>
    <w:p w:rsidR="00C371F9" w:rsidRDefault="00000A6B">
      <w:pPr>
        <w:pStyle w:val="Zkladntext1"/>
        <w:numPr>
          <w:ilvl w:val="0"/>
          <w:numId w:val="2"/>
        </w:numPr>
        <w:shd w:val="clear" w:color="auto" w:fill="auto"/>
        <w:tabs>
          <w:tab w:val="left" w:pos="1420"/>
        </w:tabs>
        <w:ind w:firstLine="880"/>
      </w:pPr>
      <w:r>
        <w:t>bezplatné odstranění vady opravou,</w:t>
      </w:r>
    </w:p>
    <w:p w:rsidR="00C371F9" w:rsidRDefault="00000A6B">
      <w:pPr>
        <w:pStyle w:val="Zkladntext1"/>
        <w:numPr>
          <w:ilvl w:val="0"/>
          <w:numId w:val="2"/>
        </w:numPr>
        <w:shd w:val="clear" w:color="auto" w:fill="auto"/>
        <w:tabs>
          <w:tab w:val="left" w:pos="1420"/>
        </w:tabs>
        <w:ind w:firstLine="880"/>
      </w:pPr>
      <w:r>
        <w:t>přiměřenou slevu ze sjednané ceny,</w:t>
      </w:r>
    </w:p>
    <w:p w:rsidR="00C371F9" w:rsidRDefault="00000A6B">
      <w:pPr>
        <w:pStyle w:val="Zkladntext1"/>
        <w:numPr>
          <w:ilvl w:val="0"/>
          <w:numId w:val="2"/>
        </w:numPr>
        <w:shd w:val="clear" w:color="auto" w:fill="auto"/>
        <w:tabs>
          <w:tab w:val="left" w:pos="1420"/>
        </w:tabs>
        <w:ind w:firstLine="880"/>
      </w:pPr>
      <w:r>
        <w:t>odstoupení od Smlouvy.</w:t>
      </w:r>
    </w:p>
    <w:p w:rsidR="00C371F9" w:rsidRDefault="00000A6B">
      <w:pPr>
        <w:pStyle w:val="Zkladntext1"/>
        <w:shd w:val="clear" w:color="auto" w:fill="auto"/>
        <w:ind w:left="880"/>
      </w:pPr>
      <w:r>
        <w:t>Kupující je oprávněn změnit volbu práva uvedeného výše, pokud žádal opravu vady, která se ukáže jako neopravitelná.</w:t>
      </w:r>
    </w:p>
    <w:p w:rsidR="00C371F9" w:rsidRDefault="00000A6B">
      <w:pPr>
        <w:pStyle w:val="Zkladntext1"/>
        <w:shd w:val="clear" w:color="auto" w:fill="auto"/>
        <w:ind w:firstLine="880"/>
      </w:pPr>
      <w:r>
        <w:t>Prodávající je povinen postupovat podle zvoleného práva kupujícího.</w:t>
      </w:r>
    </w:p>
    <w:p w:rsidR="00C371F9" w:rsidRDefault="00000A6B">
      <w:pPr>
        <w:pStyle w:val="Zkladntext1"/>
        <w:numPr>
          <w:ilvl w:val="1"/>
          <w:numId w:val="1"/>
        </w:numPr>
        <w:shd w:val="clear" w:color="auto" w:fill="auto"/>
        <w:tabs>
          <w:tab w:val="left" w:pos="870"/>
        </w:tabs>
        <w:ind w:left="880" w:hanging="580"/>
        <w:jc w:val="both"/>
      </w:pPr>
      <w:r>
        <w:t xml:space="preserve">Kupující je oprávněn písemně uplatňovat reklamace u prodávajícího e-mailem na adrese: </w:t>
      </w:r>
      <w:r w:rsidR="008D11EC">
        <w:t xml:space="preserve">XXXXXXXXX </w:t>
      </w:r>
      <w:r>
        <w:t xml:space="preserve">nebo telefonicky: </w:t>
      </w:r>
      <w:r w:rsidR="008D11EC">
        <w:t>XXXXXXXXX</w:t>
      </w:r>
      <w:r>
        <w:t>.</w:t>
      </w:r>
    </w:p>
    <w:p w:rsidR="00C371F9" w:rsidRDefault="00000A6B" w:rsidP="00EB3E1F">
      <w:pPr>
        <w:pStyle w:val="Zkladntext1"/>
        <w:numPr>
          <w:ilvl w:val="1"/>
          <w:numId w:val="1"/>
        </w:numPr>
        <w:shd w:val="clear" w:color="auto" w:fill="auto"/>
        <w:tabs>
          <w:tab w:val="left" w:pos="870"/>
        </w:tabs>
        <w:ind w:left="880" w:hanging="580"/>
        <w:jc w:val="both"/>
      </w:pPr>
      <w:r>
        <w:t>Prodávající poskytuje servisní podporu v době trvání záruční doby,</w:t>
      </w:r>
      <w:r w:rsidR="00EB3E1F">
        <w:t xml:space="preserve"> a to pro diskové pole</w:t>
      </w:r>
      <w:r>
        <w:t xml:space="preserve"> pokrytí 24 hodin 7 dní v týdnu. Každou vadu je prodávající povinen odstranit nejpozději do 24 hodin od nahlášení vady prodávajícímu, a to včetně poskytnutí SW podpory, která umožňuje přístup k novým verzím FW, opravným patchům atd., pokud se smluvní strany nedohodnou jinak.</w:t>
      </w:r>
      <w:r w:rsidR="00EB3E1F">
        <w:t xml:space="preserve"> Servisní podporu pro FC SAN switche prodávající poskytuje v době trvání záruční doby, pokrytí NBD. Podrobnosti jsou uvedeny v Příloze č. 1 a v Příloze č. 2 této Smlouvy.</w:t>
      </w:r>
    </w:p>
    <w:p w:rsidR="00C371F9" w:rsidRDefault="00000A6B">
      <w:pPr>
        <w:pStyle w:val="Zkladntext1"/>
        <w:numPr>
          <w:ilvl w:val="1"/>
          <w:numId w:val="1"/>
        </w:numPr>
        <w:shd w:val="clear" w:color="auto" w:fill="auto"/>
        <w:tabs>
          <w:tab w:val="left" w:pos="870"/>
        </w:tabs>
        <w:ind w:left="880" w:hanging="580"/>
        <w:jc w:val="both"/>
      </w:pPr>
      <w:r>
        <w:t>O odstranění reklamované vady prodávající sepíše zápis, ve kterém kupující buď potvrdí odstranění vady, nebo uvede důvody, pro které odmítá nabízené řešení převzít. Vada je odstraněna podepsáním zápisu, ve kterém kupující potvrdí odstranění vady.</w:t>
      </w:r>
    </w:p>
    <w:p w:rsidR="000C60D6" w:rsidRDefault="00000A6B" w:rsidP="00F13DFA">
      <w:pPr>
        <w:pStyle w:val="Zkladntext1"/>
        <w:numPr>
          <w:ilvl w:val="1"/>
          <w:numId w:val="1"/>
        </w:numPr>
        <w:shd w:val="clear" w:color="auto" w:fill="auto"/>
        <w:tabs>
          <w:tab w:val="left" w:pos="870"/>
        </w:tabs>
        <w:spacing w:before="240" w:after="0"/>
        <w:ind w:left="880" w:hanging="580"/>
        <w:jc w:val="both"/>
      </w:pPr>
      <w:r>
        <w:t xml:space="preserve">Záruční doba neběží po dobu, po kterou kupující nemohl předmět plnění užívat z důvodu vady </w:t>
      </w:r>
      <w:r w:rsidR="00EB3E1F">
        <w:t>předmětu plnění</w:t>
      </w:r>
      <w:r>
        <w:t>.</w:t>
      </w:r>
    </w:p>
    <w:p w:rsidR="000C60D6" w:rsidRDefault="00000A6B" w:rsidP="00E276B8">
      <w:pPr>
        <w:pStyle w:val="Nadpis10"/>
        <w:keepNext/>
        <w:keepLines/>
        <w:numPr>
          <w:ilvl w:val="0"/>
          <w:numId w:val="1"/>
        </w:numPr>
        <w:shd w:val="clear" w:color="auto" w:fill="auto"/>
        <w:tabs>
          <w:tab w:val="left" w:pos="662"/>
        </w:tabs>
        <w:spacing w:before="240" w:after="0"/>
      </w:pPr>
      <w:bookmarkStart w:id="50" w:name="bookmark50"/>
      <w:bookmarkStart w:id="51" w:name="bookmark51"/>
      <w:r>
        <w:t>Smluvní pokuta</w:t>
      </w:r>
      <w:bookmarkEnd w:id="50"/>
      <w:bookmarkEnd w:id="51"/>
    </w:p>
    <w:p w:rsidR="00C371F9" w:rsidRDefault="00000A6B" w:rsidP="000C60D6">
      <w:pPr>
        <w:pStyle w:val="Nadpis20"/>
        <w:keepNext/>
        <w:keepLines/>
        <w:numPr>
          <w:ilvl w:val="1"/>
          <w:numId w:val="1"/>
        </w:numPr>
        <w:shd w:val="clear" w:color="auto" w:fill="auto"/>
        <w:tabs>
          <w:tab w:val="left" w:pos="870"/>
        </w:tabs>
        <w:spacing w:before="240"/>
        <w:ind w:left="0" w:firstLine="300"/>
        <w:jc w:val="both"/>
      </w:pPr>
      <w:bookmarkStart w:id="52" w:name="bookmark52"/>
      <w:bookmarkStart w:id="53" w:name="bookmark53"/>
      <w:r>
        <w:t>V případě, že prodávající bude v prodlení se splněním svého závazku uvedeného v čl.</w:t>
      </w:r>
      <w:bookmarkEnd w:id="52"/>
      <w:bookmarkEnd w:id="53"/>
    </w:p>
    <w:p w:rsidR="00C371F9" w:rsidRDefault="00000A6B">
      <w:pPr>
        <w:pStyle w:val="Zkladntext1"/>
        <w:numPr>
          <w:ilvl w:val="0"/>
          <w:numId w:val="3"/>
        </w:numPr>
        <w:shd w:val="clear" w:color="auto" w:fill="auto"/>
        <w:tabs>
          <w:tab w:val="left" w:pos="1450"/>
        </w:tabs>
        <w:ind w:left="880"/>
        <w:jc w:val="both"/>
      </w:pPr>
      <w:bookmarkStart w:id="54" w:name="bookmark54"/>
      <w:r>
        <w:t>této Smlouvy, a to dodat předmět plnění dle článku 2 této Smlouvy a dle Přílohy č. 1 nejpozději do 70 dnů od účinnosti Smlouvy, zavazuje se prodávající uhradit kupujícímu smluvní pokutu ve výši 0,05 % z celkové kupní ceny včetně DPH (uvedené v článku 4.1. této Smlouvy) za každý, i započatý den prodlení.</w:t>
      </w:r>
      <w:bookmarkEnd w:id="54"/>
    </w:p>
    <w:p w:rsidR="00C371F9" w:rsidRDefault="00000A6B">
      <w:pPr>
        <w:pStyle w:val="Nadpis20"/>
        <w:keepNext/>
        <w:keepLines/>
        <w:numPr>
          <w:ilvl w:val="1"/>
          <w:numId w:val="1"/>
        </w:numPr>
        <w:shd w:val="clear" w:color="auto" w:fill="auto"/>
        <w:tabs>
          <w:tab w:val="left" w:pos="852"/>
        </w:tabs>
        <w:ind w:left="0" w:firstLine="300"/>
      </w:pPr>
      <w:bookmarkStart w:id="55" w:name="bookmark55"/>
      <w:bookmarkStart w:id="56" w:name="bookmark56"/>
      <w:r>
        <w:t>Smluvní pokuta je splatná bez zbytečného odkladu na základě výzvy kupujícího.</w:t>
      </w:r>
      <w:bookmarkEnd w:id="55"/>
      <w:bookmarkEnd w:id="56"/>
    </w:p>
    <w:p w:rsidR="00C371F9" w:rsidRDefault="00000A6B" w:rsidP="00E276B8">
      <w:pPr>
        <w:pStyle w:val="Zkladntext1"/>
        <w:numPr>
          <w:ilvl w:val="1"/>
          <w:numId w:val="1"/>
        </w:numPr>
        <w:shd w:val="clear" w:color="auto" w:fill="auto"/>
        <w:tabs>
          <w:tab w:val="left" w:pos="852"/>
        </w:tabs>
        <w:spacing w:after="0"/>
        <w:ind w:left="880" w:hanging="580"/>
        <w:jc w:val="both"/>
      </w:pPr>
      <w:r>
        <w:t>V případě, že prodlení prodávajícího bude zapříčiněno kupujícím nebo z jiných závažných důvodů písemně odsouhlasených oběma smluvními stranami, nevzniká kupujícímu nárok na zaplacení smluvní pokuty. Při podpisu Smlouvy sjednávají smluvní strany, že závažnými důvody ve smyslu předchozí věty jsou zejména živelná pohroma, zásah vyšší moci, neposkytnutí potřebné součinnosti kupujícím, nutnost provedení prací, které ani prodávající, ani kupující s vynaložením odborných znalostí nemohl předem předpokládat; tímto ujednáním není dotčeno právo smluvních stran sjednat i další závažné důvody liberace.</w:t>
      </w:r>
    </w:p>
    <w:p w:rsidR="00E276B8" w:rsidRDefault="00E276B8" w:rsidP="00E276B8">
      <w:pPr>
        <w:pStyle w:val="Zkladntext1"/>
        <w:shd w:val="clear" w:color="auto" w:fill="auto"/>
        <w:tabs>
          <w:tab w:val="left" w:pos="852"/>
        </w:tabs>
        <w:spacing w:after="0"/>
        <w:ind w:left="880"/>
        <w:jc w:val="both"/>
      </w:pPr>
    </w:p>
    <w:p w:rsidR="00C371F9" w:rsidRDefault="00000A6B" w:rsidP="00E276B8">
      <w:pPr>
        <w:pStyle w:val="Nadpis10"/>
        <w:keepNext/>
        <w:keepLines/>
        <w:numPr>
          <w:ilvl w:val="0"/>
          <w:numId w:val="1"/>
        </w:numPr>
        <w:shd w:val="clear" w:color="auto" w:fill="auto"/>
        <w:tabs>
          <w:tab w:val="left" w:pos="658"/>
        </w:tabs>
        <w:spacing w:after="0"/>
      </w:pPr>
      <w:bookmarkStart w:id="57" w:name="bookmark57"/>
      <w:bookmarkStart w:id="58" w:name="bookmark58"/>
      <w:r>
        <w:lastRenderedPageBreak/>
        <w:t>Platnost, odstoupení a zánik Smlouvy</w:t>
      </w:r>
      <w:bookmarkEnd w:id="57"/>
      <w:bookmarkEnd w:id="58"/>
    </w:p>
    <w:p w:rsidR="00E276B8" w:rsidRDefault="00E276B8" w:rsidP="00E276B8">
      <w:pPr>
        <w:pStyle w:val="Nadpis10"/>
        <w:keepNext/>
        <w:keepLines/>
        <w:shd w:val="clear" w:color="auto" w:fill="auto"/>
        <w:tabs>
          <w:tab w:val="left" w:pos="658"/>
        </w:tabs>
        <w:spacing w:after="0"/>
        <w:jc w:val="left"/>
      </w:pPr>
    </w:p>
    <w:p w:rsidR="00C371F9" w:rsidRDefault="00000A6B">
      <w:pPr>
        <w:pStyle w:val="Zkladntext1"/>
        <w:numPr>
          <w:ilvl w:val="1"/>
          <w:numId w:val="1"/>
        </w:numPr>
        <w:shd w:val="clear" w:color="auto" w:fill="auto"/>
        <w:tabs>
          <w:tab w:val="left" w:pos="852"/>
        </w:tabs>
        <w:ind w:left="880" w:hanging="580"/>
        <w:jc w:val="both"/>
      </w:pPr>
      <w:r>
        <w:t>Tato Smlouva nabývá platnosti dnem podpisu oprávněných zástupců obou smluvních stran a účinnosti dnem jejího uveřejnění v registru smluv dle zákona č. 340/2015 Sb., o zvláštních podmínkách účinnosti některých smluv, uveřejňování těchto smluv a o registru smluv, ve znění pozdějších předpisů (dále „zákon o registru smluv“). Uveřejnění smlouvy provede kupující ve lhůtě stanovené zákonem o registru smluv; o uveřejnění kupující prodávajícího informuje.</w:t>
      </w:r>
    </w:p>
    <w:p w:rsidR="00C371F9" w:rsidRDefault="00000A6B">
      <w:pPr>
        <w:pStyle w:val="Nadpis20"/>
        <w:keepNext/>
        <w:keepLines/>
        <w:numPr>
          <w:ilvl w:val="1"/>
          <w:numId w:val="1"/>
        </w:numPr>
        <w:shd w:val="clear" w:color="auto" w:fill="auto"/>
        <w:tabs>
          <w:tab w:val="left" w:pos="852"/>
        </w:tabs>
        <w:ind w:left="0" w:firstLine="300"/>
      </w:pPr>
      <w:bookmarkStart w:id="59" w:name="bookmark59"/>
      <w:bookmarkStart w:id="60" w:name="bookmark60"/>
      <w:r>
        <w:t>Ukončit tuto Smlouvu lze písemnou dohodou smluvních stran.</w:t>
      </w:r>
      <w:bookmarkEnd w:id="59"/>
      <w:bookmarkEnd w:id="60"/>
    </w:p>
    <w:p w:rsidR="00C371F9" w:rsidRDefault="00000A6B">
      <w:pPr>
        <w:pStyle w:val="Nadpis20"/>
        <w:keepNext/>
        <w:keepLines/>
        <w:numPr>
          <w:ilvl w:val="1"/>
          <w:numId w:val="1"/>
        </w:numPr>
        <w:shd w:val="clear" w:color="auto" w:fill="auto"/>
        <w:tabs>
          <w:tab w:val="left" w:pos="852"/>
        </w:tabs>
        <w:jc w:val="both"/>
      </w:pPr>
      <w:bookmarkStart w:id="61" w:name="bookmark61"/>
      <w:bookmarkStart w:id="62" w:name="bookmark62"/>
      <w:r>
        <w:t>Kupující má právo odstoupit od Smlouvy v případě, že prodávající bude v prodlení s dodáním předmětu plnění delším než 30 dnů nebo ztratil oprávnění k podnikatelské činnosti podle platných předpisů (o této skutečnosti je povinnost podat informaci neprodleně).</w:t>
      </w:r>
      <w:bookmarkEnd w:id="61"/>
      <w:bookmarkEnd w:id="62"/>
    </w:p>
    <w:p w:rsidR="00C371F9" w:rsidRDefault="00000A6B">
      <w:pPr>
        <w:pStyle w:val="Nadpis20"/>
        <w:keepNext/>
        <w:keepLines/>
        <w:numPr>
          <w:ilvl w:val="1"/>
          <w:numId w:val="1"/>
        </w:numPr>
        <w:shd w:val="clear" w:color="auto" w:fill="auto"/>
        <w:tabs>
          <w:tab w:val="left" w:pos="852"/>
        </w:tabs>
        <w:jc w:val="both"/>
      </w:pPr>
      <w:bookmarkStart w:id="63" w:name="bookmark63"/>
      <w:bookmarkStart w:id="64" w:name="bookmark64"/>
      <w:r>
        <w:t>Prodávající má právo odstoupit od Smlouvy v případě, že kupující bude v prodlení se zaplacením faktury delším než 30 dnů.</w:t>
      </w:r>
      <w:bookmarkEnd w:id="63"/>
      <w:bookmarkEnd w:id="64"/>
    </w:p>
    <w:p w:rsidR="00C371F9" w:rsidRDefault="00000A6B">
      <w:pPr>
        <w:pStyle w:val="Nadpis20"/>
        <w:keepNext/>
        <w:keepLines/>
        <w:numPr>
          <w:ilvl w:val="1"/>
          <w:numId w:val="1"/>
        </w:numPr>
        <w:shd w:val="clear" w:color="auto" w:fill="auto"/>
        <w:tabs>
          <w:tab w:val="left" w:pos="852"/>
        </w:tabs>
        <w:ind w:left="0" w:firstLine="300"/>
      </w:pPr>
      <w:bookmarkStart w:id="65" w:name="bookmark65"/>
      <w:bookmarkStart w:id="66" w:name="bookmark66"/>
      <w:r>
        <w:t>Kterákoliv ze smluvních stran je oprávněna odstoupit od Smlouvy, jestliže:</w:t>
      </w:r>
      <w:bookmarkEnd w:id="65"/>
      <w:bookmarkEnd w:id="66"/>
    </w:p>
    <w:p w:rsidR="00C371F9" w:rsidRDefault="00000A6B">
      <w:pPr>
        <w:pStyle w:val="Nadpis30"/>
        <w:keepNext/>
        <w:keepLines/>
        <w:numPr>
          <w:ilvl w:val="2"/>
          <w:numId w:val="1"/>
        </w:numPr>
        <w:shd w:val="clear" w:color="auto" w:fill="auto"/>
        <w:tabs>
          <w:tab w:val="left" w:pos="1207"/>
        </w:tabs>
      </w:pPr>
      <w:bookmarkStart w:id="67" w:name="bookmark67"/>
      <w:bookmarkStart w:id="68" w:name="bookmark68"/>
      <w:r>
        <w:t>druhá smluvní strana neplní hrubě podmínky Smlouvy, byla na tuto skutečnost upozorněna a nezjednala nápravu ani v dodatečně poskytnuté přiměřené lhůtě</w:t>
      </w:r>
      <w:bookmarkEnd w:id="67"/>
      <w:bookmarkEnd w:id="68"/>
    </w:p>
    <w:p w:rsidR="00C371F9" w:rsidRDefault="00000A6B">
      <w:pPr>
        <w:pStyle w:val="Nadpis30"/>
        <w:keepNext/>
        <w:keepLines/>
        <w:numPr>
          <w:ilvl w:val="2"/>
          <w:numId w:val="1"/>
        </w:numPr>
        <w:shd w:val="clear" w:color="auto" w:fill="auto"/>
        <w:tabs>
          <w:tab w:val="left" w:pos="1207"/>
        </w:tabs>
      </w:pPr>
      <w:bookmarkStart w:id="69" w:name="bookmark69"/>
      <w:bookmarkStart w:id="70" w:name="bookmark70"/>
      <w:r>
        <w:t>druhá smluvní strana je v konkursním nebo vyrovnacím řízení (o této skutečnosti je povinnost podat informaci neprodleně)</w:t>
      </w:r>
      <w:bookmarkEnd w:id="69"/>
      <w:bookmarkEnd w:id="70"/>
    </w:p>
    <w:p w:rsidR="00C371F9" w:rsidRDefault="00000A6B">
      <w:pPr>
        <w:pStyle w:val="Nadpis30"/>
        <w:keepNext/>
        <w:keepLines/>
        <w:numPr>
          <w:ilvl w:val="2"/>
          <w:numId w:val="1"/>
        </w:numPr>
        <w:shd w:val="clear" w:color="auto" w:fill="auto"/>
        <w:tabs>
          <w:tab w:val="left" w:pos="1207"/>
        </w:tabs>
      </w:pPr>
      <w:bookmarkStart w:id="71" w:name="bookmark71"/>
      <w:bookmarkStart w:id="72" w:name="bookmark72"/>
      <w:r>
        <w:t>na majetek druhé smluvní strany byly zahájeny úkony, které nasvědčují zahájení vyrovnacího nebo exekučního řízení (o této skutečnosti je povinnost podat informaci neprodleně)</w:t>
      </w:r>
      <w:bookmarkEnd w:id="71"/>
      <w:bookmarkEnd w:id="72"/>
    </w:p>
    <w:p w:rsidR="00C371F9" w:rsidRDefault="00000A6B">
      <w:pPr>
        <w:pStyle w:val="Nadpis30"/>
        <w:keepNext/>
        <w:keepLines/>
        <w:numPr>
          <w:ilvl w:val="2"/>
          <w:numId w:val="1"/>
        </w:numPr>
        <w:shd w:val="clear" w:color="auto" w:fill="auto"/>
        <w:tabs>
          <w:tab w:val="left" w:pos="1207"/>
        </w:tabs>
        <w:ind w:left="0" w:firstLine="300"/>
        <w:jc w:val="both"/>
      </w:pPr>
      <w:bookmarkStart w:id="73" w:name="bookmark73"/>
      <w:bookmarkStart w:id="74" w:name="bookmark74"/>
      <w:r>
        <w:t>druhá smluvní strana se vůči ní dopustila jednání vykazujícího znaky nekalé soutěže.</w:t>
      </w:r>
      <w:bookmarkEnd w:id="73"/>
      <w:bookmarkEnd w:id="74"/>
    </w:p>
    <w:p w:rsidR="000C60D6" w:rsidRDefault="00000A6B" w:rsidP="00000A4C">
      <w:pPr>
        <w:pStyle w:val="Nadpis20"/>
        <w:keepNext/>
        <w:keepLines/>
        <w:numPr>
          <w:ilvl w:val="1"/>
          <w:numId w:val="1"/>
        </w:numPr>
        <w:shd w:val="clear" w:color="auto" w:fill="auto"/>
        <w:tabs>
          <w:tab w:val="left" w:pos="852"/>
        </w:tabs>
        <w:spacing w:before="240"/>
        <w:jc w:val="both"/>
      </w:pPr>
      <w:bookmarkStart w:id="75" w:name="bookmark75"/>
      <w:bookmarkStart w:id="76" w:name="bookmark76"/>
      <w:r>
        <w:t>Smluvní strany jsou povinny vzájemnou dohodou písemně vypořádat dosavadní smluvní plnění nejpozději do 1 měsíce od ukončení Smlouvy odstoupením.</w:t>
      </w:r>
      <w:bookmarkEnd w:id="75"/>
      <w:bookmarkEnd w:id="76"/>
    </w:p>
    <w:p w:rsidR="00E276B8" w:rsidRDefault="00E276B8" w:rsidP="00E276B8">
      <w:pPr>
        <w:pStyle w:val="Nadpis20"/>
        <w:keepNext/>
        <w:keepLines/>
        <w:shd w:val="clear" w:color="auto" w:fill="auto"/>
        <w:tabs>
          <w:tab w:val="left" w:pos="852"/>
        </w:tabs>
        <w:spacing w:before="240"/>
        <w:ind w:firstLine="0"/>
        <w:jc w:val="both"/>
      </w:pPr>
    </w:p>
    <w:p w:rsidR="000C60D6" w:rsidRDefault="00000A6B" w:rsidP="00E276B8">
      <w:pPr>
        <w:pStyle w:val="Nadpis10"/>
        <w:keepNext/>
        <w:keepLines/>
        <w:numPr>
          <w:ilvl w:val="0"/>
          <w:numId w:val="1"/>
        </w:numPr>
        <w:shd w:val="clear" w:color="auto" w:fill="auto"/>
        <w:tabs>
          <w:tab w:val="left" w:pos="658"/>
        </w:tabs>
        <w:spacing w:after="0" w:line="240" w:lineRule="auto"/>
      </w:pPr>
      <w:bookmarkStart w:id="77" w:name="bookmark77"/>
      <w:bookmarkStart w:id="78" w:name="bookmark78"/>
      <w:r>
        <w:t>Řešení sporů</w:t>
      </w:r>
      <w:bookmarkEnd w:id="77"/>
      <w:bookmarkEnd w:id="78"/>
    </w:p>
    <w:p w:rsidR="00E276B8" w:rsidRDefault="00000A6B" w:rsidP="00E276B8">
      <w:pPr>
        <w:pStyle w:val="Nadpis20"/>
        <w:keepNext/>
        <w:keepLines/>
        <w:numPr>
          <w:ilvl w:val="1"/>
          <w:numId w:val="1"/>
        </w:numPr>
        <w:shd w:val="clear" w:color="auto" w:fill="auto"/>
        <w:tabs>
          <w:tab w:val="left" w:pos="972"/>
        </w:tabs>
        <w:spacing w:before="240"/>
        <w:jc w:val="both"/>
      </w:pPr>
      <w:bookmarkStart w:id="79" w:name="bookmark79"/>
      <w:bookmarkStart w:id="80" w:name="bookmark80"/>
      <w:r>
        <w:t>Jakýkoli právní postup nebo soudní spor vedený v souvislosti s touto Smlouvou bude zahájen a veden u příslušného soudu České republiky.</w:t>
      </w:r>
      <w:bookmarkEnd w:id="79"/>
      <w:bookmarkEnd w:id="80"/>
    </w:p>
    <w:p w:rsidR="00E276B8" w:rsidRDefault="00E276B8" w:rsidP="00E276B8">
      <w:pPr>
        <w:pStyle w:val="Nadpis20"/>
        <w:keepNext/>
        <w:keepLines/>
        <w:shd w:val="clear" w:color="auto" w:fill="auto"/>
        <w:tabs>
          <w:tab w:val="left" w:pos="972"/>
        </w:tabs>
        <w:spacing w:before="240"/>
        <w:ind w:left="300" w:firstLine="0"/>
        <w:jc w:val="both"/>
      </w:pPr>
    </w:p>
    <w:p w:rsidR="00C371F9" w:rsidRDefault="00000A6B" w:rsidP="00E276B8">
      <w:pPr>
        <w:pStyle w:val="Nadpis10"/>
        <w:keepNext/>
        <w:keepLines/>
        <w:numPr>
          <w:ilvl w:val="0"/>
          <w:numId w:val="1"/>
        </w:numPr>
        <w:shd w:val="clear" w:color="auto" w:fill="auto"/>
        <w:tabs>
          <w:tab w:val="left" w:pos="840"/>
        </w:tabs>
        <w:spacing w:after="0" w:line="240" w:lineRule="auto"/>
      </w:pPr>
      <w:bookmarkStart w:id="81" w:name="bookmark81"/>
      <w:bookmarkStart w:id="82" w:name="bookmark82"/>
      <w:r>
        <w:t>Závěrečná ustanovení</w:t>
      </w:r>
      <w:bookmarkEnd w:id="81"/>
      <w:bookmarkEnd w:id="82"/>
    </w:p>
    <w:p w:rsidR="00E276B8" w:rsidRDefault="00E276B8" w:rsidP="00E276B8">
      <w:pPr>
        <w:pStyle w:val="Nadpis10"/>
        <w:keepNext/>
        <w:keepLines/>
        <w:shd w:val="clear" w:color="auto" w:fill="auto"/>
        <w:tabs>
          <w:tab w:val="left" w:pos="840"/>
        </w:tabs>
        <w:spacing w:after="0" w:line="240" w:lineRule="auto"/>
        <w:jc w:val="left"/>
      </w:pPr>
    </w:p>
    <w:p w:rsidR="00C371F9" w:rsidRDefault="00000A6B" w:rsidP="00E276B8">
      <w:pPr>
        <w:pStyle w:val="Nadpis20"/>
        <w:keepNext/>
        <w:keepLines/>
        <w:numPr>
          <w:ilvl w:val="1"/>
          <w:numId w:val="1"/>
        </w:numPr>
        <w:shd w:val="clear" w:color="auto" w:fill="auto"/>
        <w:tabs>
          <w:tab w:val="left" w:pos="990"/>
        </w:tabs>
        <w:ind w:left="0" w:firstLine="300"/>
      </w:pPr>
      <w:bookmarkStart w:id="83" w:name="bookmark83"/>
      <w:bookmarkStart w:id="84" w:name="bookmark84"/>
      <w:r>
        <w:t>Vztahy mezi stranami se řídí ustanoveními této Smlouvy a občanským zákoníkem.</w:t>
      </w:r>
      <w:bookmarkEnd w:id="83"/>
      <w:bookmarkEnd w:id="84"/>
    </w:p>
    <w:p w:rsidR="00C371F9" w:rsidRDefault="00000A6B" w:rsidP="00E276B8">
      <w:pPr>
        <w:pStyle w:val="Nadpis20"/>
        <w:keepNext/>
        <w:keepLines/>
        <w:numPr>
          <w:ilvl w:val="1"/>
          <w:numId w:val="1"/>
        </w:numPr>
        <w:shd w:val="clear" w:color="auto" w:fill="auto"/>
        <w:tabs>
          <w:tab w:val="left" w:pos="990"/>
        </w:tabs>
      </w:pPr>
      <w:bookmarkStart w:id="85" w:name="bookmark85"/>
      <w:bookmarkStart w:id="86" w:name="bookmark86"/>
      <w:r>
        <w:t>Smluvní strany se zavazují nepostoupit závazky nebo pohledávky z této Smlouvy třetí osobě bez písemného souhlasu druhé strany.</w:t>
      </w:r>
      <w:bookmarkEnd w:id="85"/>
      <w:bookmarkEnd w:id="86"/>
    </w:p>
    <w:p w:rsidR="00C371F9" w:rsidRDefault="00000A6B">
      <w:pPr>
        <w:pStyle w:val="Nadpis20"/>
        <w:keepNext/>
        <w:keepLines/>
        <w:numPr>
          <w:ilvl w:val="1"/>
          <w:numId w:val="1"/>
        </w:numPr>
        <w:shd w:val="clear" w:color="auto" w:fill="auto"/>
        <w:tabs>
          <w:tab w:val="left" w:pos="990"/>
        </w:tabs>
      </w:pPr>
      <w:bookmarkStart w:id="87" w:name="bookmark87"/>
      <w:bookmarkStart w:id="88" w:name="bookmark88"/>
      <w:r>
        <w:t>Obsah Smlouvy může být měněn jen dohodou smluvních stran, a to vždy jen vzestupně číslovanými písemnými dodatky.</w:t>
      </w:r>
      <w:bookmarkEnd w:id="87"/>
      <w:bookmarkEnd w:id="88"/>
    </w:p>
    <w:p w:rsidR="00C371F9" w:rsidRDefault="00000A6B">
      <w:pPr>
        <w:pStyle w:val="Nadpis20"/>
        <w:keepNext/>
        <w:keepLines/>
        <w:numPr>
          <w:ilvl w:val="1"/>
          <w:numId w:val="1"/>
        </w:numPr>
        <w:shd w:val="clear" w:color="auto" w:fill="auto"/>
        <w:tabs>
          <w:tab w:val="left" w:pos="990"/>
        </w:tabs>
      </w:pPr>
      <w:bookmarkStart w:id="89" w:name="bookmark89"/>
      <w:bookmarkStart w:id="90" w:name="bookmark90"/>
      <w:r>
        <w:t>Smlouva je vyhotovena v elektronické podobě, dokument s připojenými elektronickými podpisy obou smluvních stran obdrží kupující i prodávající.</w:t>
      </w:r>
      <w:bookmarkEnd w:id="89"/>
      <w:bookmarkEnd w:id="90"/>
    </w:p>
    <w:p w:rsidR="00C371F9" w:rsidRDefault="00000A6B">
      <w:pPr>
        <w:pStyle w:val="Nadpis20"/>
        <w:keepNext/>
        <w:keepLines/>
        <w:numPr>
          <w:ilvl w:val="1"/>
          <w:numId w:val="1"/>
        </w:numPr>
        <w:shd w:val="clear" w:color="auto" w:fill="auto"/>
        <w:tabs>
          <w:tab w:val="left" w:pos="990"/>
        </w:tabs>
        <w:ind w:left="0" w:firstLine="300"/>
      </w:pPr>
      <w:bookmarkStart w:id="91" w:name="bookmark91"/>
      <w:bookmarkStart w:id="92" w:name="bookmark92"/>
      <w:r>
        <w:t>Nedílnou součástí Smlouvy jsou přílohy:</w:t>
      </w:r>
      <w:bookmarkEnd w:id="91"/>
      <w:bookmarkEnd w:id="92"/>
    </w:p>
    <w:p w:rsidR="00C371F9" w:rsidRDefault="00000A6B">
      <w:pPr>
        <w:pStyle w:val="Zkladntext1"/>
        <w:shd w:val="clear" w:color="auto" w:fill="auto"/>
        <w:spacing w:after="0"/>
        <w:ind w:firstLine="880"/>
      </w:pPr>
      <w:r>
        <w:t>Příloha č. 1 - Technická specifikace</w:t>
      </w:r>
    </w:p>
    <w:p w:rsidR="00C371F9" w:rsidRDefault="00000A6B">
      <w:pPr>
        <w:pStyle w:val="Zkladntext1"/>
        <w:shd w:val="clear" w:color="auto" w:fill="auto"/>
        <w:spacing w:after="0"/>
        <w:ind w:firstLine="880"/>
      </w:pPr>
      <w:r>
        <w:t xml:space="preserve">Příloha č. 2 </w:t>
      </w:r>
      <w:r w:rsidR="00EB3E1F">
        <w:t>–</w:t>
      </w:r>
      <w:r>
        <w:t xml:space="preserve"> </w:t>
      </w:r>
      <w:r w:rsidR="00EB3E1F">
        <w:t xml:space="preserve">2x </w:t>
      </w:r>
      <w:r>
        <w:t>Potvrzení organizační složky výrobce v ČR</w:t>
      </w: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pPr>
      <w:r>
        <w:t xml:space="preserve">    Dnem vložení elektronického podpisu</w:t>
      </w:r>
      <w:r>
        <w:tab/>
      </w:r>
      <w:r>
        <w:tab/>
        <w:t xml:space="preserve">    Dnem vložení elektronického podpisu</w:t>
      </w:r>
    </w:p>
    <w:p w:rsidR="009E5FCD" w:rsidRDefault="009E5FCD" w:rsidP="009E5FCD">
      <w:pPr>
        <w:pStyle w:val="Zkladntext1"/>
        <w:shd w:val="clear" w:color="auto" w:fill="auto"/>
        <w:spacing w:after="0"/>
      </w:pPr>
    </w:p>
    <w:p w:rsidR="009E5FCD" w:rsidRDefault="009E5FCD" w:rsidP="009E5FCD">
      <w:pPr>
        <w:pStyle w:val="Zkladntext1"/>
        <w:shd w:val="clear" w:color="auto" w:fill="auto"/>
        <w:spacing w:after="0"/>
        <w:sectPr w:rsidR="009E5FCD">
          <w:footerReference w:type="default" r:id="rId7"/>
          <w:pgSz w:w="11900" w:h="16840"/>
          <w:pgMar w:top="1364" w:right="1076" w:bottom="1251" w:left="1071" w:header="936" w:footer="3" w:gutter="0"/>
          <w:pgNumType w:start="1"/>
          <w:cols w:space="720"/>
          <w:noEndnote/>
          <w:docGrid w:linePitch="360"/>
        </w:sectPr>
      </w:pPr>
    </w:p>
    <w:p w:rsidR="00C371F9" w:rsidRDefault="00C371F9">
      <w:pPr>
        <w:spacing w:line="240" w:lineRule="exact"/>
        <w:rPr>
          <w:sz w:val="19"/>
          <w:szCs w:val="19"/>
        </w:rPr>
      </w:pPr>
    </w:p>
    <w:p w:rsidR="009E5FCD" w:rsidRDefault="009E5FCD">
      <w:pPr>
        <w:spacing w:line="240" w:lineRule="exact"/>
        <w:rPr>
          <w:sz w:val="19"/>
          <w:szCs w:val="19"/>
        </w:rPr>
        <w:sectPr w:rsidR="009E5FCD" w:rsidSect="00E276B8">
          <w:type w:val="continuous"/>
          <w:pgSz w:w="11900" w:h="16840"/>
          <w:pgMar w:top="1398" w:right="0" w:bottom="4044" w:left="0" w:header="0" w:footer="3" w:gutter="0"/>
          <w:cols w:space="720"/>
          <w:noEndnote/>
          <w:docGrid w:linePitch="360"/>
        </w:sectPr>
      </w:pPr>
    </w:p>
    <w:p w:rsidR="00C371F9" w:rsidRDefault="00C371F9">
      <w:pPr>
        <w:spacing w:line="240" w:lineRule="exact"/>
        <w:rPr>
          <w:sz w:val="19"/>
          <w:szCs w:val="19"/>
        </w:rPr>
      </w:pPr>
    </w:p>
    <w:p w:rsidR="00E276B8" w:rsidRDefault="00E276B8">
      <w:pPr>
        <w:spacing w:line="240" w:lineRule="exact"/>
        <w:rPr>
          <w:sz w:val="19"/>
          <w:szCs w:val="19"/>
        </w:rPr>
      </w:pPr>
    </w:p>
    <w:p w:rsidR="00C371F9" w:rsidRPr="009E5FCD" w:rsidRDefault="00C371F9" w:rsidP="009E5FCD">
      <w:pPr>
        <w:spacing w:line="240" w:lineRule="exact"/>
        <w:rPr>
          <w:sz w:val="19"/>
          <w:szCs w:val="19"/>
        </w:rPr>
        <w:sectPr w:rsidR="00C371F9" w:rsidRPr="009E5FCD" w:rsidSect="009E5FCD">
          <w:type w:val="continuous"/>
          <w:pgSz w:w="11900" w:h="16840"/>
          <w:pgMar w:top="1398" w:right="0" w:bottom="4044" w:left="0" w:header="0" w:footer="3" w:gutter="0"/>
          <w:cols w:space="720"/>
          <w:noEndnote/>
          <w:docGrid w:linePitch="360"/>
        </w:sectPr>
      </w:pPr>
    </w:p>
    <w:p w:rsidR="00C371F9" w:rsidRDefault="00C371F9">
      <w:pPr>
        <w:spacing w:line="1" w:lineRule="exact"/>
        <w:sectPr w:rsidR="00C371F9" w:rsidSect="009E5FCD">
          <w:type w:val="continuous"/>
          <w:pgSz w:w="11900" w:h="16840"/>
          <w:pgMar w:top="1398" w:right="0" w:bottom="4044" w:left="0" w:header="0" w:footer="3" w:gutter="0"/>
          <w:cols w:space="720"/>
          <w:noEndnote/>
          <w:docGrid w:linePitch="360"/>
        </w:sectPr>
      </w:pPr>
    </w:p>
    <w:p w:rsidR="00C371F9" w:rsidRDefault="00000A6B">
      <w:pPr>
        <w:pStyle w:val="Zkladntext1"/>
        <w:shd w:val="clear" w:color="auto" w:fill="auto"/>
        <w:spacing w:after="0" w:line="240" w:lineRule="auto"/>
      </w:pPr>
      <w:r>
        <w:t xml:space="preserve">podepsáno elektronicky </w:t>
      </w:r>
      <w:r w:rsidR="009E5FCD">
        <w:tab/>
      </w:r>
      <w:r w:rsidR="009E5FCD">
        <w:tab/>
      </w:r>
      <w:r w:rsidR="009E5FCD">
        <w:tab/>
      </w:r>
      <w:r w:rsidR="009E5FCD">
        <w:tab/>
      </w:r>
      <w:r>
        <w:t>podepsáno elektronicky</w:t>
      </w:r>
    </w:p>
    <w:p w:rsidR="009E5FCD" w:rsidRDefault="009E5FCD">
      <w:pPr>
        <w:pStyle w:val="Zkladntext1"/>
        <w:shd w:val="clear" w:color="auto" w:fill="auto"/>
        <w:spacing w:after="0" w:line="240" w:lineRule="auto"/>
      </w:pPr>
    </w:p>
    <w:p w:rsidR="009E5FCD" w:rsidRDefault="009E5FCD">
      <w:pPr>
        <w:pStyle w:val="Zkladntext1"/>
        <w:shd w:val="clear" w:color="auto" w:fill="auto"/>
        <w:spacing w:after="0" w:line="240" w:lineRule="auto"/>
      </w:pPr>
    </w:p>
    <w:p w:rsidR="009E5FCD" w:rsidRDefault="009E5FCD">
      <w:pPr>
        <w:pStyle w:val="Zkladntext1"/>
        <w:shd w:val="clear" w:color="auto" w:fill="auto"/>
        <w:spacing w:after="0" w:line="240" w:lineRule="auto"/>
      </w:pPr>
    </w:p>
    <w:p w:rsidR="009E5FCD" w:rsidRDefault="009E5FCD" w:rsidP="009E5FCD">
      <w:pPr>
        <w:pStyle w:val="Zkladntext1"/>
        <w:shd w:val="clear" w:color="auto" w:fill="auto"/>
        <w:spacing w:after="0"/>
      </w:pPr>
      <w:r>
        <w:t>za kupujícího</w:t>
      </w:r>
      <w:r>
        <w:tab/>
      </w:r>
      <w:r>
        <w:tab/>
      </w:r>
      <w:r>
        <w:tab/>
      </w:r>
      <w:r>
        <w:tab/>
      </w:r>
      <w:r>
        <w:tab/>
      </w:r>
      <w:r>
        <w:tab/>
        <w:t>za prodávajícího</w:t>
      </w:r>
    </w:p>
    <w:p w:rsidR="009E5FCD" w:rsidRDefault="009E5FCD" w:rsidP="009E5FCD">
      <w:pPr>
        <w:pStyle w:val="Zkladntext1"/>
        <w:shd w:val="clear" w:color="auto" w:fill="auto"/>
        <w:spacing w:after="0"/>
      </w:pPr>
      <w:r>
        <w:t>Ing. Martin Klanica</w:t>
      </w:r>
      <w:r>
        <w:tab/>
      </w:r>
      <w:r>
        <w:tab/>
      </w:r>
      <w:r>
        <w:tab/>
      </w:r>
      <w:r>
        <w:tab/>
      </w:r>
      <w:r>
        <w:tab/>
      </w:r>
      <w:r w:rsidR="008D11EC">
        <w:t>XXXXXXXXX</w:t>
      </w:r>
    </w:p>
    <w:p w:rsidR="009E5FCD" w:rsidRDefault="009E5FCD" w:rsidP="008D11EC">
      <w:pPr>
        <w:pStyle w:val="Zkladntext1"/>
        <w:shd w:val="clear" w:color="auto" w:fill="auto"/>
        <w:spacing w:after="0"/>
        <w:ind w:left="2124" w:hanging="2124"/>
        <w:sectPr w:rsidR="009E5FCD" w:rsidSect="009E5FCD">
          <w:type w:val="continuous"/>
          <w:pgSz w:w="11900" w:h="16840"/>
          <w:pgMar w:top="1398" w:right="3178" w:bottom="4044" w:left="1383" w:header="0" w:footer="3" w:gutter="0"/>
          <w:cols w:space="2571"/>
          <w:noEndnote/>
          <w:docGrid w:linePitch="360"/>
        </w:sectPr>
      </w:pPr>
      <w:r>
        <w:t>ústřední ředitel</w:t>
      </w:r>
      <w:r>
        <w:tab/>
      </w:r>
      <w:r>
        <w:tab/>
      </w:r>
      <w:r>
        <w:tab/>
      </w:r>
      <w:r>
        <w:tab/>
      </w:r>
      <w:r>
        <w:tab/>
      </w:r>
    </w:p>
    <w:p w:rsidR="00C371F9" w:rsidRDefault="00C371F9">
      <w:pPr>
        <w:spacing w:line="240" w:lineRule="exact"/>
        <w:rPr>
          <w:sz w:val="19"/>
          <w:szCs w:val="19"/>
        </w:rPr>
      </w:pPr>
    </w:p>
    <w:p w:rsidR="00C371F9" w:rsidRDefault="00C371F9">
      <w:pPr>
        <w:spacing w:line="240" w:lineRule="exact"/>
        <w:rPr>
          <w:sz w:val="19"/>
          <w:szCs w:val="19"/>
        </w:rPr>
      </w:pPr>
    </w:p>
    <w:p w:rsidR="009E5FCD" w:rsidRDefault="009E5FCD">
      <w:pPr>
        <w:spacing w:line="240" w:lineRule="exact"/>
        <w:rPr>
          <w:sz w:val="19"/>
          <w:szCs w:val="19"/>
        </w:rPr>
        <w:sectPr w:rsidR="009E5FCD" w:rsidSect="009E5FCD">
          <w:type w:val="continuous"/>
          <w:pgSz w:w="11900" w:h="16840"/>
          <w:pgMar w:top="1398" w:right="1076" w:bottom="1058" w:left="1071" w:header="0" w:footer="3" w:gutter="0"/>
          <w:cols w:space="720"/>
          <w:noEndnote/>
          <w:docGrid w:linePitch="360"/>
        </w:sectPr>
      </w:pPr>
    </w:p>
    <w:p w:rsidR="00C371F9" w:rsidRDefault="00C371F9">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Pr="00EF3FE7" w:rsidRDefault="00076038" w:rsidP="00076038">
      <w:pPr>
        <w:spacing w:line="256" w:lineRule="auto"/>
        <w:rPr>
          <w:rFonts w:eastAsia="Times New Roman" w:cstheme="minorHAnsi"/>
          <w:b/>
          <w:bCs/>
        </w:rPr>
      </w:pPr>
      <w:r w:rsidRPr="00EF3FE7">
        <w:rPr>
          <w:rFonts w:eastAsia="Times New Roman" w:cstheme="minorHAnsi"/>
          <w:b/>
          <w:bCs/>
        </w:rPr>
        <w:lastRenderedPageBreak/>
        <w:t>Příloha</w:t>
      </w:r>
      <w:r>
        <w:rPr>
          <w:rFonts w:eastAsia="Times New Roman" w:cstheme="minorHAnsi"/>
          <w:b/>
          <w:bCs/>
        </w:rPr>
        <w:t xml:space="preserve"> č. 1 Kupní smlouvy</w:t>
      </w:r>
      <w:r w:rsidRPr="00EF3FE7">
        <w:rPr>
          <w:rFonts w:eastAsia="Times New Roman" w:cstheme="minorHAnsi"/>
          <w:b/>
          <w:bCs/>
        </w:rPr>
        <w:t xml:space="preserve"> </w:t>
      </w:r>
    </w:p>
    <w:p w:rsidR="00076038" w:rsidRDefault="00076038" w:rsidP="00076038">
      <w:pPr>
        <w:spacing w:line="256" w:lineRule="auto"/>
        <w:rPr>
          <w:rFonts w:eastAsia="Times New Roman" w:cstheme="minorHAnsi"/>
          <w:sz w:val="20"/>
          <w:szCs w:val="20"/>
          <w:lang w:val="en-US"/>
        </w:rPr>
      </w:pPr>
      <w:r w:rsidRPr="00C4520D">
        <w:rPr>
          <w:rFonts w:eastAsia="Times New Roman" w:cstheme="minorHAnsi"/>
          <w:b/>
          <w:bCs/>
          <w:sz w:val="28"/>
          <w:szCs w:val="28"/>
        </w:rPr>
        <w:t>Technická specifikace</w:t>
      </w:r>
      <w:r>
        <w:rPr>
          <w:rFonts w:eastAsia="Times New Roman" w:cstheme="minorHAnsi"/>
          <w:b/>
          <w:bCs/>
          <w:sz w:val="28"/>
          <w:szCs w:val="28"/>
        </w:rPr>
        <w:t xml:space="preserve"> </w:t>
      </w:r>
      <w:r>
        <w:rPr>
          <w:rFonts w:eastAsia="Times New Roman" w:cstheme="minorHAnsi"/>
          <w:sz w:val="20"/>
          <w:szCs w:val="20"/>
          <w:lang w:val="en-US"/>
        </w:rPr>
        <w:t>(</w:t>
      </w:r>
      <w:proofErr w:type="spellStart"/>
      <w:r>
        <w:rPr>
          <w:rFonts w:eastAsia="Times New Roman" w:cstheme="minorHAnsi"/>
          <w:sz w:val="20"/>
          <w:szCs w:val="20"/>
          <w:lang w:val="en-US"/>
        </w:rPr>
        <w:t>diskové</w:t>
      </w:r>
      <w:proofErr w:type="spellEnd"/>
      <w:r>
        <w:rPr>
          <w:rFonts w:eastAsia="Times New Roman" w:cstheme="minorHAnsi"/>
          <w:sz w:val="20"/>
          <w:szCs w:val="20"/>
          <w:lang w:val="en-US"/>
        </w:rPr>
        <w:t xml:space="preserve"> </w:t>
      </w:r>
      <w:proofErr w:type="gramStart"/>
      <w:r>
        <w:rPr>
          <w:rFonts w:eastAsia="Times New Roman" w:cstheme="minorHAnsi"/>
          <w:sz w:val="20"/>
          <w:szCs w:val="20"/>
          <w:lang w:val="en-US"/>
        </w:rPr>
        <w:t xml:space="preserve">pole,   </w:t>
      </w:r>
      <w:proofErr w:type="gramEnd"/>
      <w:r w:rsidRPr="00E00CAA">
        <w:rPr>
          <w:rFonts w:eastAsia="Times New Roman" w:cstheme="minorHAnsi"/>
          <w:sz w:val="20"/>
          <w:szCs w:val="20"/>
          <w:lang w:val="en-US"/>
        </w:rPr>
        <w:t xml:space="preserve">FC SAN </w:t>
      </w:r>
      <w:proofErr w:type="spellStart"/>
      <w:r w:rsidRPr="00E00CAA">
        <w:rPr>
          <w:rFonts w:eastAsia="Times New Roman" w:cstheme="minorHAnsi"/>
          <w:sz w:val="20"/>
          <w:szCs w:val="20"/>
          <w:lang w:val="en-US"/>
        </w:rPr>
        <w:t>switche</w:t>
      </w:r>
      <w:proofErr w:type="spellEnd"/>
      <w:r>
        <w:rPr>
          <w:rFonts w:eastAsia="Times New Roman" w:cstheme="minorHAnsi"/>
          <w:sz w:val="20"/>
          <w:szCs w:val="20"/>
          <w:lang w:val="en-US"/>
        </w:rPr>
        <w:t xml:space="preserve"> a </w:t>
      </w:r>
      <w:proofErr w:type="spellStart"/>
      <w:r>
        <w:rPr>
          <w:rFonts w:eastAsia="Times New Roman" w:cstheme="minorHAnsi"/>
          <w:sz w:val="20"/>
          <w:szCs w:val="20"/>
          <w:lang w:val="en-US"/>
        </w:rPr>
        <w:t>popis</w:t>
      </w:r>
      <w:proofErr w:type="spellEnd"/>
      <w:r>
        <w:rPr>
          <w:rFonts w:eastAsia="Times New Roman" w:cstheme="minorHAnsi"/>
          <w:sz w:val="20"/>
          <w:szCs w:val="20"/>
          <w:lang w:val="en-US"/>
        </w:rPr>
        <w:t xml:space="preserve"> </w:t>
      </w:r>
      <w:proofErr w:type="spellStart"/>
      <w:r>
        <w:rPr>
          <w:rFonts w:eastAsia="Times New Roman" w:cstheme="minorHAnsi"/>
          <w:sz w:val="20"/>
          <w:szCs w:val="20"/>
          <w:lang w:val="en-US"/>
        </w:rPr>
        <w:t>Implementace</w:t>
      </w:r>
      <w:proofErr w:type="spellEnd"/>
      <w:r>
        <w:rPr>
          <w:rFonts w:eastAsia="Times New Roman" w:cstheme="minorHAnsi"/>
          <w:sz w:val="20"/>
          <w:szCs w:val="20"/>
          <w:lang w:val="en-US"/>
        </w:rPr>
        <w:t>)</w:t>
      </w:r>
    </w:p>
    <w:p w:rsidR="00076038" w:rsidRPr="00E00CAA" w:rsidRDefault="00076038" w:rsidP="00076038">
      <w:pPr>
        <w:spacing w:line="256" w:lineRule="auto"/>
        <w:rPr>
          <w:rFonts w:eastAsia="Times New Roman" w:cstheme="minorHAnsi"/>
          <w:sz w:val="20"/>
          <w:szCs w:val="20"/>
          <w:lang w:val="en-US"/>
        </w:rPr>
      </w:pPr>
    </w:p>
    <w:p w:rsidR="00076038" w:rsidRPr="00E00CAA" w:rsidRDefault="00076038" w:rsidP="00076038">
      <w:pPr>
        <w:spacing w:line="256" w:lineRule="auto"/>
        <w:rPr>
          <w:rFonts w:eastAsia="Times New Roman" w:cstheme="minorHAnsi"/>
          <w:b/>
          <w:bCs/>
        </w:rPr>
      </w:pPr>
      <w:r w:rsidRPr="00E00CAA">
        <w:rPr>
          <w:rFonts w:eastAsia="Times New Roman" w:cstheme="minorHAnsi"/>
          <w:b/>
          <w:bCs/>
        </w:rPr>
        <w:t>Diskové pole</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3"/>
        <w:gridCol w:w="2964"/>
        <w:gridCol w:w="2383"/>
        <w:gridCol w:w="1109"/>
      </w:tblGrid>
      <w:tr w:rsidR="00076038" w:rsidRPr="008720DF" w:rsidTr="00154614">
        <w:trPr>
          <w:trHeight w:val="543"/>
        </w:trPr>
        <w:tc>
          <w:tcPr>
            <w:tcW w:w="1088" w:type="pct"/>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076038" w:rsidRPr="008720DF" w:rsidRDefault="00076038" w:rsidP="00154614">
            <w:pPr>
              <w:spacing w:after="120" w:line="256" w:lineRule="auto"/>
              <w:jc w:val="center"/>
              <w:rPr>
                <w:rFonts w:eastAsia="Times New Roman" w:cstheme="minorHAnsi"/>
                <w:b/>
                <w:bCs/>
                <w:sz w:val="20"/>
                <w:szCs w:val="20"/>
              </w:rPr>
            </w:pPr>
            <w:r w:rsidRPr="008720DF">
              <w:rPr>
                <w:rFonts w:eastAsia="Times New Roman" w:cstheme="minorHAnsi"/>
                <w:b/>
                <w:bCs/>
                <w:sz w:val="20"/>
                <w:szCs w:val="20"/>
              </w:rPr>
              <w:t>Požadavky zadavatele na parametr</w:t>
            </w:r>
          </w:p>
        </w:tc>
        <w:tc>
          <w:tcPr>
            <w:tcW w:w="1800" w:type="pct"/>
            <w:tcBorders>
              <w:top w:val="single" w:sz="12" w:space="0" w:color="auto"/>
              <w:left w:val="single" w:sz="12" w:space="0" w:color="auto"/>
              <w:bottom w:val="single" w:sz="12" w:space="0" w:color="auto"/>
              <w:right w:val="single" w:sz="12" w:space="0" w:color="auto"/>
            </w:tcBorders>
            <w:shd w:val="clear" w:color="auto" w:fill="BFBFBF"/>
            <w:vAlign w:val="center"/>
            <w:hideMark/>
          </w:tcPr>
          <w:p w:rsidR="00076038" w:rsidRPr="008720DF" w:rsidRDefault="00076038" w:rsidP="00154614">
            <w:pPr>
              <w:spacing w:after="120" w:line="256" w:lineRule="auto"/>
              <w:jc w:val="center"/>
              <w:rPr>
                <w:rFonts w:eastAsia="Times New Roman" w:cstheme="minorHAnsi"/>
                <w:b/>
                <w:bCs/>
                <w:sz w:val="20"/>
                <w:szCs w:val="20"/>
              </w:rPr>
            </w:pPr>
            <w:r w:rsidRPr="008720DF">
              <w:rPr>
                <w:rFonts w:eastAsia="Times New Roman" w:cstheme="minorHAnsi"/>
                <w:b/>
                <w:bCs/>
                <w:sz w:val="20"/>
                <w:szCs w:val="20"/>
              </w:rPr>
              <w:t>Hodnoty parametru požadované zadavatelem</w:t>
            </w:r>
          </w:p>
        </w:tc>
        <w:tc>
          <w:tcPr>
            <w:tcW w:w="1501" w:type="pct"/>
            <w:tcBorders>
              <w:top w:val="single" w:sz="12" w:space="0" w:color="auto"/>
              <w:left w:val="single" w:sz="12" w:space="0" w:color="auto"/>
              <w:bottom w:val="single" w:sz="12" w:space="0" w:color="auto"/>
              <w:right w:val="single" w:sz="12" w:space="0" w:color="auto"/>
            </w:tcBorders>
            <w:shd w:val="clear" w:color="auto" w:fill="BFBFBF"/>
            <w:vAlign w:val="center"/>
            <w:hideMark/>
          </w:tcPr>
          <w:p w:rsidR="00076038" w:rsidRPr="008720DF" w:rsidRDefault="00076038" w:rsidP="00154614">
            <w:pPr>
              <w:tabs>
                <w:tab w:val="center" w:pos="4513"/>
                <w:tab w:val="right" w:pos="9026"/>
              </w:tabs>
              <w:spacing w:line="256" w:lineRule="auto"/>
              <w:jc w:val="center"/>
              <w:rPr>
                <w:rFonts w:eastAsia="Times New Roman" w:cstheme="minorHAnsi"/>
                <w:b/>
                <w:sz w:val="20"/>
                <w:szCs w:val="20"/>
              </w:rPr>
            </w:pPr>
            <w:r w:rsidRPr="008720DF">
              <w:rPr>
                <w:rFonts w:eastAsia="Times New Roman" w:cstheme="minorHAnsi"/>
                <w:b/>
                <w:sz w:val="20"/>
                <w:szCs w:val="20"/>
              </w:rPr>
              <w:t>Nabídka účastníka (způsob splnění požadavku)</w:t>
            </w:r>
          </w:p>
        </w:tc>
        <w:tc>
          <w:tcPr>
            <w:tcW w:w="610" w:type="pct"/>
            <w:tcBorders>
              <w:top w:val="single" w:sz="12" w:space="0" w:color="auto"/>
              <w:left w:val="single" w:sz="12" w:space="0" w:color="auto"/>
              <w:bottom w:val="single" w:sz="12" w:space="0" w:color="auto"/>
              <w:right w:val="single" w:sz="12" w:space="0" w:color="auto"/>
            </w:tcBorders>
            <w:shd w:val="clear" w:color="auto" w:fill="BFBFBF"/>
            <w:hideMark/>
          </w:tcPr>
          <w:p w:rsidR="00076038" w:rsidRPr="008720DF" w:rsidRDefault="00076038" w:rsidP="00154614">
            <w:pPr>
              <w:tabs>
                <w:tab w:val="center" w:pos="4513"/>
                <w:tab w:val="right" w:pos="9026"/>
              </w:tabs>
              <w:spacing w:line="256" w:lineRule="auto"/>
              <w:jc w:val="center"/>
              <w:rPr>
                <w:rFonts w:eastAsia="Times New Roman" w:cstheme="minorHAnsi"/>
                <w:b/>
                <w:sz w:val="20"/>
                <w:szCs w:val="20"/>
              </w:rPr>
            </w:pPr>
            <w:r w:rsidRPr="008720DF">
              <w:rPr>
                <w:rFonts w:eastAsia="Times New Roman" w:cstheme="minorHAnsi"/>
                <w:b/>
                <w:sz w:val="20"/>
                <w:szCs w:val="20"/>
              </w:rPr>
              <w:t>Splnění požadavku (ANO/NE)</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Typ diskového pole</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Diskové pole typu All-</w:t>
            </w:r>
            <w:proofErr w:type="spellStart"/>
            <w:r w:rsidRPr="008720DF">
              <w:rPr>
                <w:rFonts w:eastAsia="Times New Roman" w:cstheme="minorHAnsi"/>
                <w:sz w:val="20"/>
                <w:szCs w:val="20"/>
              </w:rPr>
              <w:t>flash</w:t>
            </w:r>
            <w:proofErr w:type="spellEnd"/>
            <w:r w:rsidRPr="008720DF">
              <w:rPr>
                <w:rFonts w:eastAsia="Times New Roman" w:cstheme="minorHAnsi"/>
                <w:sz w:val="20"/>
                <w:szCs w:val="20"/>
              </w:rPr>
              <w:t xml:space="preserve">, </w:t>
            </w:r>
            <w:r w:rsidRPr="008720DF">
              <w:rPr>
                <w:rFonts w:eastAsia="Arial" w:cstheme="minorHAnsi"/>
                <w:sz w:val="20"/>
                <w:szCs w:val="20"/>
              </w:rPr>
              <w:t>řešení je koncipováno jako HW, SW a FW od jednoho výrobce</w:t>
            </w:r>
            <w:r w:rsidRPr="008720DF">
              <w:rPr>
                <w:rFonts w:eastAsia="Times New Roman" w:cstheme="minorHAnsi"/>
                <w:sz w:val="20"/>
                <w:szCs w:val="20"/>
              </w:rPr>
              <w:t xml:space="preserve">, budou dodány </w:t>
            </w:r>
            <w:proofErr w:type="gramStart"/>
            <w:r w:rsidRPr="008720DF">
              <w:rPr>
                <w:rFonts w:eastAsia="Times New Roman" w:cstheme="minorHAnsi"/>
                <w:sz w:val="20"/>
                <w:szCs w:val="20"/>
              </w:rPr>
              <w:t>pouze  SSD</w:t>
            </w:r>
            <w:proofErr w:type="gramEnd"/>
            <w:r w:rsidRPr="008720DF">
              <w:rPr>
                <w:rFonts w:eastAsia="Times New Roman" w:cstheme="minorHAnsi"/>
                <w:sz w:val="20"/>
                <w:szCs w:val="20"/>
              </w:rPr>
              <w:t>/</w:t>
            </w:r>
            <w:proofErr w:type="spellStart"/>
            <w:r w:rsidRPr="008720DF">
              <w:rPr>
                <w:rFonts w:eastAsia="Times New Roman" w:cstheme="minorHAnsi"/>
                <w:sz w:val="20"/>
                <w:szCs w:val="20"/>
              </w:rPr>
              <w:t>NVMe</w:t>
            </w:r>
            <w:proofErr w:type="spellEnd"/>
            <w:r w:rsidRPr="008720DF">
              <w:rPr>
                <w:rFonts w:eastAsia="Times New Roman" w:cstheme="minorHAnsi"/>
                <w:sz w:val="20"/>
                <w:szCs w:val="20"/>
              </w:rPr>
              <w:t xml:space="preserve"> disky 2.5”.</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Diskové pole</w:t>
            </w:r>
            <w:r>
              <w:rPr>
                <w:rFonts w:eastAsia="Times New Roman" w:cstheme="minorHAnsi"/>
                <w:sz w:val="20"/>
                <w:szCs w:val="20"/>
              </w:rPr>
              <w:t xml:space="preserve"> </w:t>
            </w:r>
            <w:r w:rsidRPr="006B0903">
              <w:rPr>
                <w:rFonts w:eastAsia="Times New Roman" w:cstheme="minorHAnsi"/>
                <w:b/>
                <w:bCs/>
                <w:sz w:val="20"/>
                <w:szCs w:val="20"/>
              </w:rPr>
              <w:t>IBM FLASHSYSTEM 7300</w:t>
            </w:r>
            <w:r w:rsidRPr="008720DF">
              <w:rPr>
                <w:rFonts w:eastAsia="Times New Roman" w:cstheme="minorHAnsi"/>
                <w:sz w:val="20"/>
                <w:szCs w:val="20"/>
              </w:rPr>
              <w:t xml:space="preserve"> typu All-</w:t>
            </w:r>
            <w:proofErr w:type="spellStart"/>
            <w:r w:rsidRPr="008720DF">
              <w:rPr>
                <w:rFonts w:eastAsia="Times New Roman" w:cstheme="minorHAnsi"/>
                <w:sz w:val="20"/>
                <w:szCs w:val="20"/>
              </w:rPr>
              <w:t>flash</w:t>
            </w:r>
            <w:proofErr w:type="spellEnd"/>
            <w:r w:rsidRPr="008720DF">
              <w:rPr>
                <w:rFonts w:eastAsia="Times New Roman" w:cstheme="minorHAnsi"/>
                <w:sz w:val="20"/>
                <w:szCs w:val="20"/>
              </w:rPr>
              <w:t xml:space="preserve">, </w:t>
            </w:r>
            <w:r w:rsidRPr="008720DF">
              <w:rPr>
                <w:rFonts w:eastAsia="Arial" w:cstheme="minorHAnsi"/>
                <w:sz w:val="20"/>
                <w:szCs w:val="20"/>
              </w:rPr>
              <w:t>řešení je koncipováno jako HW, SW a FW od jednoho výrobce</w:t>
            </w:r>
            <w:r w:rsidRPr="008720DF">
              <w:rPr>
                <w:rFonts w:eastAsia="Times New Roman" w:cstheme="minorHAnsi"/>
                <w:sz w:val="20"/>
                <w:szCs w:val="20"/>
              </w:rPr>
              <w:t xml:space="preserve">, budou dodány </w:t>
            </w:r>
            <w:proofErr w:type="gramStart"/>
            <w:r w:rsidRPr="008720DF">
              <w:rPr>
                <w:rFonts w:eastAsia="Times New Roman" w:cstheme="minorHAnsi"/>
                <w:sz w:val="20"/>
                <w:szCs w:val="20"/>
              </w:rPr>
              <w:t>pouze  SSD</w:t>
            </w:r>
            <w:proofErr w:type="gramEnd"/>
            <w:r w:rsidRPr="008720DF">
              <w:rPr>
                <w:rFonts w:eastAsia="Times New Roman" w:cstheme="minorHAnsi"/>
                <w:sz w:val="20"/>
                <w:szCs w:val="20"/>
              </w:rPr>
              <w:t>/</w:t>
            </w:r>
            <w:proofErr w:type="spellStart"/>
            <w:r w:rsidRPr="008720DF">
              <w:rPr>
                <w:rFonts w:eastAsia="Times New Roman" w:cstheme="minorHAnsi"/>
                <w:sz w:val="20"/>
                <w:szCs w:val="20"/>
              </w:rPr>
              <w:t>NVMe</w:t>
            </w:r>
            <w:proofErr w:type="spellEnd"/>
            <w:r w:rsidRPr="008720DF">
              <w:rPr>
                <w:rFonts w:eastAsia="Times New Roman" w:cstheme="minorHAnsi"/>
                <w:sz w:val="20"/>
                <w:szCs w:val="20"/>
              </w:rPr>
              <w:t xml:space="preserve"> disky 2.5”.</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Pole disponuje minimálně dvěma diskovými řadiči v režimu vysoké dostupnosti (</w:t>
            </w:r>
            <w:proofErr w:type="spellStart"/>
            <w:r w:rsidRPr="008720DF">
              <w:rPr>
                <w:rFonts w:eastAsia="Times New Roman" w:cstheme="minorHAnsi"/>
                <w:sz w:val="20"/>
                <w:szCs w:val="20"/>
              </w:rPr>
              <w:t>Active-Active</w:t>
            </w:r>
            <w:proofErr w:type="spellEnd"/>
            <w:r w:rsidRPr="008720DF">
              <w:rPr>
                <w:rFonts w:eastAsia="Times New Roman" w:cstheme="minorHAnsi"/>
                <w:sz w:val="20"/>
                <w:szCs w:val="20"/>
              </w:rPr>
              <w:t>).</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Pole disponuje dvěma diskovými řadiči v režimu vysoké dostupnosti (</w:t>
            </w:r>
            <w:proofErr w:type="spellStart"/>
            <w:r w:rsidRPr="008720DF">
              <w:rPr>
                <w:rFonts w:eastAsia="Times New Roman" w:cstheme="minorHAnsi"/>
                <w:sz w:val="20"/>
                <w:szCs w:val="20"/>
              </w:rPr>
              <w:t>Active-Active</w:t>
            </w:r>
            <w:proofErr w:type="spellEnd"/>
            <w:r w:rsidRPr="008720DF">
              <w:rPr>
                <w:rFonts w:eastAsia="Times New Roman" w:cstheme="minorHAnsi"/>
                <w:sz w:val="20"/>
                <w:szCs w:val="20"/>
              </w:rPr>
              <w: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Výkonnost</w:t>
            </w:r>
          </w:p>
        </w:tc>
        <w:tc>
          <w:tcPr>
            <w:tcW w:w="1800" w:type="pct"/>
            <w:tcBorders>
              <w:top w:val="nil"/>
              <w:left w:val="nil"/>
              <w:bottom w:val="single" w:sz="4" w:space="0" w:color="auto"/>
              <w:right w:val="single" w:sz="4" w:space="0" w:color="auto"/>
            </w:tcBorders>
            <w:vAlign w:val="center"/>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 xml:space="preserve">škálování výkonnosti je možné nativním přidáváním dalších řadičů minimálně do osmi řadičové konfigurace a škálování kapacit pomocí expanzních jednotek. Škálování řadičů ani expanzních jednotek není povoleno řešit pomocí externí virtualizace nebo </w:t>
            </w:r>
            <w:proofErr w:type="spellStart"/>
            <w:r w:rsidRPr="008720DF">
              <w:rPr>
                <w:rFonts w:eastAsia="Times New Roman" w:cstheme="minorHAnsi"/>
                <w:sz w:val="20"/>
                <w:szCs w:val="20"/>
              </w:rPr>
              <w:t>podvěšením</w:t>
            </w:r>
            <w:proofErr w:type="spellEnd"/>
            <w:r w:rsidRPr="008720DF">
              <w:rPr>
                <w:rFonts w:eastAsia="Times New Roman" w:cstheme="minorHAnsi"/>
                <w:sz w:val="20"/>
                <w:szCs w:val="20"/>
              </w:rPr>
              <w:t xml:space="preserve"> dalšího pole a řadičů</w:t>
            </w:r>
          </w:p>
        </w:tc>
        <w:tc>
          <w:tcPr>
            <w:tcW w:w="1501"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noProof/>
                <w:sz w:val="20"/>
                <w:szCs w:val="20"/>
              </w:rPr>
            </w:pPr>
            <w:r>
              <w:rPr>
                <w:rFonts w:eastAsia="Times New Roman" w:cstheme="minorHAnsi"/>
                <w:sz w:val="20"/>
                <w:szCs w:val="20"/>
              </w:rPr>
              <w:t>Š</w:t>
            </w:r>
            <w:r w:rsidRPr="008720DF">
              <w:rPr>
                <w:rFonts w:eastAsia="Times New Roman" w:cstheme="minorHAnsi"/>
                <w:sz w:val="20"/>
                <w:szCs w:val="20"/>
              </w:rPr>
              <w:t>kálování výkonnosti je možné nativním přidáváním dalších řadičů do osmi řadičové konfigurace a škálování kapacit pomocí expanzních jednotek. Škálování řadičů ani expanzních jednotek není řeš</w:t>
            </w:r>
            <w:r>
              <w:rPr>
                <w:rFonts w:eastAsia="Times New Roman" w:cstheme="minorHAnsi"/>
                <w:sz w:val="20"/>
                <w:szCs w:val="20"/>
              </w:rPr>
              <w:t>eno</w:t>
            </w:r>
            <w:r w:rsidRPr="008720DF">
              <w:rPr>
                <w:rFonts w:eastAsia="Times New Roman" w:cstheme="minorHAnsi"/>
                <w:sz w:val="20"/>
                <w:szCs w:val="20"/>
              </w:rPr>
              <w:t xml:space="preserve"> pomocí externí virtualizace nebo </w:t>
            </w:r>
            <w:proofErr w:type="spellStart"/>
            <w:r w:rsidRPr="008720DF">
              <w:rPr>
                <w:rFonts w:eastAsia="Times New Roman" w:cstheme="minorHAnsi"/>
                <w:sz w:val="20"/>
                <w:szCs w:val="20"/>
              </w:rPr>
              <w:t>podvěšením</w:t>
            </w:r>
            <w:proofErr w:type="spellEnd"/>
            <w:r w:rsidRPr="008720DF">
              <w:rPr>
                <w:rFonts w:eastAsia="Times New Roman" w:cstheme="minorHAnsi"/>
                <w:sz w:val="20"/>
                <w:szCs w:val="20"/>
              </w:rPr>
              <w:t xml:space="preserve"> dalšího pole a řadičů</w:t>
            </w:r>
          </w:p>
        </w:tc>
        <w:tc>
          <w:tcPr>
            <w:tcW w:w="610"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center"/>
              <w:rPr>
                <w:rFonts w:eastAsia="Times New Roman" w:cstheme="minorHAnsi"/>
                <w:noProof/>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Cache</w:t>
            </w:r>
            <w:proofErr w:type="spellEnd"/>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highlight w:val="yellow"/>
              </w:rPr>
            </w:pPr>
            <w:proofErr w:type="spellStart"/>
            <w:r w:rsidRPr="008720DF">
              <w:rPr>
                <w:rFonts w:eastAsia="Times New Roman" w:cstheme="minorHAnsi"/>
                <w:sz w:val="20"/>
                <w:szCs w:val="20"/>
              </w:rPr>
              <w:t>Cache</w:t>
            </w:r>
            <w:proofErr w:type="spellEnd"/>
            <w:r w:rsidRPr="008720DF">
              <w:rPr>
                <w:rFonts w:eastAsia="Times New Roman" w:cstheme="minorHAnsi"/>
                <w:sz w:val="20"/>
                <w:szCs w:val="20"/>
              </w:rPr>
              <w:t xml:space="preserve"> každého řadiče má velikost minimálně </w:t>
            </w:r>
            <w:proofErr w:type="gramStart"/>
            <w:r w:rsidRPr="008720DF">
              <w:rPr>
                <w:rFonts w:eastAsia="Times New Roman" w:cstheme="minorHAnsi"/>
                <w:sz w:val="20"/>
                <w:szCs w:val="20"/>
              </w:rPr>
              <w:t>128GB</w:t>
            </w:r>
            <w:proofErr w:type="gramEnd"/>
            <w:r w:rsidRPr="008720DF">
              <w:rPr>
                <w:rFonts w:eastAsia="Times New Roman" w:cstheme="minorHAnsi"/>
                <w:sz w:val="20"/>
                <w:szCs w:val="20"/>
              </w:rPr>
              <w:t xml:space="preserve"> typu RAM (nikoliv SSD </w:t>
            </w:r>
            <w:proofErr w:type="spellStart"/>
            <w:r w:rsidRPr="008720DF">
              <w:rPr>
                <w:rFonts w:eastAsia="Times New Roman" w:cstheme="minorHAnsi"/>
                <w:sz w:val="20"/>
                <w:szCs w:val="20"/>
              </w:rPr>
              <w:t>cache</w:t>
            </w:r>
            <w:proofErr w:type="spellEnd"/>
            <w:r w:rsidRPr="008720DF">
              <w:rPr>
                <w:rFonts w:eastAsia="Times New Roman" w:cstheme="minorHAnsi"/>
                <w:sz w:val="20"/>
                <w:szCs w:val="20"/>
              </w:rPr>
              <w:t>), která je chráněna proti výpadku napájení.</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Cache</w:t>
            </w:r>
            <w:proofErr w:type="spellEnd"/>
            <w:r w:rsidRPr="008720DF">
              <w:rPr>
                <w:rFonts w:eastAsia="Times New Roman" w:cstheme="minorHAnsi"/>
                <w:sz w:val="20"/>
                <w:szCs w:val="20"/>
              </w:rPr>
              <w:t xml:space="preserve"> každého řadiče má velikost </w:t>
            </w:r>
            <w:proofErr w:type="gramStart"/>
            <w:r w:rsidRPr="008720DF">
              <w:rPr>
                <w:rFonts w:eastAsia="Times New Roman" w:cstheme="minorHAnsi"/>
                <w:sz w:val="20"/>
                <w:szCs w:val="20"/>
              </w:rPr>
              <w:t>128GB</w:t>
            </w:r>
            <w:proofErr w:type="gramEnd"/>
            <w:r w:rsidRPr="008720DF">
              <w:rPr>
                <w:rFonts w:eastAsia="Times New Roman" w:cstheme="minorHAnsi"/>
                <w:sz w:val="20"/>
                <w:szCs w:val="20"/>
              </w:rPr>
              <w:t xml:space="preserve"> typu RAM)</w:t>
            </w:r>
            <w:r>
              <w:rPr>
                <w:rFonts w:eastAsia="Times New Roman" w:cstheme="minorHAnsi"/>
                <w:sz w:val="20"/>
                <w:szCs w:val="20"/>
              </w:rPr>
              <w:t xml:space="preserve">. </w:t>
            </w:r>
            <w:proofErr w:type="spellStart"/>
            <w:r>
              <w:rPr>
                <w:rFonts w:eastAsia="Times New Roman" w:cstheme="minorHAnsi"/>
                <w:sz w:val="20"/>
                <w:szCs w:val="20"/>
              </w:rPr>
              <w:t>Cache</w:t>
            </w:r>
            <w:proofErr w:type="spellEnd"/>
            <w:r>
              <w:rPr>
                <w:rFonts w:eastAsia="Times New Roman" w:cstheme="minorHAnsi"/>
                <w:sz w:val="20"/>
                <w:szCs w:val="20"/>
              </w:rPr>
              <w:t xml:space="preserve"> </w:t>
            </w:r>
            <w:r w:rsidRPr="008720DF">
              <w:rPr>
                <w:rFonts w:eastAsia="Times New Roman" w:cstheme="minorHAnsi"/>
                <w:sz w:val="20"/>
                <w:szCs w:val="20"/>
              </w:rPr>
              <w:t>je chráněna proti výpadku napájení.</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Mgmt</w:t>
            </w:r>
            <w:proofErr w:type="spellEnd"/>
            <w:r w:rsidRPr="008720DF">
              <w:rPr>
                <w:rFonts w:eastAsia="Times New Roman" w:cstheme="minorHAnsi"/>
                <w:sz w:val="20"/>
                <w:szCs w:val="20"/>
              </w:rPr>
              <w:t xml:space="preserve"> Port</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 xml:space="preserve">Konektivita každého řadiče minimálně 1x1 </w:t>
            </w:r>
            <w:proofErr w:type="spellStart"/>
            <w:r w:rsidRPr="008720DF">
              <w:rPr>
                <w:rFonts w:eastAsia="Times New Roman" w:cstheme="minorHAnsi"/>
                <w:sz w:val="20"/>
                <w:szCs w:val="20"/>
              </w:rPr>
              <w:t>Gbps</w:t>
            </w:r>
            <w:proofErr w:type="spellEnd"/>
            <w:r w:rsidRPr="008720DF">
              <w:rPr>
                <w:rFonts w:eastAsia="Times New Roman" w:cstheme="minorHAnsi"/>
                <w:sz w:val="20"/>
                <w:szCs w:val="20"/>
              </w:rPr>
              <w:t xml:space="preserve"> (RJ45) pro management.</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Konektivita každého řadiče 1x1 </w:t>
            </w:r>
            <w:proofErr w:type="spellStart"/>
            <w:r w:rsidRPr="008720DF">
              <w:rPr>
                <w:rFonts w:eastAsia="Times New Roman" w:cstheme="minorHAnsi"/>
                <w:sz w:val="20"/>
                <w:szCs w:val="20"/>
              </w:rPr>
              <w:t>Gbps</w:t>
            </w:r>
            <w:proofErr w:type="spellEnd"/>
            <w:r w:rsidRPr="008720DF">
              <w:rPr>
                <w:rFonts w:eastAsia="Times New Roman" w:cstheme="minorHAnsi"/>
                <w:sz w:val="20"/>
                <w:szCs w:val="20"/>
              </w:rPr>
              <w:t xml:space="preserve"> (RJ45) pro management.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Porty</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 xml:space="preserve">Konektivita každého řadiče min. 4 x FC 32 </w:t>
            </w:r>
            <w:proofErr w:type="spellStart"/>
            <w:r w:rsidRPr="008720DF">
              <w:rPr>
                <w:rFonts w:eastAsia="Times New Roman" w:cstheme="minorHAnsi"/>
                <w:sz w:val="20"/>
                <w:szCs w:val="20"/>
              </w:rPr>
              <w:t>Gb</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multi</w:t>
            </w:r>
            <w:proofErr w:type="spellEnd"/>
            <w:r w:rsidRPr="008720DF">
              <w:rPr>
                <w:rFonts w:eastAsia="Times New Roman" w:cstheme="minorHAnsi"/>
                <w:sz w:val="20"/>
                <w:szCs w:val="20"/>
              </w:rPr>
              <w:t>-mode LC vč. optických transceiverů.</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Konektivita každého řadiče </w:t>
            </w:r>
            <w:r>
              <w:rPr>
                <w:rFonts w:eastAsia="Times New Roman" w:cstheme="minorHAnsi"/>
                <w:sz w:val="20"/>
                <w:szCs w:val="20"/>
              </w:rPr>
              <w:t>je</w:t>
            </w:r>
            <w:r w:rsidRPr="008720DF">
              <w:rPr>
                <w:rFonts w:eastAsia="Times New Roman" w:cstheme="minorHAnsi"/>
                <w:sz w:val="20"/>
                <w:szCs w:val="20"/>
              </w:rPr>
              <w:t xml:space="preserve"> 4 x FC 32 </w:t>
            </w:r>
            <w:proofErr w:type="spellStart"/>
            <w:r w:rsidRPr="008720DF">
              <w:rPr>
                <w:rFonts w:eastAsia="Times New Roman" w:cstheme="minorHAnsi"/>
                <w:sz w:val="20"/>
                <w:szCs w:val="20"/>
              </w:rPr>
              <w:t>Gb</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multi</w:t>
            </w:r>
            <w:proofErr w:type="spellEnd"/>
            <w:r w:rsidRPr="008720DF">
              <w:rPr>
                <w:rFonts w:eastAsia="Times New Roman" w:cstheme="minorHAnsi"/>
                <w:sz w:val="20"/>
                <w:szCs w:val="20"/>
              </w:rPr>
              <w:t>-mode LC vč. optických transceiverů.</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(Porty musí být zpětně kompatibilní také s přepínači FC16/FC8. Řešit požadované počty portů pomocí </w:t>
            </w:r>
            <w:proofErr w:type="spellStart"/>
            <w:r w:rsidRPr="008720DF">
              <w:rPr>
                <w:rFonts w:eastAsia="Times New Roman" w:cstheme="minorHAnsi"/>
                <w:sz w:val="20"/>
                <w:szCs w:val="20"/>
              </w:rPr>
              <w:t>switchů</w:t>
            </w:r>
            <w:proofErr w:type="spellEnd"/>
            <w:r w:rsidRPr="008720DF">
              <w:rPr>
                <w:rFonts w:eastAsia="Times New Roman" w:cstheme="minorHAnsi"/>
                <w:sz w:val="20"/>
                <w:szCs w:val="20"/>
              </w:rPr>
              <w:t xml:space="preserve"> či externích konvertorů není povoleno).</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Pr>
                <w:rFonts w:eastAsia="Times New Roman" w:cstheme="minorHAnsi"/>
                <w:sz w:val="20"/>
                <w:szCs w:val="20"/>
              </w:rPr>
              <w:t xml:space="preserve">FC porty jsou </w:t>
            </w:r>
            <w:r w:rsidRPr="008720DF">
              <w:rPr>
                <w:rFonts w:eastAsia="Times New Roman" w:cstheme="minorHAnsi"/>
                <w:sz w:val="20"/>
                <w:szCs w:val="20"/>
              </w:rPr>
              <w:t xml:space="preserve">zpětně kompatibilní </w:t>
            </w:r>
            <w:r>
              <w:rPr>
                <w:rFonts w:eastAsia="Times New Roman" w:cstheme="minorHAnsi"/>
                <w:sz w:val="20"/>
                <w:szCs w:val="20"/>
              </w:rPr>
              <w:t xml:space="preserve">přímo </w:t>
            </w:r>
            <w:r w:rsidRPr="008720DF">
              <w:rPr>
                <w:rFonts w:eastAsia="Times New Roman" w:cstheme="minorHAnsi"/>
                <w:sz w:val="20"/>
                <w:szCs w:val="20"/>
              </w:rPr>
              <w:t>také s přepínači FC16/FC8.</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Kapacita</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Minimálně 142TB čisté kapacity při minimální úrovni RAID6 + </w:t>
            </w:r>
            <w:proofErr w:type="spellStart"/>
            <w:r w:rsidRPr="008720DF">
              <w:rPr>
                <w:rFonts w:eastAsia="Times New Roman" w:cstheme="minorHAnsi"/>
                <w:sz w:val="20"/>
                <w:szCs w:val="20"/>
              </w:rPr>
              <w:t>HotSpare</w:t>
            </w:r>
            <w:proofErr w:type="spellEnd"/>
            <w:r w:rsidRPr="008720DF">
              <w:rPr>
                <w:rFonts w:eastAsia="Times New Roman" w:cstheme="minorHAnsi"/>
                <w:sz w:val="20"/>
                <w:szCs w:val="20"/>
              </w:rPr>
              <w:t xml:space="preserve"> (nebo ekvivalentní).</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Pr>
                <w:rFonts w:eastAsia="Times New Roman" w:cstheme="minorHAnsi"/>
                <w:sz w:val="20"/>
                <w:szCs w:val="20"/>
              </w:rPr>
              <w:t xml:space="preserve">142,68TB čisté kapacity při DRAID6 + distribuovaný </w:t>
            </w:r>
            <w:proofErr w:type="spellStart"/>
            <w:r>
              <w:rPr>
                <w:rFonts w:eastAsia="Times New Roman" w:cstheme="minorHAnsi"/>
                <w:sz w:val="20"/>
                <w:szCs w:val="20"/>
              </w:rPr>
              <w:t>kotspare</w:t>
            </w:r>
            <w:proofErr w:type="spellEnd"/>
            <w:r>
              <w:rPr>
                <w:rFonts w:eastAsia="Times New Roman" w:cstheme="minorHAnsi"/>
                <w:sz w:val="20"/>
                <w:szCs w:val="20"/>
              </w:rPr>
              <w: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Disky</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Požadovaná výše uvedená disková kapacita pole bude realizována dodáním min. 16 ks disků typu NVME či lepší.</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Požadovaná výše uvedená disková kapacita pole </w:t>
            </w:r>
            <w:r>
              <w:rPr>
                <w:rFonts w:eastAsia="Times New Roman" w:cstheme="minorHAnsi"/>
                <w:sz w:val="20"/>
                <w:szCs w:val="20"/>
              </w:rPr>
              <w:t xml:space="preserve">je </w:t>
            </w:r>
            <w:r w:rsidRPr="008720DF">
              <w:rPr>
                <w:rFonts w:eastAsia="Times New Roman" w:cstheme="minorHAnsi"/>
                <w:sz w:val="20"/>
                <w:szCs w:val="20"/>
              </w:rPr>
              <w:t>realizována dodáním 1</w:t>
            </w:r>
            <w:r>
              <w:rPr>
                <w:rFonts w:eastAsia="Times New Roman" w:cstheme="minorHAnsi"/>
                <w:sz w:val="20"/>
                <w:szCs w:val="20"/>
              </w:rPr>
              <w:t>9</w:t>
            </w:r>
            <w:r w:rsidRPr="008720DF">
              <w:rPr>
                <w:rFonts w:eastAsia="Times New Roman" w:cstheme="minorHAnsi"/>
                <w:sz w:val="20"/>
                <w:szCs w:val="20"/>
              </w:rPr>
              <w:t xml:space="preserve"> </w:t>
            </w:r>
            <w:r w:rsidRPr="008720DF">
              <w:rPr>
                <w:rFonts w:eastAsia="Times New Roman" w:cstheme="minorHAnsi"/>
                <w:sz w:val="20"/>
                <w:szCs w:val="20"/>
              </w:rPr>
              <w:lastRenderedPageBreak/>
              <w:t xml:space="preserve">ks disků typu </w:t>
            </w:r>
            <w:r>
              <w:rPr>
                <w:rFonts w:eastAsia="Times New Roman" w:cstheme="minorHAnsi"/>
                <w:sz w:val="20"/>
                <w:szCs w:val="20"/>
              </w:rPr>
              <w:t>FCM/</w:t>
            </w:r>
            <w:r w:rsidRPr="008720DF">
              <w:rPr>
                <w:rFonts w:eastAsia="Times New Roman" w:cstheme="minorHAnsi"/>
                <w:sz w:val="20"/>
                <w:szCs w:val="20"/>
              </w:rPr>
              <w:t xml:space="preserve">NVME </w:t>
            </w:r>
            <w:r>
              <w:rPr>
                <w:rFonts w:eastAsia="Times New Roman" w:cstheme="minorHAnsi"/>
                <w:sz w:val="20"/>
                <w:szCs w:val="20"/>
              </w:rPr>
              <w:t>o kapacitě 9,6TB každý disk.</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lastRenderedPageBreak/>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Podpora RAID</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Požadovaná podpora minimálně pro režimy RAID 1, RAID 5, RAID 6 a RAID 10 nebo minimálně DRAID 1 a DRAID 6.</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Požadovaná podpora DRAID 1 a DRAID 6.</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Komprese a </w:t>
            </w:r>
            <w:proofErr w:type="spellStart"/>
            <w:r w:rsidRPr="008720DF">
              <w:rPr>
                <w:rFonts w:eastAsia="Times New Roman" w:cstheme="minorHAnsi"/>
                <w:sz w:val="20"/>
                <w:szCs w:val="20"/>
              </w:rPr>
              <w:t>deduplikace</w:t>
            </w:r>
            <w:proofErr w:type="spellEnd"/>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Komprese dat v reálném čase bez nutnosti dedikování dodatečného diskového prostoru pro post-</w:t>
            </w:r>
            <w:proofErr w:type="spellStart"/>
            <w:r w:rsidRPr="008720DF">
              <w:rPr>
                <w:rFonts w:eastAsia="Times New Roman" w:cstheme="minorHAnsi"/>
                <w:sz w:val="20"/>
                <w:szCs w:val="20"/>
              </w:rPr>
              <w:t>processing</w:t>
            </w:r>
            <w:proofErr w:type="spellEnd"/>
            <w:r w:rsidRPr="008720DF">
              <w:rPr>
                <w:rFonts w:eastAsia="Times New Roman" w:cstheme="minorHAnsi"/>
                <w:sz w:val="20"/>
                <w:szCs w:val="20"/>
              </w:rPr>
              <w:t xml:space="preserve"> pro celou nabízenou kapacitu včetně patřičného HW akcelerátoru nebo na jednotlivých modulech.</w:t>
            </w:r>
          </w:p>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Deduplikace</w:t>
            </w:r>
            <w:proofErr w:type="spellEnd"/>
            <w:r w:rsidRPr="008720DF">
              <w:rPr>
                <w:rFonts w:eastAsia="Times New Roman" w:cstheme="minorHAnsi"/>
                <w:sz w:val="20"/>
                <w:szCs w:val="20"/>
              </w:rPr>
              <w:t xml:space="preserve"> dat v reálném čase bez nutnosti dedikování dodatečného diskového prostoru pro post-</w:t>
            </w:r>
            <w:proofErr w:type="spellStart"/>
            <w:r w:rsidRPr="008720DF">
              <w:rPr>
                <w:rFonts w:eastAsia="Times New Roman" w:cstheme="minorHAnsi"/>
                <w:sz w:val="20"/>
                <w:szCs w:val="20"/>
              </w:rPr>
              <w:t>processing</w:t>
            </w:r>
            <w:proofErr w:type="spellEnd"/>
            <w:r w:rsidRPr="008720DF">
              <w:rPr>
                <w:rFonts w:eastAsia="Times New Roman" w:cstheme="minorHAnsi"/>
                <w:sz w:val="20"/>
                <w:szCs w:val="20"/>
              </w:rPr>
              <w:t xml:space="preserve"> pro celou požadovanou kapacitu včetně SW licence.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Komprese dat v reálném čase bez nutnosti dedikování dodatečného diskového prostoru pro post-</w:t>
            </w:r>
            <w:proofErr w:type="spellStart"/>
            <w:proofErr w:type="gramStart"/>
            <w:r w:rsidRPr="008720DF">
              <w:rPr>
                <w:rFonts w:eastAsia="Times New Roman" w:cstheme="minorHAnsi"/>
                <w:sz w:val="20"/>
                <w:szCs w:val="20"/>
              </w:rPr>
              <w:t>processing</w:t>
            </w:r>
            <w:proofErr w:type="spellEnd"/>
            <w:r>
              <w:rPr>
                <w:rFonts w:eastAsia="Times New Roman" w:cstheme="minorHAnsi"/>
                <w:sz w:val="20"/>
                <w:szCs w:val="20"/>
              </w:rPr>
              <w:t xml:space="preserve">  -</w:t>
            </w:r>
            <w:proofErr w:type="gramEnd"/>
            <w:r>
              <w:rPr>
                <w:rFonts w:eastAsia="Times New Roman" w:cstheme="minorHAnsi"/>
                <w:sz w:val="20"/>
                <w:szCs w:val="20"/>
              </w:rPr>
              <w:t xml:space="preserve"> komprese dat probíhá přímo na úrovní FCM/</w:t>
            </w:r>
            <w:proofErr w:type="spellStart"/>
            <w:r>
              <w:rPr>
                <w:rFonts w:eastAsia="Times New Roman" w:cstheme="minorHAnsi"/>
                <w:sz w:val="20"/>
                <w:szCs w:val="20"/>
              </w:rPr>
              <w:t>NVMe</w:t>
            </w:r>
            <w:proofErr w:type="spellEnd"/>
            <w:r>
              <w:rPr>
                <w:rFonts w:eastAsia="Times New Roman" w:cstheme="minorHAnsi"/>
                <w:sz w:val="20"/>
                <w:szCs w:val="20"/>
              </w:rPr>
              <w:t xml:space="preserve"> disků.</w:t>
            </w:r>
          </w:p>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Deduplikace</w:t>
            </w:r>
            <w:proofErr w:type="spellEnd"/>
            <w:r w:rsidRPr="008720DF">
              <w:rPr>
                <w:rFonts w:eastAsia="Times New Roman" w:cstheme="minorHAnsi"/>
                <w:sz w:val="20"/>
                <w:szCs w:val="20"/>
              </w:rPr>
              <w:t xml:space="preserve"> dat v reálném čase bez nutnosti dedikování dodatečného diskového prostoru pro post-</w:t>
            </w:r>
            <w:proofErr w:type="spellStart"/>
            <w:r w:rsidRPr="008720DF">
              <w:rPr>
                <w:rFonts w:eastAsia="Times New Roman" w:cstheme="minorHAnsi"/>
                <w:sz w:val="20"/>
                <w:szCs w:val="20"/>
              </w:rPr>
              <w:t>processing</w:t>
            </w:r>
            <w:proofErr w:type="spellEnd"/>
            <w:r w:rsidRPr="008720DF">
              <w:rPr>
                <w:rFonts w:eastAsia="Times New Roman" w:cstheme="minorHAnsi"/>
                <w:sz w:val="20"/>
                <w:szCs w:val="20"/>
              </w:rPr>
              <w:t xml:space="preserve"> pro celou požadovanou </w:t>
            </w:r>
            <w:r>
              <w:rPr>
                <w:rFonts w:eastAsia="Times New Roman" w:cstheme="minorHAnsi"/>
                <w:sz w:val="20"/>
                <w:szCs w:val="20"/>
              </w:rPr>
              <w:t>bez potřeby dodatečné licence.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Šifrování dat</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Šifrování dat minimálně pro </w:t>
            </w:r>
            <w:proofErr w:type="spellStart"/>
            <w:r w:rsidRPr="008720DF">
              <w:rPr>
                <w:rFonts w:eastAsia="Times New Roman" w:cstheme="minorHAnsi"/>
                <w:sz w:val="20"/>
                <w:szCs w:val="20"/>
              </w:rPr>
              <w:t>flash</w:t>
            </w:r>
            <w:proofErr w:type="spellEnd"/>
            <w:r w:rsidRPr="008720DF">
              <w:rPr>
                <w:rFonts w:eastAsia="Times New Roman" w:cstheme="minorHAnsi"/>
                <w:sz w:val="20"/>
                <w:szCs w:val="20"/>
              </w:rPr>
              <w:t xml:space="preserve"> kapacitu ve standardu minimálně FIPS 140-3 bez nutnosti přítomnosti speciálních pevných disků včetně příslušné licence. Pokud nabízené řešení neumožňuje šifrování dat nad úrovní disků, jsou požadovány SED disky pro celou nabízenou </w:t>
            </w:r>
            <w:proofErr w:type="spellStart"/>
            <w:r w:rsidRPr="008720DF">
              <w:rPr>
                <w:rFonts w:eastAsia="Times New Roman" w:cstheme="minorHAnsi"/>
                <w:sz w:val="20"/>
                <w:szCs w:val="20"/>
              </w:rPr>
              <w:t>flash</w:t>
            </w:r>
            <w:proofErr w:type="spellEnd"/>
            <w:r w:rsidRPr="008720DF">
              <w:rPr>
                <w:rFonts w:eastAsia="Times New Roman" w:cstheme="minorHAnsi"/>
                <w:sz w:val="20"/>
                <w:szCs w:val="20"/>
              </w:rPr>
              <w:t xml:space="preserve"> kapacitu, opět minimálně ve standardu FIPS 140-3</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Šifrování dat minimálně pro </w:t>
            </w:r>
            <w:proofErr w:type="spellStart"/>
            <w:r w:rsidRPr="008720DF">
              <w:rPr>
                <w:rFonts w:eastAsia="Times New Roman" w:cstheme="minorHAnsi"/>
                <w:sz w:val="20"/>
                <w:szCs w:val="20"/>
              </w:rPr>
              <w:t>flash</w:t>
            </w:r>
            <w:proofErr w:type="spellEnd"/>
            <w:r w:rsidRPr="008720DF">
              <w:rPr>
                <w:rFonts w:eastAsia="Times New Roman" w:cstheme="minorHAnsi"/>
                <w:sz w:val="20"/>
                <w:szCs w:val="20"/>
              </w:rPr>
              <w:t xml:space="preserve"> kapacitu ve standardu minimálně FIPS 140-3 bez nutnosti přítomnosti speciálních pevných disků včetně příslušné licence. </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Rozšiřitelnost</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bCs/>
                <w:sz w:val="20"/>
                <w:szCs w:val="20"/>
              </w:rPr>
            </w:pPr>
            <w:r w:rsidRPr="008720DF">
              <w:rPr>
                <w:rFonts w:eastAsia="Times New Roman" w:cstheme="minorHAnsi"/>
                <w:bCs/>
                <w:sz w:val="20"/>
                <w:szCs w:val="20"/>
              </w:rPr>
              <w:t>Diskové pole musí být bez výpadku rozšiřitelné až na min. 24 disků bez expanzního modulu, bez nutnosti dokupovat další řadiče, IO karty či licence.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bCs/>
                <w:sz w:val="20"/>
                <w:szCs w:val="20"/>
              </w:rPr>
            </w:pPr>
            <w:r w:rsidRPr="008720DF">
              <w:rPr>
                <w:rFonts w:eastAsia="Times New Roman" w:cstheme="minorHAnsi"/>
                <w:bCs/>
                <w:sz w:val="20"/>
                <w:szCs w:val="20"/>
              </w:rPr>
              <w:t xml:space="preserve">Diskové pole </w:t>
            </w:r>
            <w:r>
              <w:rPr>
                <w:rFonts w:eastAsia="Times New Roman" w:cstheme="minorHAnsi"/>
                <w:bCs/>
                <w:sz w:val="20"/>
                <w:szCs w:val="20"/>
              </w:rPr>
              <w:t xml:space="preserve">je </w:t>
            </w:r>
            <w:r w:rsidRPr="008720DF">
              <w:rPr>
                <w:rFonts w:eastAsia="Times New Roman" w:cstheme="minorHAnsi"/>
                <w:bCs/>
                <w:sz w:val="20"/>
                <w:szCs w:val="20"/>
              </w:rPr>
              <w:t xml:space="preserve">bez výpadku rozšiřitelné až </w:t>
            </w:r>
            <w:proofErr w:type="gramStart"/>
            <w:r w:rsidRPr="008720DF">
              <w:rPr>
                <w:rFonts w:eastAsia="Times New Roman" w:cstheme="minorHAnsi"/>
                <w:bCs/>
                <w:sz w:val="20"/>
                <w:szCs w:val="20"/>
              </w:rPr>
              <w:t>na  24</w:t>
            </w:r>
            <w:proofErr w:type="gramEnd"/>
            <w:r w:rsidRPr="008720DF">
              <w:rPr>
                <w:rFonts w:eastAsia="Times New Roman" w:cstheme="minorHAnsi"/>
                <w:bCs/>
                <w:sz w:val="20"/>
                <w:szCs w:val="20"/>
              </w:rPr>
              <w:t xml:space="preserve"> disků bez expanzního modulu, bez nutnosti dokupovat další řadiče, IO karty či licence.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bCs/>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bCs/>
                <w:sz w:val="20"/>
                <w:szCs w:val="20"/>
              </w:rPr>
            </w:pPr>
            <w:r w:rsidRPr="008720DF">
              <w:rPr>
                <w:rFonts w:eastAsia="Times New Roman" w:cstheme="minorHAnsi"/>
                <w:bCs/>
                <w:sz w:val="20"/>
                <w:szCs w:val="20"/>
              </w:rPr>
              <w:t>Celková nativní rozšiřitelnost je minimálně 350 disků, v případě nasazení více řadičů až čtyřikrát tolik disků</w:t>
            </w:r>
          </w:p>
        </w:tc>
        <w:tc>
          <w:tcPr>
            <w:tcW w:w="1501"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noProof/>
                <w:sz w:val="20"/>
                <w:szCs w:val="20"/>
              </w:rPr>
            </w:pPr>
            <w:r w:rsidRPr="008720DF">
              <w:rPr>
                <w:rFonts w:eastAsia="Times New Roman" w:cstheme="minorHAnsi"/>
                <w:bCs/>
                <w:sz w:val="20"/>
                <w:szCs w:val="20"/>
              </w:rPr>
              <w:t>Celková nativní rozšiřitelnost je 3</w:t>
            </w:r>
            <w:r>
              <w:rPr>
                <w:rFonts w:eastAsia="Times New Roman" w:cstheme="minorHAnsi"/>
                <w:bCs/>
                <w:sz w:val="20"/>
                <w:szCs w:val="20"/>
              </w:rPr>
              <w:t>68</w:t>
            </w:r>
            <w:r w:rsidRPr="008720DF">
              <w:rPr>
                <w:rFonts w:eastAsia="Times New Roman" w:cstheme="minorHAnsi"/>
                <w:bCs/>
                <w:sz w:val="20"/>
                <w:szCs w:val="20"/>
              </w:rPr>
              <w:t xml:space="preserve"> disků, v případě nasazení více řadičů až čtyřikrát tolik disků</w:t>
            </w:r>
          </w:p>
        </w:tc>
        <w:tc>
          <w:tcPr>
            <w:tcW w:w="610"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center"/>
              <w:rPr>
                <w:rFonts w:eastAsia="Times New Roman" w:cstheme="minorHAnsi"/>
                <w:noProof/>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bCs/>
                <w:sz w:val="20"/>
                <w:szCs w:val="20"/>
              </w:rPr>
            </w:pPr>
            <w:r w:rsidRPr="008720DF">
              <w:rPr>
                <w:rFonts w:eastAsia="Times New Roman" w:cstheme="minorHAnsi"/>
                <w:bCs/>
                <w:sz w:val="20"/>
                <w:szCs w:val="20"/>
              </w:rPr>
              <w:t xml:space="preserve">SSD </w:t>
            </w:r>
            <w:proofErr w:type="spellStart"/>
            <w:r w:rsidRPr="008720DF">
              <w:rPr>
                <w:rFonts w:eastAsia="Times New Roman" w:cstheme="minorHAnsi"/>
                <w:bCs/>
                <w:sz w:val="20"/>
                <w:szCs w:val="20"/>
              </w:rPr>
              <w:t>enterprise</w:t>
            </w:r>
            <w:proofErr w:type="spellEnd"/>
            <w:r w:rsidRPr="008720DF">
              <w:rPr>
                <w:rFonts w:eastAsia="Times New Roman" w:cstheme="minorHAnsi"/>
                <w:bCs/>
                <w:sz w:val="20"/>
                <w:szCs w:val="20"/>
              </w:rPr>
              <w:t xml:space="preserve"> úrovně tzn. minimálně </w:t>
            </w:r>
            <w:proofErr w:type="spellStart"/>
            <w:r w:rsidRPr="008720DF">
              <w:rPr>
                <w:rFonts w:eastAsia="Times New Roman" w:cstheme="minorHAnsi"/>
                <w:bCs/>
                <w:sz w:val="20"/>
                <w:szCs w:val="20"/>
              </w:rPr>
              <w:t>eMLC</w:t>
            </w:r>
            <w:proofErr w:type="spellEnd"/>
            <w:r w:rsidRPr="008720DF">
              <w:rPr>
                <w:rFonts w:eastAsia="Times New Roman" w:cstheme="minorHAnsi"/>
                <w:bCs/>
                <w:sz w:val="20"/>
                <w:szCs w:val="20"/>
              </w:rPr>
              <w:t xml:space="preserve">, </w:t>
            </w:r>
            <w:proofErr w:type="gramStart"/>
            <w:r w:rsidRPr="008720DF">
              <w:rPr>
                <w:rFonts w:eastAsia="Times New Roman" w:cstheme="minorHAnsi"/>
                <w:bCs/>
                <w:sz w:val="20"/>
                <w:szCs w:val="20"/>
              </w:rPr>
              <w:t>3D</w:t>
            </w:r>
            <w:proofErr w:type="gramEnd"/>
            <w:r w:rsidRPr="008720DF">
              <w:rPr>
                <w:rFonts w:eastAsia="Times New Roman" w:cstheme="minorHAnsi"/>
                <w:bCs/>
                <w:sz w:val="20"/>
                <w:szCs w:val="20"/>
              </w:rPr>
              <w:t xml:space="preserve"> TLC, SLC nebo </w:t>
            </w:r>
            <w:proofErr w:type="spellStart"/>
            <w:r w:rsidRPr="008720DF">
              <w:rPr>
                <w:rFonts w:eastAsia="Times New Roman" w:cstheme="minorHAnsi"/>
                <w:bCs/>
                <w:sz w:val="20"/>
                <w:szCs w:val="20"/>
              </w:rPr>
              <w:t>eSLC</w:t>
            </w:r>
            <w:proofErr w:type="spellEnd"/>
            <w:r w:rsidRPr="008720DF">
              <w:rPr>
                <w:rFonts w:eastAsia="Times New Roman" w:cstheme="minorHAnsi"/>
                <w:bCs/>
                <w:sz w:val="20"/>
                <w:szCs w:val="20"/>
              </w:rPr>
              <w:t xml:space="preserve"> nebo </w:t>
            </w:r>
            <w:proofErr w:type="spellStart"/>
            <w:r w:rsidRPr="008720DF">
              <w:rPr>
                <w:rFonts w:eastAsia="Times New Roman" w:cstheme="minorHAnsi"/>
                <w:bCs/>
                <w:sz w:val="20"/>
                <w:szCs w:val="20"/>
              </w:rPr>
              <w:t>enterprise</w:t>
            </w:r>
            <w:proofErr w:type="spellEnd"/>
            <w:r w:rsidRPr="008720DF">
              <w:rPr>
                <w:rFonts w:eastAsia="Times New Roman" w:cstheme="minorHAnsi"/>
                <w:bCs/>
                <w:sz w:val="20"/>
                <w:szCs w:val="20"/>
              </w:rPr>
              <w:t xml:space="preserve"> </w:t>
            </w:r>
            <w:proofErr w:type="spellStart"/>
            <w:r w:rsidRPr="008720DF">
              <w:rPr>
                <w:rFonts w:eastAsia="Times New Roman" w:cstheme="minorHAnsi"/>
                <w:bCs/>
                <w:sz w:val="20"/>
                <w:szCs w:val="20"/>
              </w:rPr>
              <w:t>flash</w:t>
            </w:r>
            <w:proofErr w:type="spellEnd"/>
            <w:r w:rsidRPr="008720DF">
              <w:rPr>
                <w:rFonts w:eastAsia="Times New Roman" w:cstheme="minorHAnsi"/>
                <w:bCs/>
                <w:sz w:val="20"/>
                <w:szCs w:val="20"/>
              </w:rPr>
              <w:t xml:space="preserve"> moduly s hodnotou DWPD 2 (po dobu 5 let) a vyšší</w:t>
            </w:r>
          </w:p>
        </w:tc>
        <w:tc>
          <w:tcPr>
            <w:tcW w:w="1501"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noProof/>
                <w:sz w:val="20"/>
                <w:szCs w:val="20"/>
              </w:rPr>
            </w:pPr>
            <w:r w:rsidRPr="008720DF">
              <w:rPr>
                <w:rFonts w:eastAsia="Times New Roman" w:cstheme="minorHAnsi"/>
                <w:bCs/>
                <w:sz w:val="20"/>
                <w:szCs w:val="20"/>
              </w:rPr>
              <w:t xml:space="preserve">SSD </w:t>
            </w:r>
            <w:proofErr w:type="spellStart"/>
            <w:r w:rsidRPr="008720DF">
              <w:rPr>
                <w:rFonts w:eastAsia="Times New Roman" w:cstheme="minorHAnsi"/>
                <w:bCs/>
                <w:sz w:val="20"/>
                <w:szCs w:val="20"/>
              </w:rPr>
              <w:t>enterprise</w:t>
            </w:r>
            <w:proofErr w:type="spellEnd"/>
            <w:r w:rsidRPr="008720DF">
              <w:rPr>
                <w:rFonts w:eastAsia="Times New Roman" w:cstheme="minorHAnsi"/>
                <w:bCs/>
                <w:sz w:val="20"/>
                <w:szCs w:val="20"/>
              </w:rPr>
              <w:t xml:space="preserve"> </w:t>
            </w:r>
            <w:proofErr w:type="gramStart"/>
            <w:r w:rsidRPr="008720DF">
              <w:rPr>
                <w:rFonts w:eastAsia="Times New Roman" w:cstheme="minorHAnsi"/>
                <w:bCs/>
                <w:sz w:val="20"/>
                <w:szCs w:val="20"/>
              </w:rPr>
              <w:t xml:space="preserve">úrovně </w:t>
            </w:r>
            <w:r>
              <w:rPr>
                <w:rFonts w:eastAsia="Times New Roman" w:cstheme="minorHAnsi"/>
                <w:bCs/>
                <w:sz w:val="20"/>
                <w:szCs w:val="20"/>
              </w:rPr>
              <w:t xml:space="preserve">- </w:t>
            </w:r>
            <w:r w:rsidRPr="008720DF">
              <w:rPr>
                <w:rFonts w:eastAsia="Times New Roman" w:cstheme="minorHAnsi"/>
                <w:bCs/>
                <w:sz w:val="20"/>
                <w:szCs w:val="20"/>
              </w:rPr>
              <w:t>nebo</w:t>
            </w:r>
            <w:proofErr w:type="gramEnd"/>
            <w:r w:rsidRPr="008720DF">
              <w:rPr>
                <w:rFonts w:eastAsia="Times New Roman" w:cstheme="minorHAnsi"/>
                <w:bCs/>
                <w:sz w:val="20"/>
                <w:szCs w:val="20"/>
              </w:rPr>
              <w:t xml:space="preserve"> </w:t>
            </w:r>
            <w:proofErr w:type="spellStart"/>
            <w:r w:rsidRPr="008720DF">
              <w:rPr>
                <w:rFonts w:eastAsia="Times New Roman" w:cstheme="minorHAnsi"/>
                <w:bCs/>
                <w:sz w:val="20"/>
                <w:szCs w:val="20"/>
              </w:rPr>
              <w:t>enterprise</w:t>
            </w:r>
            <w:proofErr w:type="spellEnd"/>
            <w:r w:rsidRPr="008720DF">
              <w:rPr>
                <w:rFonts w:eastAsia="Times New Roman" w:cstheme="minorHAnsi"/>
                <w:bCs/>
                <w:sz w:val="20"/>
                <w:szCs w:val="20"/>
              </w:rPr>
              <w:t xml:space="preserve"> </w:t>
            </w:r>
            <w:proofErr w:type="spellStart"/>
            <w:r w:rsidRPr="008720DF">
              <w:rPr>
                <w:rFonts w:eastAsia="Times New Roman" w:cstheme="minorHAnsi"/>
                <w:bCs/>
                <w:sz w:val="20"/>
                <w:szCs w:val="20"/>
              </w:rPr>
              <w:t>flash</w:t>
            </w:r>
            <w:proofErr w:type="spellEnd"/>
            <w:r w:rsidRPr="008720DF">
              <w:rPr>
                <w:rFonts w:eastAsia="Times New Roman" w:cstheme="minorHAnsi"/>
                <w:bCs/>
                <w:sz w:val="20"/>
                <w:szCs w:val="20"/>
              </w:rPr>
              <w:t xml:space="preserve"> </w:t>
            </w:r>
            <w:r>
              <w:rPr>
                <w:rFonts w:eastAsia="Times New Roman" w:cstheme="minorHAnsi"/>
                <w:bCs/>
                <w:sz w:val="20"/>
                <w:szCs w:val="20"/>
              </w:rPr>
              <w:t>FCM/</w:t>
            </w:r>
            <w:proofErr w:type="spellStart"/>
            <w:r>
              <w:rPr>
                <w:rFonts w:eastAsia="Times New Roman" w:cstheme="minorHAnsi"/>
                <w:bCs/>
                <w:sz w:val="20"/>
                <w:szCs w:val="20"/>
              </w:rPr>
              <w:t>NVMe</w:t>
            </w:r>
            <w:proofErr w:type="spellEnd"/>
            <w:r>
              <w:rPr>
                <w:rFonts w:eastAsia="Times New Roman" w:cstheme="minorHAnsi"/>
                <w:bCs/>
                <w:sz w:val="20"/>
                <w:szCs w:val="20"/>
              </w:rPr>
              <w:t xml:space="preserve"> </w:t>
            </w:r>
            <w:r w:rsidRPr="008720DF">
              <w:rPr>
                <w:rFonts w:eastAsia="Times New Roman" w:cstheme="minorHAnsi"/>
                <w:bCs/>
                <w:sz w:val="20"/>
                <w:szCs w:val="20"/>
              </w:rPr>
              <w:t>moduly s hodnotou DWPD 2 (po dobu 5 let)</w:t>
            </w:r>
          </w:p>
        </w:tc>
        <w:tc>
          <w:tcPr>
            <w:tcW w:w="610" w:type="pct"/>
            <w:tcBorders>
              <w:top w:val="nil"/>
              <w:left w:val="nil"/>
              <w:bottom w:val="single" w:sz="4" w:space="0" w:color="auto"/>
              <w:right w:val="single" w:sz="4" w:space="0" w:color="auto"/>
            </w:tcBorders>
            <w:vAlign w:val="center"/>
          </w:tcPr>
          <w:p w:rsidR="00076038" w:rsidRPr="008720DF" w:rsidRDefault="00076038" w:rsidP="00154614">
            <w:pPr>
              <w:spacing w:line="256" w:lineRule="auto"/>
              <w:jc w:val="center"/>
              <w:rPr>
                <w:rFonts w:eastAsia="Times New Roman" w:cstheme="minorHAnsi"/>
                <w:noProof/>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bCs/>
                <w:sz w:val="20"/>
                <w:szCs w:val="20"/>
              </w:rPr>
            </w:pPr>
            <w:r w:rsidRPr="008720DF">
              <w:rPr>
                <w:rFonts w:eastAsia="Times New Roman" w:cstheme="minorHAnsi"/>
                <w:bCs/>
                <w:sz w:val="20"/>
                <w:szCs w:val="20"/>
              </w:rPr>
              <w:t xml:space="preserve">Dodané pole musí být rozšiřitelné do kapacity min. 230 TB RAW bez nutnosti pořízení expanzního modulu a bez pořizování dalších licencí. Rozšíření musí být realizováno pouze pomocí přidání disků stejné velikosti, jako jsou disky v </w:t>
            </w:r>
            <w:r w:rsidRPr="008720DF">
              <w:rPr>
                <w:rFonts w:eastAsia="Times New Roman" w:cstheme="minorHAnsi"/>
                <w:bCs/>
                <w:sz w:val="20"/>
                <w:szCs w:val="20"/>
              </w:rPr>
              <w:lastRenderedPageBreak/>
              <w:t>nabídce.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bCs/>
                <w:sz w:val="20"/>
                <w:szCs w:val="20"/>
              </w:rPr>
            </w:pPr>
            <w:r>
              <w:rPr>
                <w:rFonts w:eastAsia="Times New Roman" w:cstheme="minorHAnsi"/>
                <w:bCs/>
                <w:sz w:val="20"/>
                <w:szCs w:val="20"/>
              </w:rPr>
              <w:lastRenderedPageBreak/>
              <w:t xml:space="preserve">Nabízené </w:t>
            </w:r>
            <w:r w:rsidRPr="008720DF">
              <w:rPr>
                <w:rFonts w:eastAsia="Times New Roman" w:cstheme="minorHAnsi"/>
                <w:bCs/>
                <w:sz w:val="20"/>
                <w:szCs w:val="20"/>
              </w:rPr>
              <w:t xml:space="preserve">pole </w:t>
            </w:r>
            <w:r>
              <w:rPr>
                <w:rFonts w:eastAsia="Times New Roman" w:cstheme="minorHAnsi"/>
                <w:bCs/>
                <w:sz w:val="20"/>
                <w:szCs w:val="20"/>
              </w:rPr>
              <w:t xml:space="preserve">je </w:t>
            </w:r>
            <w:r w:rsidRPr="008720DF">
              <w:rPr>
                <w:rFonts w:eastAsia="Times New Roman" w:cstheme="minorHAnsi"/>
                <w:bCs/>
                <w:sz w:val="20"/>
                <w:szCs w:val="20"/>
              </w:rPr>
              <w:t>rozšiřitelné do kapacity 230</w:t>
            </w:r>
            <w:r>
              <w:rPr>
                <w:rFonts w:eastAsia="Times New Roman" w:cstheme="minorHAnsi"/>
                <w:bCs/>
                <w:sz w:val="20"/>
                <w:szCs w:val="20"/>
              </w:rPr>
              <w:t>,4</w:t>
            </w:r>
            <w:r w:rsidRPr="008720DF">
              <w:rPr>
                <w:rFonts w:eastAsia="Times New Roman" w:cstheme="minorHAnsi"/>
                <w:bCs/>
                <w:sz w:val="20"/>
                <w:szCs w:val="20"/>
              </w:rPr>
              <w:t xml:space="preserve"> TB RAW bez nutnosti pořízení expanzního modulu a bez pořizování dalších licencí. Rozšíření </w:t>
            </w:r>
            <w:r>
              <w:rPr>
                <w:rFonts w:eastAsia="Times New Roman" w:cstheme="minorHAnsi"/>
                <w:bCs/>
                <w:sz w:val="20"/>
                <w:szCs w:val="20"/>
              </w:rPr>
              <w:t xml:space="preserve">je </w:t>
            </w:r>
            <w:r w:rsidRPr="008720DF">
              <w:rPr>
                <w:rFonts w:eastAsia="Times New Roman" w:cstheme="minorHAnsi"/>
                <w:bCs/>
                <w:sz w:val="20"/>
                <w:szCs w:val="20"/>
              </w:rPr>
              <w:t xml:space="preserve">realizováno pouze pomocí přidání </w:t>
            </w:r>
            <w:r w:rsidRPr="008720DF">
              <w:rPr>
                <w:rFonts w:eastAsia="Times New Roman" w:cstheme="minorHAnsi"/>
                <w:bCs/>
                <w:sz w:val="20"/>
                <w:szCs w:val="20"/>
              </w:rPr>
              <w:lastRenderedPageBreak/>
              <w:t>disků stejné velikosti, jako jsou disky v nabídce.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bCs/>
                <w:sz w:val="20"/>
                <w:szCs w:val="20"/>
              </w:rPr>
            </w:pPr>
            <w:r w:rsidRPr="00785C0B">
              <w:rPr>
                <w:rFonts w:eastAsia="Times New Roman" w:cstheme="minorHAnsi"/>
                <w:noProof/>
                <w:sz w:val="20"/>
                <w:szCs w:val="20"/>
              </w:rPr>
              <w:lastRenderedPageBreak/>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Podpora externí </w:t>
            </w:r>
            <w:proofErr w:type="spellStart"/>
            <w:r w:rsidRPr="008720DF">
              <w:rPr>
                <w:rFonts w:eastAsia="Times New Roman" w:cstheme="minorHAnsi"/>
                <w:sz w:val="20"/>
                <w:szCs w:val="20"/>
              </w:rPr>
              <w:t>storage</w:t>
            </w:r>
            <w:proofErr w:type="spellEnd"/>
            <w:r w:rsidRPr="008720DF">
              <w:rPr>
                <w:rFonts w:eastAsia="Times New Roman" w:cstheme="minorHAnsi"/>
                <w:sz w:val="20"/>
                <w:szCs w:val="20"/>
              </w:rPr>
              <w:t xml:space="preserve"> virtualizace pro stávající disková pole a možnost dalšího připojení externích diskových polí od různých výrobců min. pro účely migrace. Seznam podporovaných diskových systému je veřejně dostupný.</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Podpora externí </w:t>
            </w:r>
            <w:proofErr w:type="spellStart"/>
            <w:r w:rsidRPr="008720DF">
              <w:rPr>
                <w:rFonts w:eastAsia="Times New Roman" w:cstheme="minorHAnsi"/>
                <w:sz w:val="20"/>
                <w:szCs w:val="20"/>
              </w:rPr>
              <w:t>storage</w:t>
            </w:r>
            <w:proofErr w:type="spellEnd"/>
            <w:r w:rsidRPr="008720DF">
              <w:rPr>
                <w:rFonts w:eastAsia="Times New Roman" w:cstheme="minorHAnsi"/>
                <w:sz w:val="20"/>
                <w:szCs w:val="20"/>
              </w:rPr>
              <w:t xml:space="preserve"> virtualizace pro stávající disková pole a možnost dalšího připojení externích diskových polí od různých výrobců min. pro účely migrace. Seznam podporovaných diskových systému je veřejně dostupný.</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Odolnost</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lang w:eastAsia="zh-CN"/>
              </w:rPr>
            </w:pPr>
            <w:r w:rsidRPr="008720DF">
              <w:rPr>
                <w:rFonts w:eastAsia="Times New Roman" w:cstheme="minorHAnsi"/>
                <w:sz w:val="20"/>
                <w:szCs w:val="20"/>
                <w:lang w:eastAsia="zh-CN"/>
              </w:rPr>
              <w:t>Veškeré klíčové komponenty musí být redundantní a pole odolné proti výpadku jednoho napájecího zdroje, řadiče nebo propojovacího kabelu. Tyto prvky musí být vyměnitelné za provozu.</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lang w:eastAsia="zh-CN"/>
              </w:rPr>
              <w:t xml:space="preserve">Veškeré klíčové komponenty </w:t>
            </w:r>
            <w:r>
              <w:rPr>
                <w:rFonts w:eastAsia="Times New Roman" w:cstheme="minorHAnsi"/>
                <w:sz w:val="20"/>
                <w:szCs w:val="20"/>
                <w:lang w:eastAsia="zh-CN"/>
              </w:rPr>
              <w:t xml:space="preserve">jsou </w:t>
            </w:r>
            <w:r w:rsidRPr="008720DF">
              <w:rPr>
                <w:rFonts w:eastAsia="Times New Roman" w:cstheme="minorHAnsi"/>
                <w:sz w:val="20"/>
                <w:szCs w:val="20"/>
                <w:lang w:eastAsia="zh-CN"/>
              </w:rPr>
              <w:t xml:space="preserve">redundantní a pole </w:t>
            </w:r>
            <w:r>
              <w:rPr>
                <w:rFonts w:eastAsia="Times New Roman" w:cstheme="minorHAnsi"/>
                <w:sz w:val="20"/>
                <w:szCs w:val="20"/>
                <w:lang w:eastAsia="zh-CN"/>
              </w:rPr>
              <w:t xml:space="preserve">je </w:t>
            </w:r>
            <w:r w:rsidRPr="008720DF">
              <w:rPr>
                <w:rFonts w:eastAsia="Times New Roman" w:cstheme="minorHAnsi"/>
                <w:sz w:val="20"/>
                <w:szCs w:val="20"/>
                <w:lang w:eastAsia="zh-CN"/>
              </w:rPr>
              <w:t xml:space="preserve">odolné proti výpadku jednoho napájecího zdroje, řadiče nebo propojovacího kabelu. Tyto prvky </w:t>
            </w:r>
            <w:r>
              <w:rPr>
                <w:rFonts w:eastAsia="Times New Roman" w:cstheme="minorHAnsi"/>
                <w:sz w:val="20"/>
                <w:szCs w:val="20"/>
                <w:lang w:eastAsia="zh-CN"/>
              </w:rPr>
              <w:t xml:space="preserve">jsou </w:t>
            </w:r>
            <w:r w:rsidRPr="008720DF">
              <w:rPr>
                <w:rFonts w:eastAsia="Times New Roman" w:cstheme="minorHAnsi"/>
                <w:sz w:val="20"/>
                <w:szCs w:val="20"/>
                <w:lang w:eastAsia="zh-CN"/>
              </w:rPr>
              <w:t>vyměnitelné za provozu.</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Součástí dodávky musí být licence na veškeré poptávané funkce, osazené porty, řadiče, disky a přístupové protokoly bez omezení na kapacitu, počet disků a expanzních jednotek, či počet připojených serverů.</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Součástí dodávky </w:t>
            </w:r>
            <w:r>
              <w:rPr>
                <w:rFonts w:eastAsia="Times New Roman" w:cstheme="minorHAnsi"/>
                <w:sz w:val="20"/>
                <w:szCs w:val="20"/>
              </w:rPr>
              <w:t xml:space="preserve">jsou </w:t>
            </w:r>
            <w:r w:rsidRPr="008720DF">
              <w:rPr>
                <w:rFonts w:eastAsia="Times New Roman" w:cstheme="minorHAnsi"/>
                <w:sz w:val="20"/>
                <w:szCs w:val="20"/>
              </w:rPr>
              <w:t>licence na veškeré poptávané funkce, osazené porty, řadiče, disky a přístupové protokoly bez omezení na kapacitu, počet disků a expanzních jednotek, či počet připojených serverů.</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proofErr w:type="spellStart"/>
            <w:r w:rsidRPr="008720DF">
              <w:rPr>
                <w:rFonts w:eastAsia="Times New Roman" w:cstheme="minorHAnsi"/>
                <w:sz w:val="20"/>
                <w:szCs w:val="20"/>
              </w:rPr>
              <w:t>Clustering</w:t>
            </w:r>
            <w:proofErr w:type="spellEnd"/>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Pole musí podporovat funkci „metropolitního klastru diskových polí“, kdy dvě pole v různých lokalitách tvoří jedno virtuální diskové pole.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Pole musí </w:t>
            </w:r>
            <w:r>
              <w:rPr>
                <w:rFonts w:eastAsia="Times New Roman" w:cstheme="minorHAnsi"/>
                <w:sz w:val="20"/>
                <w:szCs w:val="20"/>
              </w:rPr>
              <w:t xml:space="preserve">podporuje </w:t>
            </w:r>
            <w:r w:rsidRPr="008720DF">
              <w:rPr>
                <w:rFonts w:eastAsia="Times New Roman" w:cstheme="minorHAnsi"/>
                <w:sz w:val="20"/>
                <w:szCs w:val="20"/>
              </w:rPr>
              <w:t>funkci „metropolitního klastru diskových polí“, kdy dvě pole v různých lokalitách tvoří jedno virtuální diskové pole.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Cluster diskových polí musí podporovat automatický </w:t>
            </w:r>
            <w:proofErr w:type="spellStart"/>
            <w:r w:rsidRPr="008720DF">
              <w:rPr>
                <w:rFonts w:eastAsia="Times New Roman" w:cstheme="minorHAnsi"/>
                <w:sz w:val="20"/>
                <w:szCs w:val="20"/>
              </w:rPr>
              <w:t>transparetní</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failover</w:t>
            </w:r>
            <w:proofErr w:type="spellEnd"/>
            <w:r w:rsidRPr="008720DF">
              <w:rPr>
                <w:rFonts w:eastAsia="Times New Roman" w:cstheme="minorHAnsi"/>
                <w:sz w:val="20"/>
                <w:szCs w:val="20"/>
              </w:rPr>
              <w:t>.</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Cluster diskových polí </w:t>
            </w:r>
            <w:r>
              <w:rPr>
                <w:rFonts w:eastAsia="Times New Roman" w:cstheme="minorHAnsi"/>
                <w:sz w:val="20"/>
                <w:szCs w:val="20"/>
              </w:rPr>
              <w:t xml:space="preserve">podporuje </w:t>
            </w:r>
            <w:r w:rsidRPr="008720DF">
              <w:rPr>
                <w:rFonts w:eastAsia="Times New Roman" w:cstheme="minorHAnsi"/>
                <w:sz w:val="20"/>
                <w:szCs w:val="20"/>
              </w:rPr>
              <w:t xml:space="preserve">automatický transparentní </w:t>
            </w:r>
            <w:proofErr w:type="spellStart"/>
            <w:r w:rsidRPr="008720DF">
              <w:rPr>
                <w:rFonts w:eastAsia="Times New Roman" w:cstheme="minorHAnsi"/>
                <w:sz w:val="20"/>
                <w:szCs w:val="20"/>
              </w:rPr>
              <w:t>failover</w:t>
            </w:r>
            <w:proofErr w:type="spellEnd"/>
            <w:r w:rsidRPr="008720DF">
              <w:rPr>
                <w:rFonts w:eastAsia="Times New Roman" w:cstheme="minorHAnsi"/>
                <w:sz w:val="20"/>
                <w:szCs w:val="20"/>
              </w:rPr>
              <w: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Odolnost proti ransomware</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lang w:eastAsia="zh-CN"/>
              </w:rPr>
            </w:pPr>
            <w:r w:rsidRPr="008720DF">
              <w:rPr>
                <w:rFonts w:eastAsia="Times New Roman" w:cstheme="minorHAnsi"/>
                <w:sz w:val="20"/>
                <w:szCs w:val="20"/>
                <w:lang w:eastAsia="zh-CN"/>
              </w:rPr>
              <w:t xml:space="preserve">Pole musí podporovat funkci ochrany proti ransomware útokům nativní funkcionalitou nabízeného pole v rámci jeho funkcionalit. Řešení z aplikační vrstvy pomocí aplikací třetích stran není přípustné. Řešení musí být pro tento účel jasně popsané a </w:t>
            </w:r>
            <w:r w:rsidRPr="008720DF">
              <w:rPr>
                <w:rFonts w:eastAsia="Times New Roman" w:cstheme="minorHAnsi"/>
                <w:sz w:val="20"/>
                <w:szCs w:val="20"/>
              </w:rPr>
              <w:t>určené</w:t>
            </w:r>
            <w:r w:rsidRPr="008720DF">
              <w:rPr>
                <w:rFonts w:eastAsia="Times New Roman" w:cstheme="minorHAnsi"/>
                <w:sz w:val="20"/>
                <w:szCs w:val="20"/>
                <w:lang w:eastAsia="zh-CN"/>
              </w:rPr>
              <w:t xml:space="preserve">, např. ochrana </w:t>
            </w:r>
            <w:proofErr w:type="spellStart"/>
            <w:r w:rsidRPr="008720DF">
              <w:rPr>
                <w:rFonts w:eastAsia="Times New Roman" w:cstheme="minorHAnsi"/>
                <w:sz w:val="20"/>
                <w:szCs w:val="20"/>
                <w:lang w:eastAsia="zh-CN"/>
              </w:rPr>
              <w:t>LUNu</w:t>
            </w:r>
            <w:proofErr w:type="spellEnd"/>
            <w:r w:rsidRPr="008720DF">
              <w:rPr>
                <w:rFonts w:eastAsia="Times New Roman" w:cstheme="minorHAnsi"/>
                <w:sz w:val="20"/>
                <w:szCs w:val="20"/>
                <w:lang w:eastAsia="zh-CN"/>
              </w:rPr>
              <w:t xml:space="preserve"> pouze nastavením do </w:t>
            </w:r>
            <w:proofErr w:type="spellStart"/>
            <w:r w:rsidRPr="008720DF">
              <w:rPr>
                <w:rFonts w:eastAsia="Times New Roman" w:cstheme="minorHAnsi"/>
                <w:sz w:val="20"/>
                <w:szCs w:val="20"/>
                <w:lang w:eastAsia="zh-CN"/>
              </w:rPr>
              <w:t>read-only</w:t>
            </w:r>
            <w:proofErr w:type="spellEnd"/>
            <w:r w:rsidRPr="008720DF">
              <w:rPr>
                <w:rFonts w:eastAsia="Times New Roman" w:cstheme="minorHAnsi"/>
                <w:sz w:val="20"/>
                <w:szCs w:val="20"/>
                <w:lang w:eastAsia="zh-CN"/>
              </w:rPr>
              <w:t xml:space="preserve"> modu není dostatečná pro splnění tohoto požadavku.</w:t>
            </w:r>
          </w:p>
          <w:p w:rsidR="00076038" w:rsidRPr="008720DF" w:rsidRDefault="00076038" w:rsidP="00154614">
            <w:pPr>
              <w:spacing w:line="256" w:lineRule="auto"/>
              <w:jc w:val="both"/>
              <w:rPr>
                <w:rFonts w:eastAsia="Times New Roman" w:cstheme="minorHAnsi"/>
                <w:sz w:val="20"/>
                <w:szCs w:val="20"/>
              </w:rPr>
            </w:pPr>
          </w:p>
        </w:tc>
        <w:tc>
          <w:tcPr>
            <w:tcW w:w="1501" w:type="pct"/>
            <w:tcBorders>
              <w:top w:val="nil"/>
              <w:left w:val="nil"/>
              <w:bottom w:val="single" w:sz="4" w:space="0" w:color="auto"/>
              <w:right w:val="single" w:sz="4" w:space="0" w:color="auto"/>
            </w:tcBorders>
            <w:vAlign w:val="center"/>
            <w:hideMark/>
          </w:tcPr>
          <w:p w:rsidR="00076038" w:rsidRDefault="00076038" w:rsidP="00154614">
            <w:pPr>
              <w:spacing w:line="256" w:lineRule="auto"/>
              <w:jc w:val="both"/>
              <w:rPr>
                <w:rFonts w:eastAsia="Times New Roman" w:cstheme="minorHAnsi"/>
                <w:sz w:val="20"/>
                <w:szCs w:val="20"/>
                <w:lang w:eastAsia="zh-CN"/>
              </w:rPr>
            </w:pPr>
            <w:r w:rsidRPr="008720DF">
              <w:rPr>
                <w:rFonts w:eastAsia="Times New Roman" w:cstheme="minorHAnsi"/>
                <w:sz w:val="20"/>
                <w:szCs w:val="20"/>
                <w:lang w:eastAsia="zh-CN"/>
              </w:rPr>
              <w:t xml:space="preserve">Pole </w:t>
            </w:r>
            <w:r>
              <w:rPr>
                <w:rFonts w:eastAsia="Times New Roman" w:cstheme="minorHAnsi"/>
                <w:sz w:val="20"/>
                <w:szCs w:val="20"/>
                <w:lang w:eastAsia="zh-CN"/>
              </w:rPr>
              <w:t xml:space="preserve">podporuje </w:t>
            </w:r>
            <w:r w:rsidRPr="008720DF">
              <w:rPr>
                <w:rFonts w:eastAsia="Times New Roman" w:cstheme="minorHAnsi"/>
                <w:sz w:val="20"/>
                <w:szCs w:val="20"/>
                <w:lang w:eastAsia="zh-CN"/>
              </w:rPr>
              <w:t xml:space="preserve">funkci ochrany proti ransomware útokům nativní funkcionalitou nabízeného pole </w:t>
            </w:r>
            <w:r>
              <w:rPr>
                <w:rFonts w:eastAsia="Times New Roman" w:cstheme="minorHAnsi"/>
                <w:sz w:val="20"/>
                <w:szCs w:val="20"/>
                <w:lang w:eastAsia="zh-CN"/>
              </w:rPr>
              <w:t xml:space="preserve">– funkcionalita </w:t>
            </w:r>
            <w:proofErr w:type="spellStart"/>
            <w:r w:rsidRPr="00E034C0">
              <w:rPr>
                <w:rFonts w:eastAsia="Times New Roman" w:cstheme="minorHAnsi"/>
                <w:sz w:val="20"/>
                <w:szCs w:val="20"/>
                <w:lang w:eastAsia="zh-CN"/>
              </w:rPr>
              <w:t>Safeguarded</w:t>
            </w:r>
            <w:proofErr w:type="spellEnd"/>
            <w:r w:rsidRPr="00E034C0">
              <w:rPr>
                <w:rFonts w:eastAsia="Times New Roman" w:cstheme="minorHAnsi"/>
                <w:sz w:val="20"/>
                <w:szCs w:val="20"/>
                <w:lang w:eastAsia="zh-CN"/>
              </w:rPr>
              <w:t xml:space="preserve"> Copy</w:t>
            </w:r>
            <w:r>
              <w:rPr>
                <w:rFonts w:eastAsia="Times New Roman" w:cstheme="minorHAnsi"/>
                <w:sz w:val="20"/>
                <w:szCs w:val="20"/>
                <w:lang w:eastAsia="zh-CN"/>
              </w:rPr>
              <w:t xml:space="preserve">. </w:t>
            </w:r>
          </w:p>
          <w:p w:rsidR="00076038" w:rsidRPr="00DB4AF1" w:rsidRDefault="00076038" w:rsidP="00154614">
            <w:pPr>
              <w:spacing w:line="256" w:lineRule="auto"/>
              <w:jc w:val="both"/>
              <w:rPr>
                <w:rFonts w:eastAsia="Times New Roman" w:cstheme="minorHAnsi"/>
                <w:sz w:val="20"/>
                <w:szCs w:val="20"/>
                <w:lang w:eastAsia="zh-CN"/>
              </w:rPr>
            </w:pPr>
            <w:r>
              <w:rPr>
                <w:rFonts w:eastAsia="Times New Roman" w:cstheme="minorHAnsi"/>
                <w:sz w:val="20"/>
                <w:szCs w:val="20"/>
                <w:lang w:eastAsia="zh-CN"/>
              </w:rPr>
              <w:t>S</w:t>
            </w:r>
            <w:r w:rsidRPr="00DB4AF1">
              <w:rPr>
                <w:rFonts w:eastAsia="Times New Roman" w:cstheme="minorHAnsi"/>
                <w:sz w:val="20"/>
                <w:szCs w:val="20"/>
                <w:lang w:eastAsia="zh-CN"/>
              </w:rPr>
              <w:t>právce může vytvářet kopie dat neměnné v čase.</w:t>
            </w:r>
          </w:p>
          <w:p w:rsidR="00076038" w:rsidRPr="00E034C0" w:rsidRDefault="00076038" w:rsidP="00154614">
            <w:pPr>
              <w:spacing w:line="256" w:lineRule="auto"/>
              <w:jc w:val="both"/>
              <w:rPr>
                <w:rFonts w:eastAsia="Times New Roman" w:cstheme="minorHAnsi"/>
                <w:sz w:val="20"/>
                <w:szCs w:val="20"/>
                <w:lang w:eastAsia="zh-CN"/>
              </w:rPr>
            </w:pPr>
            <w:r w:rsidRPr="00DB4AF1">
              <w:rPr>
                <w:rFonts w:eastAsia="Times New Roman" w:cstheme="minorHAnsi"/>
                <w:sz w:val="20"/>
                <w:szCs w:val="20"/>
                <w:lang w:eastAsia="zh-CN"/>
              </w:rPr>
              <w:t xml:space="preserve">Správce nemůže tyto zabezpečené kopie odstranit ani vymazat a nemůže ani odstranit nebo ohrozit </w:t>
            </w:r>
            <w:r>
              <w:rPr>
                <w:rFonts w:eastAsia="Times New Roman" w:cstheme="minorHAnsi"/>
                <w:sz w:val="20"/>
                <w:szCs w:val="20"/>
                <w:lang w:eastAsia="zh-CN"/>
              </w:rPr>
              <w:t>pooly</w:t>
            </w:r>
            <w:r w:rsidRPr="00DB4AF1">
              <w:rPr>
                <w:rFonts w:eastAsia="Times New Roman" w:cstheme="minorHAnsi"/>
                <w:sz w:val="20"/>
                <w:szCs w:val="20"/>
                <w:lang w:eastAsia="zh-CN"/>
              </w:rPr>
              <w:t>, ve kterých jsou kopie uloženy.</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SW Funkce</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Pole musí podporovat funkci pro On-line </w:t>
            </w:r>
            <w:proofErr w:type="spellStart"/>
            <w:r w:rsidRPr="008720DF">
              <w:rPr>
                <w:rFonts w:eastAsia="Times New Roman" w:cstheme="minorHAnsi"/>
                <w:sz w:val="20"/>
                <w:szCs w:val="20"/>
              </w:rPr>
              <w:t>bezvýpadkovou</w:t>
            </w:r>
            <w:proofErr w:type="spellEnd"/>
            <w:r w:rsidRPr="008720DF">
              <w:rPr>
                <w:rFonts w:eastAsia="Times New Roman" w:cstheme="minorHAnsi"/>
                <w:sz w:val="20"/>
                <w:szCs w:val="20"/>
              </w:rPr>
              <w:t xml:space="preserve"> expanzi </w:t>
            </w:r>
            <w:r w:rsidRPr="008720DF">
              <w:rPr>
                <w:rFonts w:eastAsia="Times New Roman" w:cstheme="minorHAnsi"/>
                <w:sz w:val="20"/>
                <w:szCs w:val="20"/>
              </w:rPr>
              <w:lastRenderedPageBreak/>
              <w:t>LUN.</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lastRenderedPageBreak/>
              <w:t xml:space="preserve">Pole </w:t>
            </w:r>
            <w:r>
              <w:rPr>
                <w:rFonts w:eastAsia="Times New Roman" w:cstheme="minorHAnsi"/>
                <w:sz w:val="20"/>
                <w:szCs w:val="20"/>
              </w:rPr>
              <w:t xml:space="preserve">podporuje </w:t>
            </w:r>
            <w:r w:rsidRPr="008720DF">
              <w:rPr>
                <w:rFonts w:eastAsia="Times New Roman" w:cstheme="minorHAnsi"/>
                <w:sz w:val="20"/>
                <w:szCs w:val="20"/>
              </w:rPr>
              <w:t xml:space="preserve">funkci pro On-line </w:t>
            </w:r>
            <w:proofErr w:type="spellStart"/>
            <w:r w:rsidRPr="008720DF">
              <w:rPr>
                <w:rFonts w:eastAsia="Times New Roman" w:cstheme="minorHAnsi"/>
                <w:sz w:val="20"/>
                <w:szCs w:val="20"/>
              </w:rPr>
              <w:t>bezvýpadkovou</w:t>
            </w:r>
            <w:proofErr w:type="spellEnd"/>
            <w:r w:rsidRPr="008720DF">
              <w:rPr>
                <w:rFonts w:eastAsia="Times New Roman" w:cstheme="minorHAnsi"/>
                <w:sz w:val="20"/>
                <w:szCs w:val="20"/>
              </w:rPr>
              <w:t xml:space="preserve"> </w:t>
            </w:r>
            <w:r w:rsidRPr="008720DF">
              <w:rPr>
                <w:rFonts w:eastAsia="Times New Roman" w:cstheme="minorHAnsi"/>
                <w:sz w:val="20"/>
                <w:szCs w:val="20"/>
              </w:rPr>
              <w:lastRenderedPageBreak/>
              <w:t>expanzi LUN.</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lastRenderedPageBreak/>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Pole musí obsahovat funkci pro asynchronní i synchronní replikaci dat, bez licenčních omezení na kapacitu.</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DB4AF1">
              <w:rPr>
                <w:rFonts w:eastAsia="Times New Roman" w:cstheme="minorHAnsi"/>
                <w:noProof/>
                <w:sz w:val="20"/>
                <w:szCs w:val="20"/>
              </w:rPr>
              <w:t>Pole musí obsahovat funkci pro asynchronní i synchronní replikaci dat, bez licenčních omezení na kapacitu</w:t>
            </w:r>
            <w:r>
              <w:rPr>
                <w:rFonts w:eastAsia="Times New Roman" w:cstheme="minorHAnsi"/>
                <w:noProof/>
                <w:sz w:val="20"/>
                <w:szCs w:val="20"/>
              </w:rPr>
              <w:t xml:space="preserve"> – </w:t>
            </w:r>
            <w:r w:rsidRPr="00BF25D8">
              <w:rPr>
                <w:rFonts w:eastAsia="Times New Roman" w:cstheme="minorHAnsi"/>
                <w:noProof/>
                <w:sz w:val="20"/>
                <w:szCs w:val="20"/>
              </w:rPr>
              <w:t>Metro Mirror</w:t>
            </w:r>
            <w:r>
              <w:rPr>
                <w:rFonts w:eastAsia="Times New Roman" w:cstheme="minorHAnsi"/>
                <w:noProof/>
                <w:sz w:val="20"/>
                <w:szCs w:val="20"/>
              </w:rPr>
              <w:t xml:space="preserve"> </w:t>
            </w:r>
            <w:r w:rsidRPr="00BF25D8">
              <w:rPr>
                <w:rFonts w:eastAsia="Times New Roman" w:cstheme="minorHAnsi"/>
                <w:noProof/>
                <w:sz w:val="20"/>
                <w:szCs w:val="20"/>
              </w:rPr>
              <w:t>(</w:t>
            </w:r>
            <w:r>
              <w:rPr>
                <w:rFonts w:eastAsia="Times New Roman" w:cstheme="minorHAnsi"/>
                <w:noProof/>
                <w:sz w:val="20"/>
                <w:szCs w:val="20"/>
              </w:rPr>
              <w:t>synchronní replikace</w:t>
            </w:r>
            <w:r w:rsidRPr="00BF25D8">
              <w:rPr>
                <w:rFonts w:eastAsia="Times New Roman" w:cstheme="minorHAnsi"/>
                <w:noProof/>
                <w:sz w:val="20"/>
                <w:szCs w:val="20"/>
              </w:rPr>
              <w:t>), and Global Mirror (</w:t>
            </w:r>
            <w:r>
              <w:rPr>
                <w:rFonts w:eastAsia="Times New Roman" w:cstheme="minorHAnsi"/>
                <w:noProof/>
                <w:sz w:val="20"/>
                <w:szCs w:val="20"/>
              </w:rPr>
              <w:t>asynchronní replikace</w:t>
            </w:r>
            <w:r w:rsidRPr="00BF25D8">
              <w:rPr>
                <w:rFonts w:eastAsia="Times New Roman" w:cstheme="minorHAnsi"/>
                <w:noProof/>
                <w:sz w:val="20"/>
                <w:szCs w:val="20"/>
              </w:rPr>
              <w:t>)</w:t>
            </w:r>
            <w:r w:rsidRPr="00DB4AF1">
              <w:rPr>
                <w:rFonts w:eastAsia="Times New Roman" w:cstheme="minorHAnsi"/>
                <w:noProof/>
                <w:sz w:val="20"/>
                <w:szCs w:val="20"/>
              </w:rPr>
              <w: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Firmware všech komponent diskového pole lze aktualizovat za běhu, bez dopadu na provoz.</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Firmware všech komponent diskového pole lze aktualizovat za běhu, bez dopadu na provoz.</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Management diskového pole plně podporuje protokol IPv4 i IPv6.</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Management diskového pole plně podporuje protokol IPv4 i IPv6.</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Vzdálený management diskového pole s grafickým rozhraním (GUI) dostupným přes HTTPS z webových prohlížečů (</w:t>
            </w:r>
            <w:proofErr w:type="spellStart"/>
            <w:r w:rsidRPr="008720DF">
              <w:rPr>
                <w:rFonts w:eastAsia="Times New Roman" w:cstheme="minorHAnsi"/>
                <w:sz w:val="20"/>
                <w:szCs w:val="20"/>
              </w:rPr>
              <w:t>Edge</w:t>
            </w:r>
            <w:proofErr w:type="spellEnd"/>
            <w:r w:rsidRPr="008720DF">
              <w:rPr>
                <w:rFonts w:eastAsia="Times New Roman" w:cstheme="minorHAnsi"/>
                <w:sz w:val="20"/>
                <w:szCs w:val="20"/>
              </w:rPr>
              <w:t xml:space="preserve">, Chrome, </w:t>
            </w:r>
            <w:proofErr w:type="spellStart"/>
            <w:r w:rsidRPr="008720DF">
              <w:rPr>
                <w:rFonts w:eastAsia="Times New Roman" w:cstheme="minorHAnsi"/>
                <w:sz w:val="20"/>
                <w:szCs w:val="20"/>
              </w:rPr>
              <w:t>FireFox</w:t>
            </w:r>
            <w:proofErr w:type="spellEnd"/>
            <w:r w:rsidRPr="008720DF">
              <w:rPr>
                <w:rFonts w:eastAsia="Times New Roman" w:cstheme="minorHAnsi"/>
                <w:sz w:val="20"/>
                <w:szCs w:val="20"/>
              </w:rPr>
              <w:t xml:space="preserve"> apod.) na běžných platformách OS Windows, Linux bez nároku na licence.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Vzdálený management diskového pole s grafickým rozhraním (GUI) dostupným přes HTTPS z webových prohlížečů (</w:t>
            </w:r>
            <w:proofErr w:type="spellStart"/>
            <w:r w:rsidRPr="008720DF">
              <w:rPr>
                <w:rFonts w:eastAsia="Times New Roman" w:cstheme="minorHAnsi"/>
                <w:sz w:val="20"/>
                <w:szCs w:val="20"/>
              </w:rPr>
              <w:t>Edge</w:t>
            </w:r>
            <w:proofErr w:type="spellEnd"/>
            <w:r w:rsidRPr="008720DF">
              <w:rPr>
                <w:rFonts w:eastAsia="Times New Roman" w:cstheme="minorHAnsi"/>
                <w:sz w:val="20"/>
                <w:szCs w:val="20"/>
              </w:rPr>
              <w:t xml:space="preserve">, Chrome, </w:t>
            </w:r>
            <w:proofErr w:type="spellStart"/>
            <w:r w:rsidRPr="008720DF">
              <w:rPr>
                <w:rFonts w:eastAsia="Times New Roman" w:cstheme="minorHAnsi"/>
                <w:sz w:val="20"/>
                <w:szCs w:val="20"/>
              </w:rPr>
              <w:t>FireFox</w:t>
            </w:r>
            <w:proofErr w:type="spellEnd"/>
            <w:r w:rsidRPr="008720DF">
              <w:rPr>
                <w:rFonts w:eastAsia="Times New Roman" w:cstheme="minorHAnsi"/>
                <w:sz w:val="20"/>
                <w:szCs w:val="20"/>
              </w:rPr>
              <w:t xml:space="preserve"> apod.) na běžných platformách OS Windows, Linux bez nároku na licence.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Vzdálený management diskového pole lze provádět i přes příkazovou řádku CLI.</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Vzdálený management diskového pole lze provádět i přes příkazovou řádku CLI.</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Odesílání stavových a chybových hlášení emailem.</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Odesílání stavových a chybových hlášení emailem.</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hideMark/>
          </w:tcPr>
          <w:p w:rsidR="00076038" w:rsidRPr="008720DF" w:rsidRDefault="00076038" w:rsidP="00154614">
            <w:pPr>
              <w:spacing w:line="256" w:lineRule="auto"/>
              <w:jc w:val="both"/>
              <w:rPr>
                <w:rFonts w:eastAsia="Times New Roman" w:cstheme="minorHAnsi"/>
                <w:sz w:val="20"/>
                <w:szCs w:val="20"/>
              </w:rPr>
            </w:pPr>
            <w:r w:rsidRPr="006B2562">
              <w:rPr>
                <w:rFonts w:eastAsia="Times New Roman" w:cstheme="minorHAnsi"/>
                <w:sz w:val="20"/>
                <w:szCs w:val="20"/>
              </w:rPr>
              <w:t xml:space="preserve">Možnost přímého reportování stavu a chyb dodavateli s proaktivním </w:t>
            </w:r>
            <w:proofErr w:type="gramStart"/>
            <w:r w:rsidRPr="006B2562">
              <w:rPr>
                <w:rFonts w:eastAsia="Times New Roman" w:cstheme="minorHAnsi"/>
                <w:sz w:val="20"/>
                <w:szCs w:val="20"/>
              </w:rPr>
              <w:t>vyhodnocováním - nastavitelná</w:t>
            </w:r>
            <w:proofErr w:type="gramEnd"/>
            <w:r w:rsidRPr="006B2562">
              <w:rPr>
                <w:rFonts w:eastAsia="Times New Roman" w:cstheme="minorHAnsi"/>
                <w:sz w:val="20"/>
                <w:szCs w:val="20"/>
              </w:rPr>
              <w:t xml:space="preserve"> funkce s možností zapnutí nebo vypnutí.</w:t>
            </w:r>
          </w:p>
        </w:tc>
        <w:tc>
          <w:tcPr>
            <w:tcW w:w="1501" w:type="pct"/>
            <w:tcBorders>
              <w:top w:val="nil"/>
              <w:left w:val="nil"/>
              <w:bottom w:val="single" w:sz="4" w:space="0" w:color="auto"/>
              <w:right w:val="single" w:sz="4" w:space="0" w:color="auto"/>
            </w:tcBorders>
            <w:hideMark/>
          </w:tcPr>
          <w:p w:rsidR="00076038" w:rsidRPr="008720DF" w:rsidRDefault="00076038" w:rsidP="00154614">
            <w:pPr>
              <w:spacing w:line="256" w:lineRule="auto"/>
              <w:jc w:val="both"/>
              <w:rPr>
                <w:rFonts w:eastAsia="Times New Roman" w:cstheme="minorHAnsi"/>
                <w:sz w:val="20"/>
                <w:szCs w:val="20"/>
              </w:rPr>
            </w:pPr>
            <w:r w:rsidRPr="006B2562">
              <w:rPr>
                <w:rFonts w:eastAsia="Times New Roman" w:cstheme="minorHAnsi"/>
                <w:sz w:val="20"/>
                <w:szCs w:val="20"/>
              </w:rPr>
              <w:t xml:space="preserve">Možnost přímého reportování stavu a chyb dodavateli s proaktivním </w:t>
            </w:r>
            <w:proofErr w:type="gramStart"/>
            <w:r w:rsidRPr="006B2562">
              <w:rPr>
                <w:rFonts w:eastAsia="Times New Roman" w:cstheme="minorHAnsi"/>
                <w:sz w:val="20"/>
                <w:szCs w:val="20"/>
              </w:rPr>
              <w:t>vyhodnocováním - nastavitelná</w:t>
            </w:r>
            <w:proofErr w:type="gramEnd"/>
            <w:r w:rsidRPr="006B2562">
              <w:rPr>
                <w:rFonts w:eastAsia="Times New Roman" w:cstheme="minorHAnsi"/>
                <w:sz w:val="20"/>
                <w:szCs w:val="20"/>
              </w:rPr>
              <w:t xml:space="preserve"> funkce s možností zapnutí nebo vypnutí.</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Podpora protokolu min. SNMPv2 a vyšší.</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Podpora protokolu SNMPv2 a vyšší.</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Kompatibilita</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Plná kompatibilita s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vSphere</w:t>
            </w:r>
            <w:proofErr w:type="spellEnd"/>
            <w:r w:rsidRPr="008720DF">
              <w:rPr>
                <w:rFonts w:eastAsia="Times New Roman" w:cstheme="minorHAnsi"/>
                <w:sz w:val="20"/>
                <w:szCs w:val="20"/>
              </w:rPr>
              <w:t xml:space="preserve"> 7.x a vyššími včetně VAAI, VASA a VVOL integrací, Microsoft Windows Server 2016 a vyšší včetně Microsoft VSS podpory, podpora Hyper-V.</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Plná kompatibilita s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vSphere</w:t>
            </w:r>
            <w:proofErr w:type="spellEnd"/>
            <w:r w:rsidRPr="008720DF">
              <w:rPr>
                <w:rFonts w:eastAsia="Times New Roman" w:cstheme="minorHAnsi"/>
                <w:sz w:val="20"/>
                <w:szCs w:val="20"/>
              </w:rPr>
              <w:t xml:space="preserve"> 7.x a vyššími včetně VAAI, VASA a VVOL integrací, Microsoft Windows Server 2016 a vyšší včetně Microsoft VSS podpory, podpora Hyper-V.</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after="120" w:line="256" w:lineRule="auto"/>
              <w:jc w:val="both"/>
              <w:rPr>
                <w:rFonts w:eastAsia="Times New Roman" w:cstheme="minorHAnsi"/>
                <w:sz w:val="20"/>
                <w:szCs w:val="20"/>
              </w:rPr>
            </w:pPr>
            <w:r w:rsidRPr="008720DF">
              <w:rPr>
                <w:rFonts w:eastAsia="Times New Roman" w:cstheme="minorHAnsi"/>
                <w:sz w:val="20"/>
                <w:szCs w:val="20"/>
              </w:rPr>
              <w:t xml:space="preserve">Podpora pro RDM připojení do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vSphere</w:t>
            </w:r>
            <w:proofErr w:type="spellEnd"/>
            <w:r w:rsidRPr="008720DF">
              <w:rPr>
                <w:rFonts w:eastAsia="Times New Roman" w:cstheme="minorHAnsi"/>
                <w:sz w:val="20"/>
                <w:szCs w:val="20"/>
              </w:rPr>
              <w:t xml:space="preserve"> 7.x pro Microsoft SQL server Cluster.</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Podpora pro RDM připojení do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vSphere</w:t>
            </w:r>
            <w:proofErr w:type="spellEnd"/>
            <w:r w:rsidRPr="008720DF">
              <w:rPr>
                <w:rFonts w:eastAsia="Times New Roman" w:cstheme="minorHAnsi"/>
                <w:sz w:val="20"/>
                <w:szCs w:val="20"/>
              </w:rPr>
              <w:t xml:space="preserve"> 7.x pro Microsoft SQL server Cluster.</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Nabízené řešení musí být plně kompatibilní s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Metro </w:t>
            </w:r>
            <w:proofErr w:type="spellStart"/>
            <w:r w:rsidRPr="008720DF">
              <w:rPr>
                <w:rFonts w:eastAsia="Times New Roman" w:cstheme="minorHAnsi"/>
                <w:sz w:val="20"/>
                <w:szCs w:val="20"/>
              </w:rPr>
              <w:lastRenderedPageBreak/>
              <w:t>Storage</w:t>
            </w:r>
            <w:proofErr w:type="spellEnd"/>
            <w:r w:rsidRPr="008720DF">
              <w:rPr>
                <w:rFonts w:eastAsia="Times New Roman" w:cstheme="minorHAnsi"/>
                <w:sz w:val="20"/>
                <w:szCs w:val="20"/>
              </w:rPr>
              <w:t xml:space="preserve"> Cluster funkcionalitou, tzn. musí být dohledatelné v matici kompatibility na stránkách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lastRenderedPageBreak/>
              <w:t xml:space="preserve">Nabízené řešení </w:t>
            </w:r>
            <w:r>
              <w:rPr>
                <w:rFonts w:eastAsia="Times New Roman" w:cstheme="minorHAnsi"/>
                <w:sz w:val="20"/>
                <w:szCs w:val="20"/>
              </w:rPr>
              <w:t xml:space="preserve">je plně </w:t>
            </w:r>
            <w:r w:rsidRPr="008720DF">
              <w:rPr>
                <w:rFonts w:eastAsia="Times New Roman" w:cstheme="minorHAnsi"/>
                <w:sz w:val="20"/>
                <w:szCs w:val="20"/>
              </w:rPr>
              <w:t xml:space="preserve">kompatibilní s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 xml:space="preserve"> </w:t>
            </w:r>
            <w:r w:rsidRPr="008720DF">
              <w:rPr>
                <w:rFonts w:eastAsia="Times New Roman" w:cstheme="minorHAnsi"/>
                <w:sz w:val="20"/>
                <w:szCs w:val="20"/>
              </w:rPr>
              <w:lastRenderedPageBreak/>
              <w:t xml:space="preserve">Metro </w:t>
            </w:r>
            <w:proofErr w:type="spellStart"/>
            <w:r w:rsidRPr="008720DF">
              <w:rPr>
                <w:rFonts w:eastAsia="Times New Roman" w:cstheme="minorHAnsi"/>
                <w:sz w:val="20"/>
                <w:szCs w:val="20"/>
              </w:rPr>
              <w:t>Storage</w:t>
            </w:r>
            <w:proofErr w:type="spellEnd"/>
            <w:r w:rsidRPr="008720DF">
              <w:rPr>
                <w:rFonts w:eastAsia="Times New Roman" w:cstheme="minorHAnsi"/>
                <w:sz w:val="20"/>
                <w:szCs w:val="20"/>
              </w:rPr>
              <w:t xml:space="preserve"> Cluster </w:t>
            </w:r>
            <w:proofErr w:type="spellStart"/>
            <w:r w:rsidRPr="008720DF">
              <w:rPr>
                <w:rFonts w:eastAsia="Times New Roman" w:cstheme="minorHAnsi"/>
                <w:sz w:val="20"/>
                <w:szCs w:val="20"/>
              </w:rPr>
              <w:t>funkcionalitou</w:t>
            </w:r>
            <w:r>
              <w:rPr>
                <w:rFonts w:eastAsia="Times New Roman" w:cstheme="minorHAnsi"/>
                <w:sz w:val="20"/>
                <w:szCs w:val="20"/>
              </w:rPr>
              <w:t>a</w:t>
            </w:r>
            <w:proofErr w:type="spellEnd"/>
            <w:r>
              <w:rPr>
                <w:rFonts w:eastAsia="Times New Roman" w:cstheme="minorHAnsi"/>
                <w:sz w:val="20"/>
                <w:szCs w:val="20"/>
              </w:rPr>
              <w:t xml:space="preserve"> je</w:t>
            </w:r>
            <w:r w:rsidRPr="008720DF">
              <w:rPr>
                <w:rFonts w:eastAsia="Times New Roman" w:cstheme="minorHAnsi"/>
                <w:sz w:val="20"/>
                <w:szCs w:val="20"/>
              </w:rPr>
              <w:t xml:space="preserve"> dohledatelné v matici kompatibility na stránkách </w:t>
            </w:r>
            <w:proofErr w:type="spellStart"/>
            <w:r w:rsidRPr="008720DF">
              <w:rPr>
                <w:rFonts w:eastAsia="Times New Roman" w:cstheme="minorHAnsi"/>
                <w:sz w:val="20"/>
                <w:szCs w:val="20"/>
              </w:rPr>
              <w:t>VMware</w:t>
            </w:r>
            <w:proofErr w:type="spellEnd"/>
            <w:r w:rsidRPr="008720DF">
              <w:rPr>
                <w:rFonts w:eastAsia="Times New Roman" w:cstheme="minorHAnsi"/>
                <w:sz w:val="20"/>
                <w:szCs w:val="20"/>
              </w:rPr>
              <w:t>.</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lastRenderedPageBreak/>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highlight w:val="yellow"/>
              </w:rPr>
            </w:pPr>
            <w:r w:rsidRPr="008720DF">
              <w:rPr>
                <w:rFonts w:eastAsia="Times New Roman" w:cstheme="minorHAnsi"/>
                <w:sz w:val="20"/>
                <w:szCs w:val="20"/>
              </w:rPr>
              <w:t>Formát</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Diskové pole je uzpůsobené pro montáž do standardního rozvaděče 19“ (je v provedení „</w:t>
            </w:r>
            <w:proofErr w:type="spellStart"/>
            <w:r w:rsidRPr="008720DF">
              <w:rPr>
                <w:rFonts w:eastAsia="Times New Roman" w:cstheme="minorHAnsi"/>
                <w:sz w:val="20"/>
                <w:szCs w:val="20"/>
              </w:rPr>
              <w:t>rack</w:t>
            </w:r>
            <w:proofErr w:type="spellEnd"/>
            <w:r w:rsidRPr="008720DF">
              <w:rPr>
                <w:rFonts w:eastAsia="Times New Roman" w:cstheme="minorHAnsi"/>
                <w:sz w:val="20"/>
                <w:szCs w:val="20"/>
              </w:rPr>
              <w:t>“). Velikost max. 2U.</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Diskové pole je uzpůsobené pro montáž do standardního rozvaděče 19“ (je v provedení „</w:t>
            </w:r>
            <w:proofErr w:type="spellStart"/>
            <w:r w:rsidRPr="008720DF">
              <w:rPr>
                <w:rFonts w:eastAsia="Times New Roman" w:cstheme="minorHAnsi"/>
                <w:sz w:val="20"/>
                <w:szCs w:val="20"/>
              </w:rPr>
              <w:t>rack</w:t>
            </w:r>
            <w:proofErr w:type="spellEnd"/>
            <w:r w:rsidRPr="008720DF">
              <w:rPr>
                <w:rFonts w:eastAsia="Times New Roman" w:cstheme="minorHAnsi"/>
                <w:sz w:val="20"/>
                <w:szCs w:val="20"/>
              </w:rPr>
              <w:t>“). Velikost 2U.</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tcPr>
          <w:p w:rsidR="00076038" w:rsidRPr="008720DF" w:rsidRDefault="00076038" w:rsidP="00154614">
            <w:pPr>
              <w:spacing w:line="256" w:lineRule="auto"/>
              <w:jc w:val="both"/>
              <w:rPr>
                <w:rFonts w:eastAsia="Times New Roman" w:cstheme="minorHAnsi"/>
                <w:sz w:val="20"/>
                <w:szCs w:val="20"/>
              </w:rPr>
            </w:pP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Součástí dodávky je </w:t>
            </w:r>
            <w:proofErr w:type="spellStart"/>
            <w:r w:rsidRPr="008720DF">
              <w:rPr>
                <w:rFonts w:eastAsia="Times New Roman" w:cstheme="minorHAnsi"/>
                <w:sz w:val="20"/>
                <w:szCs w:val="20"/>
              </w:rPr>
              <w:t>rack</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mount</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kit</w:t>
            </w:r>
            <w:proofErr w:type="spellEnd"/>
            <w:r w:rsidRPr="008720DF">
              <w:rPr>
                <w:rFonts w:eastAsia="Times New Roman" w:cstheme="minorHAnsi"/>
                <w:sz w:val="20"/>
                <w:szCs w:val="20"/>
              </w:rPr>
              <w:t xml:space="preserve"> včetně veškerého vybavení (napájecí kabely apod.) nezbytného pro montáž do rozvaděče.</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Součástí dodávky je </w:t>
            </w:r>
            <w:proofErr w:type="spellStart"/>
            <w:r w:rsidRPr="008720DF">
              <w:rPr>
                <w:rFonts w:eastAsia="Times New Roman" w:cstheme="minorHAnsi"/>
                <w:sz w:val="20"/>
                <w:szCs w:val="20"/>
              </w:rPr>
              <w:t>rack</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mount</w:t>
            </w:r>
            <w:proofErr w:type="spellEnd"/>
            <w:r w:rsidRPr="008720DF">
              <w:rPr>
                <w:rFonts w:eastAsia="Times New Roman" w:cstheme="minorHAnsi"/>
                <w:sz w:val="20"/>
                <w:szCs w:val="20"/>
              </w:rPr>
              <w:t xml:space="preserve"> </w:t>
            </w:r>
            <w:proofErr w:type="spellStart"/>
            <w:r w:rsidRPr="008720DF">
              <w:rPr>
                <w:rFonts w:eastAsia="Times New Roman" w:cstheme="minorHAnsi"/>
                <w:sz w:val="20"/>
                <w:szCs w:val="20"/>
              </w:rPr>
              <w:t>kit</w:t>
            </w:r>
            <w:proofErr w:type="spellEnd"/>
            <w:r w:rsidRPr="008720DF">
              <w:rPr>
                <w:rFonts w:eastAsia="Times New Roman" w:cstheme="minorHAnsi"/>
                <w:sz w:val="20"/>
                <w:szCs w:val="20"/>
              </w:rPr>
              <w:t xml:space="preserve"> včetně veškerého vybavení (napájecí kabely apod.) nezbytného pro montáž do rozvaděče.</w:t>
            </w:r>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nil"/>
              <w:left w:val="single" w:sz="8"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Záruka a servis</w:t>
            </w:r>
          </w:p>
        </w:tc>
        <w:tc>
          <w:tcPr>
            <w:tcW w:w="180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Servisní podpora - 5 let; pokrytí 24x7 s garantovanou dobou opravy do 24 hodin včetně </w:t>
            </w:r>
            <w:r>
              <w:rPr>
                <w:rFonts w:eastAsia="Times New Roman" w:cstheme="minorHAnsi"/>
                <w:sz w:val="20"/>
                <w:szCs w:val="20"/>
              </w:rPr>
              <w:t xml:space="preserve">poskytnutí </w:t>
            </w:r>
            <w:r w:rsidRPr="008720DF">
              <w:rPr>
                <w:rFonts w:eastAsia="Times New Roman" w:cstheme="minorHAnsi"/>
                <w:sz w:val="20"/>
                <w:szCs w:val="20"/>
              </w:rPr>
              <w:t>SW podpory, která umožňuje přístup k novým verzím FW, opravným patchům atd.</w:t>
            </w:r>
          </w:p>
        </w:tc>
        <w:tc>
          <w:tcPr>
            <w:tcW w:w="1501"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Servisní podpora - 5 let; pokrytí 24x7 s garantovanou dobou opravy do 24 hodin včetně </w:t>
            </w:r>
            <w:r>
              <w:rPr>
                <w:rFonts w:eastAsia="Times New Roman" w:cstheme="minorHAnsi"/>
                <w:sz w:val="20"/>
                <w:szCs w:val="20"/>
              </w:rPr>
              <w:t xml:space="preserve">poskytnutí </w:t>
            </w:r>
            <w:r w:rsidRPr="008720DF">
              <w:rPr>
                <w:rFonts w:eastAsia="Times New Roman" w:cstheme="minorHAnsi"/>
                <w:sz w:val="20"/>
                <w:szCs w:val="20"/>
              </w:rPr>
              <w:t>SW podpory, která umožňuje přístup k novým verzím FW, opravným patchům atd.</w:t>
            </w:r>
            <w:r>
              <w:rPr>
                <w:rFonts w:eastAsia="Times New Roman" w:cstheme="minorHAnsi"/>
                <w:sz w:val="20"/>
                <w:szCs w:val="20"/>
              </w:rPr>
              <w:t xml:space="preserve"> </w:t>
            </w:r>
            <w:r w:rsidRPr="006B0903">
              <w:rPr>
                <w:rFonts w:eastAsia="Times New Roman" w:cstheme="minorHAnsi"/>
                <w:b/>
                <w:bCs/>
                <w:sz w:val="20"/>
                <w:szCs w:val="20"/>
              </w:rPr>
              <w:t xml:space="preserve">IBM Expert Care </w:t>
            </w:r>
            <w:proofErr w:type="spellStart"/>
            <w:r w:rsidRPr="006B0903">
              <w:rPr>
                <w:rFonts w:eastAsia="Times New Roman" w:cstheme="minorHAnsi"/>
                <w:b/>
                <w:bCs/>
                <w:sz w:val="20"/>
                <w:szCs w:val="20"/>
              </w:rPr>
              <w:t>Advanced</w:t>
            </w:r>
            <w:proofErr w:type="spellEnd"/>
            <w:r w:rsidRPr="006B0903">
              <w:rPr>
                <w:rFonts w:eastAsia="Times New Roman" w:cstheme="minorHAnsi"/>
                <w:b/>
                <w:bCs/>
                <w:sz w:val="20"/>
                <w:szCs w:val="20"/>
              </w:rPr>
              <w:t xml:space="preserve"> 24HR </w:t>
            </w:r>
            <w:proofErr w:type="spellStart"/>
            <w:r w:rsidRPr="006B0903">
              <w:rPr>
                <w:rFonts w:eastAsia="Times New Roman" w:cstheme="minorHAnsi"/>
                <w:b/>
                <w:bCs/>
                <w:sz w:val="20"/>
                <w:szCs w:val="20"/>
              </w:rPr>
              <w:t>Commited</w:t>
            </w:r>
            <w:proofErr w:type="spellEnd"/>
            <w:r w:rsidRPr="006B0903">
              <w:rPr>
                <w:rFonts w:eastAsia="Times New Roman" w:cstheme="minorHAnsi"/>
                <w:b/>
                <w:bCs/>
                <w:sz w:val="20"/>
                <w:szCs w:val="20"/>
              </w:rPr>
              <w:t xml:space="preserve"> Fix 5 </w:t>
            </w:r>
            <w:proofErr w:type="spellStart"/>
            <w:r w:rsidRPr="006B0903">
              <w:rPr>
                <w:rFonts w:eastAsia="Times New Roman" w:cstheme="minorHAnsi"/>
                <w:b/>
                <w:bCs/>
                <w:sz w:val="20"/>
                <w:szCs w:val="20"/>
              </w:rPr>
              <w:t>Year</w:t>
            </w:r>
            <w:proofErr w:type="spellEnd"/>
          </w:p>
        </w:tc>
        <w:tc>
          <w:tcPr>
            <w:tcW w:w="610" w:type="pct"/>
            <w:tcBorders>
              <w:top w:val="nil"/>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r w:rsidR="00076038" w:rsidRPr="008720DF" w:rsidTr="00154614">
        <w:trPr>
          <w:trHeight w:val="288"/>
        </w:trPr>
        <w:tc>
          <w:tcPr>
            <w:tcW w:w="1088" w:type="pct"/>
            <w:tcBorders>
              <w:top w:val="single" w:sz="4" w:space="0" w:color="auto"/>
              <w:left w:val="single" w:sz="4" w:space="0" w:color="auto"/>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Potvrzení původu</w:t>
            </w:r>
          </w:p>
        </w:tc>
        <w:tc>
          <w:tcPr>
            <w:tcW w:w="1800" w:type="pct"/>
            <w:tcBorders>
              <w:top w:val="single" w:sz="4" w:space="0" w:color="auto"/>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Zařízení </w:t>
            </w:r>
            <w:r w:rsidRPr="00D7474A">
              <w:rPr>
                <w:rFonts w:eastAsia="Times New Roman" w:cstheme="minorHAnsi"/>
                <w:sz w:val="20"/>
                <w:szCs w:val="20"/>
              </w:rPr>
              <w:t>je</w:t>
            </w:r>
            <w:r w:rsidRPr="008720DF">
              <w:rPr>
                <w:rFonts w:eastAsia="Times New Roman" w:cstheme="minorHAnsi"/>
                <w:sz w:val="20"/>
                <w:szCs w:val="20"/>
              </w:rPr>
              <w:t xml:space="preserve"> určeno pro český trh a kryto identickým SLA a délkou záruky jako je požadováno v</w:t>
            </w:r>
            <w:r>
              <w:rPr>
                <w:rFonts w:eastAsia="Times New Roman" w:cstheme="minorHAnsi"/>
                <w:sz w:val="20"/>
                <w:szCs w:val="20"/>
              </w:rPr>
              <w:t> </w:t>
            </w:r>
            <w:r w:rsidRPr="008720DF">
              <w:rPr>
                <w:rFonts w:eastAsia="Times New Roman" w:cstheme="minorHAnsi"/>
                <w:sz w:val="20"/>
                <w:szCs w:val="20"/>
              </w:rPr>
              <w:t>této</w:t>
            </w:r>
            <w:r>
              <w:rPr>
                <w:rFonts w:eastAsia="Times New Roman" w:cstheme="minorHAnsi"/>
                <w:sz w:val="20"/>
                <w:szCs w:val="20"/>
              </w:rPr>
              <w:t xml:space="preserve"> </w:t>
            </w:r>
            <w:r w:rsidRPr="00D7474A">
              <w:rPr>
                <w:rFonts w:eastAsia="Times New Roman" w:cstheme="minorHAnsi"/>
                <w:sz w:val="20"/>
                <w:szCs w:val="20"/>
              </w:rPr>
              <w:t>Kupní smlouvě</w:t>
            </w:r>
            <w:r w:rsidRPr="008720DF">
              <w:rPr>
                <w:rFonts w:eastAsia="Times New Roman" w:cstheme="minorHAnsi"/>
                <w:sz w:val="20"/>
                <w:szCs w:val="20"/>
              </w:rPr>
              <w:t xml:space="preserve">, tato skutečnost </w:t>
            </w:r>
            <w:r w:rsidRPr="00D7474A">
              <w:rPr>
                <w:rFonts w:eastAsia="Times New Roman" w:cstheme="minorHAnsi"/>
                <w:sz w:val="20"/>
                <w:szCs w:val="20"/>
              </w:rPr>
              <w:t>je</w:t>
            </w:r>
            <w:r w:rsidRPr="005F7FD9">
              <w:rPr>
                <w:rFonts w:eastAsia="Times New Roman" w:cstheme="minorHAnsi"/>
                <w:color w:val="FF0000"/>
                <w:sz w:val="20"/>
                <w:szCs w:val="20"/>
              </w:rPr>
              <w:t xml:space="preserve"> </w:t>
            </w:r>
            <w:r w:rsidRPr="005F7FD9">
              <w:rPr>
                <w:rFonts w:eastAsia="Times New Roman" w:cstheme="minorHAnsi"/>
                <w:sz w:val="20"/>
                <w:szCs w:val="20"/>
              </w:rPr>
              <w:t>doložena</w:t>
            </w:r>
            <w:r w:rsidRPr="008720DF">
              <w:rPr>
                <w:rFonts w:eastAsia="Times New Roman" w:cstheme="minorHAnsi"/>
                <w:sz w:val="20"/>
                <w:szCs w:val="20"/>
              </w:rPr>
              <w:t xml:space="preserve"> potvrzením organizační složky výrobce v</w:t>
            </w:r>
            <w:r>
              <w:rPr>
                <w:rFonts w:eastAsia="Times New Roman" w:cstheme="minorHAnsi"/>
                <w:sz w:val="20"/>
                <w:szCs w:val="20"/>
              </w:rPr>
              <w:t> </w:t>
            </w:r>
            <w:r w:rsidRPr="008720DF">
              <w:rPr>
                <w:rFonts w:eastAsia="Times New Roman" w:cstheme="minorHAnsi"/>
                <w:sz w:val="20"/>
                <w:szCs w:val="20"/>
              </w:rPr>
              <w:t>ČR</w:t>
            </w:r>
            <w:r>
              <w:rPr>
                <w:rFonts w:eastAsia="Times New Roman" w:cstheme="minorHAnsi"/>
                <w:sz w:val="20"/>
                <w:szCs w:val="20"/>
              </w:rPr>
              <w:t xml:space="preserve"> (</w:t>
            </w:r>
            <w:r w:rsidRPr="00D7474A">
              <w:rPr>
                <w:rFonts w:eastAsia="Times New Roman" w:cstheme="minorHAnsi"/>
                <w:sz w:val="20"/>
                <w:szCs w:val="20"/>
              </w:rPr>
              <w:t>potvrzení</w:t>
            </w:r>
            <w:r>
              <w:rPr>
                <w:rFonts w:eastAsia="Times New Roman" w:cstheme="minorHAnsi"/>
                <w:sz w:val="20"/>
                <w:szCs w:val="20"/>
              </w:rPr>
              <w:t xml:space="preserve"> </w:t>
            </w:r>
            <w:r w:rsidRPr="008720DF">
              <w:rPr>
                <w:rFonts w:eastAsia="Times New Roman" w:cstheme="minorHAnsi"/>
                <w:sz w:val="20"/>
                <w:szCs w:val="20"/>
              </w:rPr>
              <w:t>v českém jazyce</w:t>
            </w:r>
            <w:r>
              <w:rPr>
                <w:rFonts w:eastAsia="Times New Roman" w:cstheme="minorHAnsi"/>
                <w:sz w:val="20"/>
                <w:szCs w:val="20"/>
              </w:rPr>
              <w:t>,</w:t>
            </w:r>
            <w:r w:rsidRPr="008720DF">
              <w:rPr>
                <w:rFonts w:eastAsia="Times New Roman" w:cstheme="minorHAnsi"/>
                <w:sz w:val="20"/>
                <w:szCs w:val="20"/>
              </w:rPr>
              <w:t xml:space="preserve"> </w:t>
            </w:r>
            <w:r w:rsidRPr="00D7474A">
              <w:rPr>
                <w:rFonts w:eastAsia="Times New Roman" w:cstheme="minorHAnsi"/>
                <w:sz w:val="20"/>
                <w:szCs w:val="20"/>
              </w:rPr>
              <w:t>vytvořené</w:t>
            </w:r>
            <w:r w:rsidRPr="008720DF">
              <w:rPr>
                <w:rFonts w:eastAsia="Times New Roman" w:cstheme="minorHAnsi"/>
                <w:sz w:val="20"/>
                <w:szCs w:val="20"/>
              </w:rPr>
              <w:t xml:space="preserve"> výhradně pro český trh</w:t>
            </w:r>
            <w:r>
              <w:rPr>
                <w:rFonts w:eastAsia="Times New Roman" w:cstheme="minorHAnsi"/>
                <w:sz w:val="20"/>
                <w:szCs w:val="20"/>
              </w:rPr>
              <w:t>) –</w:t>
            </w:r>
            <w:r w:rsidRPr="009E7009">
              <w:rPr>
                <w:rFonts w:eastAsia="Times New Roman" w:cstheme="minorHAnsi"/>
                <w:sz w:val="20"/>
                <w:szCs w:val="20"/>
              </w:rPr>
              <w:t xml:space="preserve"> viz samostatná Příloha č. 2 této Kupní smlouvy.</w:t>
            </w:r>
          </w:p>
        </w:tc>
        <w:tc>
          <w:tcPr>
            <w:tcW w:w="1501" w:type="pct"/>
            <w:tcBorders>
              <w:top w:val="single" w:sz="4" w:space="0" w:color="auto"/>
              <w:left w:val="nil"/>
              <w:bottom w:val="single" w:sz="4" w:space="0" w:color="auto"/>
              <w:right w:val="single" w:sz="4" w:space="0" w:color="auto"/>
            </w:tcBorders>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 xml:space="preserve">Zařízení </w:t>
            </w:r>
            <w:r w:rsidRPr="00D7474A">
              <w:rPr>
                <w:rFonts w:eastAsia="Times New Roman" w:cstheme="minorHAnsi"/>
                <w:sz w:val="20"/>
                <w:szCs w:val="20"/>
              </w:rPr>
              <w:t>je</w:t>
            </w:r>
            <w:r w:rsidRPr="008720DF">
              <w:rPr>
                <w:rFonts w:eastAsia="Times New Roman" w:cstheme="minorHAnsi"/>
                <w:sz w:val="20"/>
                <w:szCs w:val="20"/>
              </w:rPr>
              <w:t xml:space="preserve"> určeno pro český trh a kryto identickým SLA a délkou záruky jako je požadováno v</w:t>
            </w:r>
            <w:r>
              <w:rPr>
                <w:rFonts w:eastAsia="Times New Roman" w:cstheme="minorHAnsi"/>
                <w:sz w:val="20"/>
                <w:szCs w:val="20"/>
              </w:rPr>
              <w:t> </w:t>
            </w:r>
            <w:r w:rsidRPr="008720DF">
              <w:rPr>
                <w:rFonts w:eastAsia="Times New Roman" w:cstheme="minorHAnsi"/>
                <w:sz w:val="20"/>
                <w:szCs w:val="20"/>
              </w:rPr>
              <w:t>této</w:t>
            </w:r>
            <w:r>
              <w:rPr>
                <w:rFonts w:eastAsia="Times New Roman" w:cstheme="minorHAnsi"/>
                <w:sz w:val="20"/>
                <w:szCs w:val="20"/>
              </w:rPr>
              <w:t xml:space="preserve"> </w:t>
            </w:r>
            <w:r w:rsidRPr="00D7474A">
              <w:rPr>
                <w:rFonts w:eastAsia="Times New Roman" w:cstheme="minorHAnsi"/>
                <w:sz w:val="20"/>
                <w:szCs w:val="20"/>
              </w:rPr>
              <w:t>Kupní smlouvě</w:t>
            </w:r>
            <w:r w:rsidRPr="008720DF">
              <w:rPr>
                <w:rFonts w:eastAsia="Times New Roman" w:cstheme="minorHAnsi"/>
                <w:sz w:val="20"/>
                <w:szCs w:val="20"/>
              </w:rPr>
              <w:t xml:space="preserve">, tato skutečnost </w:t>
            </w:r>
            <w:r w:rsidRPr="00D7474A">
              <w:rPr>
                <w:rFonts w:eastAsia="Times New Roman" w:cstheme="minorHAnsi"/>
                <w:sz w:val="20"/>
                <w:szCs w:val="20"/>
              </w:rPr>
              <w:t>je</w:t>
            </w:r>
            <w:r w:rsidRPr="005F7FD9">
              <w:rPr>
                <w:rFonts w:eastAsia="Times New Roman" w:cstheme="minorHAnsi"/>
                <w:color w:val="FF0000"/>
                <w:sz w:val="20"/>
                <w:szCs w:val="20"/>
              </w:rPr>
              <w:t xml:space="preserve"> </w:t>
            </w:r>
            <w:r w:rsidRPr="005F7FD9">
              <w:rPr>
                <w:rFonts w:eastAsia="Times New Roman" w:cstheme="minorHAnsi"/>
                <w:sz w:val="20"/>
                <w:szCs w:val="20"/>
              </w:rPr>
              <w:t>doložena</w:t>
            </w:r>
            <w:r w:rsidRPr="008720DF">
              <w:rPr>
                <w:rFonts w:eastAsia="Times New Roman" w:cstheme="minorHAnsi"/>
                <w:sz w:val="20"/>
                <w:szCs w:val="20"/>
              </w:rPr>
              <w:t xml:space="preserve"> potvrzením organizační složky výrobce v</w:t>
            </w:r>
            <w:r>
              <w:rPr>
                <w:rFonts w:eastAsia="Times New Roman" w:cstheme="minorHAnsi"/>
                <w:sz w:val="20"/>
                <w:szCs w:val="20"/>
              </w:rPr>
              <w:t> </w:t>
            </w:r>
            <w:r w:rsidRPr="008720DF">
              <w:rPr>
                <w:rFonts w:eastAsia="Times New Roman" w:cstheme="minorHAnsi"/>
                <w:sz w:val="20"/>
                <w:szCs w:val="20"/>
              </w:rPr>
              <w:t>ČR</w:t>
            </w:r>
            <w:r>
              <w:rPr>
                <w:rFonts w:eastAsia="Times New Roman" w:cstheme="minorHAnsi"/>
                <w:sz w:val="20"/>
                <w:szCs w:val="20"/>
              </w:rPr>
              <w:t>.</w:t>
            </w:r>
          </w:p>
        </w:tc>
        <w:tc>
          <w:tcPr>
            <w:tcW w:w="610" w:type="pct"/>
            <w:tcBorders>
              <w:top w:val="single" w:sz="4" w:space="0" w:color="auto"/>
              <w:left w:val="nil"/>
              <w:bottom w:val="single" w:sz="4" w:space="0" w:color="auto"/>
              <w:right w:val="single" w:sz="4" w:space="0" w:color="auto"/>
            </w:tcBorders>
            <w:vAlign w:val="center"/>
            <w:hideMark/>
          </w:tcPr>
          <w:p w:rsidR="00076038" w:rsidRPr="008720DF" w:rsidRDefault="00076038" w:rsidP="00154614">
            <w:pPr>
              <w:spacing w:line="256" w:lineRule="auto"/>
              <w:jc w:val="center"/>
              <w:rPr>
                <w:rFonts w:eastAsia="Times New Roman" w:cstheme="minorHAnsi"/>
                <w:sz w:val="20"/>
                <w:szCs w:val="20"/>
              </w:rPr>
            </w:pPr>
            <w:r w:rsidRPr="00785C0B">
              <w:rPr>
                <w:rFonts w:eastAsia="Times New Roman" w:cstheme="minorHAnsi"/>
                <w:noProof/>
                <w:sz w:val="20"/>
                <w:szCs w:val="20"/>
              </w:rPr>
              <w:t>ANO</w:t>
            </w:r>
          </w:p>
        </w:tc>
      </w:tr>
    </w:tbl>
    <w:p w:rsidR="00076038" w:rsidRDefault="00076038" w:rsidP="00076038">
      <w:pPr>
        <w:spacing w:after="120"/>
        <w:jc w:val="both"/>
        <w:rPr>
          <w:rFonts w:ascii="Calibri" w:eastAsia="Times New Roman" w:hAnsi="Calibri" w:cs="Times New Roman"/>
        </w:rPr>
      </w:pPr>
    </w:p>
    <w:p w:rsidR="00076038" w:rsidRDefault="00076038" w:rsidP="00076038">
      <w:pPr>
        <w:spacing w:after="120"/>
        <w:jc w:val="both"/>
        <w:rPr>
          <w:rFonts w:ascii="Calibri" w:eastAsia="Times New Roman" w:hAnsi="Calibri" w:cs="Times New Roman"/>
        </w:rPr>
      </w:pPr>
    </w:p>
    <w:p w:rsidR="00076038" w:rsidRDefault="00076038" w:rsidP="00076038">
      <w:pPr>
        <w:spacing w:after="120"/>
        <w:jc w:val="both"/>
        <w:rPr>
          <w:rFonts w:ascii="Calibri" w:eastAsia="Times New Roman" w:hAnsi="Calibri" w:cs="Times New Roman"/>
        </w:rPr>
      </w:pPr>
      <w:r w:rsidRPr="00765F00">
        <w:rPr>
          <w:rFonts w:eastAsia="Times New Roman" w:cstheme="minorHAnsi"/>
          <w:b/>
          <w:bCs/>
        </w:rPr>
        <w:t>FC SAN switche</w:t>
      </w:r>
      <w:r>
        <w:rPr>
          <w:rFonts w:eastAsia="Times New Roman" w:cstheme="minorHAnsi"/>
          <w:b/>
          <w:bCs/>
        </w:rPr>
        <w:t xml:space="preserve"> </w:t>
      </w:r>
      <w:r w:rsidRPr="00765F00">
        <w:rPr>
          <w:rFonts w:eastAsia="Times New Roman" w:cstheme="minorHAnsi"/>
          <w:sz w:val="20"/>
          <w:szCs w:val="20"/>
        </w:rPr>
        <w:t>k připojení do stávající infrastruktury</w:t>
      </w:r>
    </w:p>
    <w:tbl>
      <w:tblPr>
        <w:tblW w:w="500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
        <w:gridCol w:w="2120"/>
        <w:gridCol w:w="3511"/>
        <w:gridCol w:w="2927"/>
        <w:gridCol w:w="6"/>
        <w:gridCol w:w="1186"/>
      </w:tblGrid>
      <w:tr w:rsidR="00076038" w:rsidRPr="008720DF" w:rsidTr="00154614">
        <w:trPr>
          <w:gridBefore w:val="1"/>
          <w:wBefore w:w="4" w:type="pct"/>
          <w:trHeight w:val="530"/>
        </w:trPr>
        <w:tc>
          <w:tcPr>
            <w:tcW w:w="1087" w:type="pct"/>
            <w:vAlign w:val="center"/>
          </w:tcPr>
          <w:p w:rsidR="00076038" w:rsidRPr="00765F00" w:rsidRDefault="00076038" w:rsidP="00154614">
            <w:pPr>
              <w:spacing w:line="256" w:lineRule="auto"/>
              <w:jc w:val="both"/>
              <w:rPr>
                <w:rFonts w:eastAsia="Times New Roman" w:cstheme="minorHAnsi"/>
              </w:rPr>
            </w:pPr>
            <w:r w:rsidRPr="00765F00">
              <w:rPr>
                <w:rFonts w:eastAsia="Times New Roman" w:cstheme="minorHAnsi"/>
              </w:rPr>
              <w:t>Fyzické provedení</w:t>
            </w:r>
          </w:p>
        </w:tc>
        <w:tc>
          <w:tcPr>
            <w:tcW w:w="1799" w:type="pct"/>
            <w:vAlign w:val="center"/>
          </w:tcPr>
          <w:p w:rsidR="00076038" w:rsidRPr="008720DF" w:rsidRDefault="00076038" w:rsidP="00154614">
            <w:pPr>
              <w:spacing w:line="256" w:lineRule="auto"/>
              <w:jc w:val="both"/>
              <w:rPr>
                <w:rFonts w:eastAsia="Times New Roman" w:cstheme="minorHAnsi"/>
                <w:sz w:val="20"/>
                <w:szCs w:val="20"/>
              </w:rPr>
            </w:pPr>
            <w:r>
              <w:rPr>
                <w:rFonts w:eastAsia="Times New Roman" w:cstheme="minorHAnsi"/>
                <w:sz w:val="20"/>
                <w:szCs w:val="20"/>
              </w:rPr>
              <w:t>2 identické kusy max. velikosti 1U</w:t>
            </w:r>
          </w:p>
        </w:tc>
        <w:tc>
          <w:tcPr>
            <w:tcW w:w="1500" w:type="pct"/>
            <w:vAlign w:val="center"/>
          </w:tcPr>
          <w:p w:rsidR="00076038" w:rsidRDefault="00076038" w:rsidP="00154614">
            <w:pPr>
              <w:spacing w:line="256" w:lineRule="auto"/>
              <w:jc w:val="both"/>
              <w:rPr>
                <w:rFonts w:eastAsia="Times New Roman" w:cstheme="minorHAnsi"/>
                <w:sz w:val="20"/>
                <w:szCs w:val="20"/>
              </w:rPr>
            </w:pPr>
            <w:r>
              <w:rPr>
                <w:rFonts w:eastAsia="Times New Roman" w:cstheme="minorHAnsi"/>
                <w:sz w:val="20"/>
                <w:szCs w:val="20"/>
              </w:rPr>
              <w:t xml:space="preserve">2 identické kusy SAN </w:t>
            </w:r>
            <w:proofErr w:type="spellStart"/>
            <w:r>
              <w:rPr>
                <w:rFonts w:eastAsia="Times New Roman" w:cstheme="minorHAnsi"/>
                <w:sz w:val="20"/>
                <w:szCs w:val="20"/>
              </w:rPr>
              <w:t>switchů</w:t>
            </w:r>
            <w:proofErr w:type="spellEnd"/>
            <w:r>
              <w:rPr>
                <w:rFonts w:eastAsia="Times New Roman" w:cstheme="minorHAnsi"/>
                <w:sz w:val="20"/>
                <w:szCs w:val="20"/>
              </w:rPr>
              <w:t xml:space="preserve"> velikosti 1U</w:t>
            </w:r>
          </w:p>
          <w:p w:rsidR="00076038" w:rsidRPr="00D85428" w:rsidRDefault="00076038" w:rsidP="00154614">
            <w:pPr>
              <w:spacing w:line="256" w:lineRule="auto"/>
              <w:jc w:val="both"/>
              <w:rPr>
                <w:rFonts w:eastAsia="Times New Roman" w:cstheme="minorHAnsi"/>
                <w:b/>
                <w:bCs/>
                <w:noProof/>
                <w:sz w:val="20"/>
                <w:szCs w:val="20"/>
              </w:rPr>
            </w:pPr>
            <w:r w:rsidRPr="00D85428">
              <w:rPr>
                <w:rFonts w:eastAsia="Times New Roman" w:cstheme="minorHAnsi"/>
                <w:b/>
                <w:bCs/>
                <w:noProof/>
                <w:sz w:val="20"/>
                <w:szCs w:val="20"/>
              </w:rPr>
              <w:t>Hitachi Vantara – Brocade G610</w:t>
            </w:r>
          </w:p>
        </w:tc>
        <w:tc>
          <w:tcPr>
            <w:tcW w:w="610" w:type="pct"/>
            <w:gridSpan w:val="2"/>
            <w:vAlign w:val="center"/>
          </w:tcPr>
          <w:p w:rsidR="00076038" w:rsidRPr="008720DF" w:rsidRDefault="00076038" w:rsidP="00154614">
            <w:pPr>
              <w:spacing w:line="256" w:lineRule="auto"/>
              <w:jc w:val="center"/>
              <w:rPr>
                <w:rFonts w:eastAsia="Times New Roman" w:cstheme="minorHAnsi"/>
                <w:noProof/>
                <w:sz w:val="20"/>
                <w:szCs w:val="20"/>
              </w:rPr>
            </w:pPr>
            <w:r w:rsidRPr="0013606C">
              <w:rPr>
                <w:rFonts w:eastAsia="Times New Roman" w:cstheme="minorHAnsi"/>
                <w:noProof/>
                <w:sz w:val="20"/>
                <w:szCs w:val="20"/>
              </w:rPr>
              <w:t>ANO</w:t>
            </w:r>
          </w:p>
        </w:tc>
      </w:tr>
      <w:tr w:rsidR="00076038" w:rsidRPr="008720DF" w:rsidTr="00154614">
        <w:trPr>
          <w:trHeight w:val="288"/>
        </w:trPr>
        <w:tc>
          <w:tcPr>
            <w:tcW w:w="1091" w:type="pct"/>
            <w:gridSpan w:val="2"/>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ascii="Calibri" w:eastAsia="Times New Roman" w:hAnsi="Calibri" w:cs="Times New Roman"/>
              </w:rPr>
              <w:br w:type="page"/>
              <w:t>Počet portů</w:t>
            </w:r>
          </w:p>
        </w:tc>
        <w:tc>
          <w:tcPr>
            <w:tcW w:w="1799" w:type="pct"/>
            <w:vAlign w:val="center"/>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Celkem minimálně 24 portů, z toho minimálně 16 aktivních portů, podporujících rychlost až 32Gb/s</w:t>
            </w:r>
          </w:p>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Všechny aktivní porty osazeny 32Gb/s SR SFP</w:t>
            </w:r>
          </w:p>
        </w:tc>
        <w:tc>
          <w:tcPr>
            <w:tcW w:w="1502" w:type="pct"/>
            <w:gridSpan w:val="2"/>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Celkem 24 portů, z toho 16 aktivních portů, podporujících rychlost až 32Gb/s</w:t>
            </w:r>
          </w:p>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Všechny aktivní porty osazeny 32Gb/s SR SFP</w:t>
            </w:r>
          </w:p>
        </w:tc>
        <w:tc>
          <w:tcPr>
            <w:tcW w:w="608" w:type="pct"/>
            <w:vAlign w:val="center"/>
            <w:hideMark/>
          </w:tcPr>
          <w:p w:rsidR="00076038" w:rsidRPr="008720DF" w:rsidRDefault="00076038" w:rsidP="00154614">
            <w:pPr>
              <w:spacing w:line="256" w:lineRule="auto"/>
              <w:jc w:val="center"/>
              <w:rPr>
                <w:rFonts w:eastAsia="Times New Roman" w:cstheme="minorHAnsi"/>
                <w:sz w:val="20"/>
                <w:szCs w:val="20"/>
              </w:rPr>
            </w:pPr>
            <w:r w:rsidRPr="0013606C">
              <w:rPr>
                <w:rFonts w:eastAsia="Times New Roman" w:cstheme="minorHAnsi"/>
                <w:noProof/>
                <w:sz w:val="20"/>
                <w:szCs w:val="20"/>
              </w:rPr>
              <w:t>ANO</w:t>
            </w:r>
          </w:p>
        </w:tc>
      </w:tr>
      <w:tr w:rsidR="00076038" w:rsidRPr="008720DF" w:rsidTr="00154614">
        <w:trPr>
          <w:trHeight w:val="288"/>
        </w:trPr>
        <w:tc>
          <w:tcPr>
            <w:tcW w:w="1091" w:type="pct"/>
            <w:gridSpan w:val="2"/>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ascii="Calibri" w:eastAsia="Times New Roman" w:hAnsi="Calibri" w:cs="Times New Roman"/>
              </w:rPr>
              <w:t>Kompatibilita</w:t>
            </w:r>
          </w:p>
        </w:tc>
        <w:tc>
          <w:tcPr>
            <w:tcW w:w="1799" w:type="pct"/>
            <w:vAlign w:val="center"/>
          </w:tcPr>
          <w:p w:rsidR="00076038" w:rsidRPr="008720DF" w:rsidRDefault="00076038" w:rsidP="00154614">
            <w:pPr>
              <w:spacing w:line="256" w:lineRule="auto"/>
              <w:jc w:val="both"/>
              <w:rPr>
                <w:rFonts w:ascii="Calibri" w:eastAsia="Times New Roman" w:hAnsi="Calibri" w:cs="Calibri"/>
                <w:color w:val="00000A"/>
              </w:rPr>
            </w:pPr>
            <w:r w:rsidRPr="008720DF">
              <w:rPr>
                <w:rFonts w:ascii="Calibri" w:eastAsia="Times New Roman" w:hAnsi="Calibri" w:cs="Calibri"/>
                <w:color w:val="00000A"/>
              </w:rPr>
              <w:t>Plná kompatibilita s nabízenými diskovými poli</w:t>
            </w:r>
          </w:p>
          <w:p w:rsidR="00076038" w:rsidRPr="008720DF" w:rsidRDefault="00076038" w:rsidP="00154614">
            <w:pPr>
              <w:spacing w:line="256" w:lineRule="auto"/>
              <w:jc w:val="both"/>
              <w:rPr>
                <w:rFonts w:eastAsia="Times New Roman" w:cstheme="minorHAnsi"/>
                <w:sz w:val="20"/>
                <w:szCs w:val="20"/>
              </w:rPr>
            </w:pPr>
            <w:r w:rsidRPr="008720DF">
              <w:rPr>
                <w:rFonts w:ascii="Calibri" w:eastAsia="Times New Roman" w:hAnsi="Calibri" w:cs="Calibri"/>
                <w:color w:val="00000A"/>
              </w:rPr>
              <w:t>Plná kompatibilita se stávající SAN infrastrukturou (</w:t>
            </w:r>
            <w:proofErr w:type="spellStart"/>
            <w:r w:rsidRPr="008720DF">
              <w:rPr>
                <w:rFonts w:ascii="Calibri" w:eastAsia="Times New Roman" w:hAnsi="Calibri" w:cs="Calibri"/>
                <w:color w:val="00000A"/>
              </w:rPr>
              <w:t>Broadcom</w:t>
            </w:r>
            <w:proofErr w:type="spellEnd"/>
            <w:r w:rsidRPr="008720DF">
              <w:rPr>
                <w:rFonts w:ascii="Calibri" w:eastAsia="Times New Roman" w:hAnsi="Calibri" w:cs="Calibri"/>
                <w:color w:val="00000A"/>
              </w:rPr>
              <w:t>/</w:t>
            </w:r>
            <w:proofErr w:type="spellStart"/>
            <w:r w:rsidRPr="008720DF">
              <w:rPr>
                <w:rFonts w:ascii="Calibri" w:eastAsia="Times New Roman" w:hAnsi="Calibri" w:cs="Calibri"/>
                <w:color w:val="00000A"/>
              </w:rPr>
              <w:t>Brocade</w:t>
            </w:r>
            <w:proofErr w:type="spellEnd"/>
            <w:r w:rsidRPr="008720DF">
              <w:rPr>
                <w:rFonts w:ascii="Calibri" w:eastAsia="Times New Roman" w:hAnsi="Calibri" w:cs="Calibri"/>
                <w:color w:val="00000A"/>
              </w:rPr>
              <w:t>)</w:t>
            </w:r>
          </w:p>
        </w:tc>
        <w:tc>
          <w:tcPr>
            <w:tcW w:w="1502" w:type="pct"/>
            <w:gridSpan w:val="2"/>
            <w:vAlign w:val="center"/>
            <w:hideMark/>
          </w:tcPr>
          <w:p w:rsidR="00076038" w:rsidRPr="00843B89" w:rsidRDefault="00076038" w:rsidP="00154614">
            <w:pPr>
              <w:spacing w:line="256" w:lineRule="auto"/>
              <w:jc w:val="both"/>
              <w:rPr>
                <w:rFonts w:eastAsia="Times New Roman" w:cstheme="minorHAnsi"/>
                <w:noProof/>
                <w:sz w:val="20"/>
                <w:szCs w:val="20"/>
              </w:rPr>
            </w:pPr>
            <w:r w:rsidRPr="00843B89">
              <w:rPr>
                <w:rFonts w:eastAsia="Times New Roman" w:cstheme="minorHAnsi"/>
                <w:noProof/>
                <w:sz w:val="20"/>
                <w:szCs w:val="20"/>
              </w:rPr>
              <w:t>Plná kompatibilita s nabízenými diskovými poli</w:t>
            </w:r>
            <w:r>
              <w:rPr>
                <w:rFonts w:eastAsia="Times New Roman" w:cstheme="minorHAnsi"/>
                <w:noProof/>
                <w:sz w:val="20"/>
                <w:szCs w:val="20"/>
              </w:rPr>
              <w:t xml:space="preserve"> IBM FS7300</w:t>
            </w:r>
          </w:p>
          <w:p w:rsidR="00076038" w:rsidRPr="008720DF" w:rsidRDefault="00076038" w:rsidP="00154614">
            <w:pPr>
              <w:spacing w:line="256" w:lineRule="auto"/>
              <w:jc w:val="both"/>
              <w:rPr>
                <w:rFonts w:eastAsia="Times New Roman" w:cstheme="minorHAnsi"/>
                <w:sz w:val="20"/>
                <w:szCs w:val="20"/>
              </w:rPr>
            </w:pPr>
            <w:r w:rsidRPr="00843B89">
              <w:rPr>
                <w:rFonts w:eastAsia="Times New Roman" w:cstheme="minorHAnsi"/>
                <w:noProof/>
                <w:sz w:val="20"/>
                <w:szCs w:val="20"/>
              </w:rPr>
              <w:t>Plná kompatibilita se stávající SAN infrastrukturou (Broadcom/Brocade)</w:t>
            </w:r>
          </w:p>
        </w:tc>
        <w:tc>
          <w:tcPr>
            <w:tcW w:w="608" w:type="pct"/>
            <w:vAlign w:val="center"/>
            <w:hideMark/>
          </w:tcPr>
          <w:p w:rsidR="00076038" w:rsidRPr="008720DF" w:rsidRDefault="00076038" w:rsidP="00154614">
            <w:pPr>
              <w:spacing w:line="256" w:lineRule="auto"/>
              <w:jc w:val="center"/>
              <w:rPr>
                <w:rFonts w:eastAsia="Times New Roman" w:cstheme="minorHAnsi"/>
                <w:sz w:val="20"/>
                <w:szCs w:val="20"/>
              </w:rPr>
            </w:pPr>
            <w:r w:rsidRPr="0013606C">
              <w:rPr>
                <w:rFonts w:eastAsia="Times New Roman" w:cstheme="minorHAnsi"/>
                <w:noProof/>
                <w:sz w:val="20"/>
                <w:szCs w:val="20"/>
              </w:rPr>
              <w:t>ANO</w:t>
            </w:r>
          </w:p>
        </w:tc>
      </w:tr>
      <w:tr w:rsidR="00076038" w:rsidRPr="008720DF" w:rsidTr="00154614">
        <w:trPr>
          <w:trHeight w:val="288"/>
        </w:trPr>
        <w:tc>
          <w:tcPr>
            <w:tcW w:w="1091" w:type="pct"/>
            <w:gridSpan w:val="2"/>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ascii="Calibri" w:eastAsia="Times New Roman" w:hAnsi="Calibri" w:cs="Times New Roman"/>
              </w:rPr>
              <w:lastRenderedPageBreak/>
              <w:br w:type="page"/>
            </w:r>
            <w:r w:rsidRPr="00765F00">
              <w:rPr>
                <w:rFonts w:eastAsia="Times New Roman" w:cstheme="minorHAnsi"/>
                <w:sz w:val="20"/>
                <w:szCs w:val="20"/>
              </w:rPr>
              <w:t>Záruka a servis</w:t>
            </w:r>
          </w:p>
        </w:tc>
        <w:tc>
          <w:tcPr>
            <w:tcW w:w="1799" w:type="pct"/>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Záruka a servisní podpora - 5 let; pokrytí NBD</w:t>
            </w:r>
          </w:p>
        </w:tc>
        <w:tc>
          <w:tcPr>
            <w:tcW w:w="1502" w:type="pct"/>
            <w:gridSpan w:val="2"/>
            <w:vAlign w:val="center"/>
            <w:hideMark/>
          </w:tcPr>
          <w:p w:rsidR="00076038" w:rsidRPr="008720DF" w:rsidRDefault="00076038" w:rsidP="00154614">
            <w:pPr>
              <w:spacing w:line="256" w:lineRule="auto"/>
              <w:jc w:val="both"/>
              <w:rPr>
                <w:rFonts w:eastAsia="Times New Roman" w:cstheme="minorHAnsi"/>
                <w:sz w:val="20"/>
                <w:szCs w:val="20"/>
              </w:rPr>
            </w:pPr>
            <w:r w:rsidRPr="008720DF">
              <w:rPr>
                <w:rFonts w:eastAsia="Times New Roman" w:cstheme="minorHAnsi"/>
                <w:sz w:val="20"/>
                <w:szCs w:val="20"/>
              </w:rPr>
              <w:t>Záruka a servisní podpora - 5 let; pokrytí NBD</w:t>
            </w:r>
          </w:p>
        </w:tc>
        <w:tc>
          <w:tcPr>
            <w:tcW w:w="608" w:type="pct"/>
            <w:vAlign w:val="center"/>
            <w:hideMark/>
          </w:tcPr>
          <w:p w:rsidR="00076038" w:rsidRPr="008720DF" w:rsidRDefault="00076038" w:rsidP="00154614">
            <w:pPr>
              <w:spacing w:line="256" w:lineRule="auto"/>
              <w:jc w:val="center"/>
              <w:rPr>
                <w:rFonts w:eastAsia="Times New Roman" w:cstheme="minorHAnsi"/>
                <w:sz w:val="20"/>
                <w:szCs w:val="20"/>
              </w:rPr>
            </w:pPr>
            <w:r w:rsidRPr="0013606C">
              <w:rPr>
                <w:rFonts w:eastAsia="Times New Roman" w:cstheme="minorHAnsi"/>
                <w:noProof/>
                <w:sz w:val="20"/>
                <w:szCs w:val="20"/>
              </w:rPr>
              <w:t>ANO</w:t>
            </w:r>
          </w:p>
        </w:tc>
      </w:tr>
      <w:tr w:rsidR="00076038" w:rsidRPr="008720DF" w:rsidTr="00154614">
        <w:trPr>
          <w:trHeight w:val="288"/>
        </w:trPr>
        <w:tc>
          <w:tcPr>
            <w:tcW w:w="1091" w:type="pct"/>
            <w:gridSpan w:val="2"/>
            <w:vAlign w:val="center"/>
            <w:hideMark/>
          </w:tcPr>
          <w:p w:rsidR="00076038" w:rsidRPr="008720DF" w:rsidRDefault="00076038" w:rsidP="00154614">
            <w:pPr>
              <w:spacing w:line="256" w:lineRule="auto"/>
              <w:jc w:val="both"/>
              <w:rPr>
                <w:rFonts w:ascii="Calibri" w:eastAsia="Times New Roman" w:hAnsi="Calibri" w:cs="Times New Roman"/>
              </w:rPr>
            </w:pPr>
            <w:r w:rsidRPr="00765F00">
              <w:rPr>
                <w:rFonts w:ascii="Calibri" w:eastAsia="Times New Roman" w:hAnsi="Calibri" w:cs="Times New Roman"/>
              </w:rPr>
              <w:t>Potvrzení původu</w:t>
            </w:r>
          </w:p>
        </w:tc>
        <w:tc>
          <w:tcPr>
            <w:tcW w:w="1799" w:type="pct"/>
            <w:vAlign w:val="center"/>
            <w:hideMark/>
          </w:tcPr>
          <w:p w:rsidR="00076038" w:rsidRPr="008720DF" w:rsidRDefault="00076038" w:rsidP="00154614">
            <w:pPr>
              <w:spacing w:line="256" w:lineRule="auto"/>
              <w:jc w:val="both"/>
              <w:rPr>
                <w:rFonts w:eastAsia="Times New Roman" w:cstheme="minorHAnsi"/>
                <w:sz w:val="20"/>
                <w:szCs w:val="20"/>
              </w:rPr>
            </w:pPr>
            <w:r w:rsidRPr="00765F00">
              <w:rPr>
                <w:rFonts w:eastAsia="Times New Roman" w:cstheme="minorHAnsi"/>
                <w:sz w:val="20"/>
                <w:szCs w:val="20"/>
              </w:rPr>
              <w:t>Zařízení je určeno pro český trh a kryto identickým SLA a délkou záruky jako je požadováno v této Kupní smlouvě, tato skutečnost je doložena potvrzením organizační složky výrobce v ČR (potvrzení v českém jazyce, vytvořené výhradně pro český trh) – viz samostatná Příloha č. 2 této Kupní smlouvy.</w:t>
            </w:r>
          </w:p>
        </w:tc>
        <w:tc>
          <w:tcPr>
            <w:tcW w:w="1502" w:type="pct"/>
            <w:gridSpan w:val="2"/>
            <w:vAlign w:val="center"/>
            <w:hideMark/>
          </w:tcPr>
          <w:p w:rsidR="00076038" w:rsidRPr="008720DF" w:rsidRDefault="00076038" w:rsidP="00154614">
            <w:pPr>
              <w:spacing w:line="256" w:lineRule="auto"/>
              <w:jc w:val="both"/>
              <w:rPr>
                <w:rFonts w:eastAsia="Times New Roman" w:cstheme="minorHAnsi"/>
                <w:noProof/>
                <w:sz w:val="20"/>
                <w:szCs w:val="20"/>
              </w:rPr>
            </w:pPr>
            <w:r w:rsidRPr="00765F00">
              <w:rPr>
                <w:rFonts w:eastAsia="Times New Roman" w:cstheme="minorHAnsi"/>
                <w:sz w:val="20"/>
                <w:szCs w:val="20"/>
              </w:rPr>
              <w:t>Zařízení je určeno pro český trh a kryto identickým SLA a délkou záruky jako je požadováno v této Kupní smlouvě, tato skutečnost je doložena potvrzením organizační složky výrobce v</w:t>
            </w:r>
            <w:r>
              <w:rPr>
                <w:rFonts w:eastAsia="Times New Roman" w:cstheme="minorHAnsi"/>
                <w:sz w:val="20"/>
                <w:szCs w:val="20"/>
              </w:rPr>
              <w:t> </w:t>
            </w:r>
            <w:r w:rsidRPr="00765F00">
              <w:rPr>
                <w:rFonts w:eastAsia="Times New Roman" w:cstheme="minorHAnsi"/>
                <w:sz w:val="20"/>
                <w:szCs w:val="20"/>
              </w:rPr>
              <w:t>ČR</w:t>
            </w:r>
            <w:r>
              <w:rPr>
                <w:rFonts w:eastAsia="Times New Roman" w:cstheme="minorHAnsi"/>
                <w:sz w:val="20"/>
                <w:szCs w:val="20"/>
              </w:rPr>
              <w:t>.</w:t>
            </w:r>
          </w:p>
        </w:tc>
        <w:tc>
          <w:tcPr>
            <w:tcW w:w="608" w:type="pct"/>
            <w:vAlign w:val="center"/>
            <w:hideMark/>
          </w:tcPr>
          <w:p w:rsidR="00076038" w:rsidRPr="008720DF" w:rsidRDefault="00076038" w:rsidP="00154614">
            <w:pPr>
              <w:spacing w:line="256" w:lineRule="auto"/>
              <w:jc w:val="center"/>
              <w:rPr>
                <w:rFonts w:eastAsia="Times New Roman" w:cstheme="minorHAnsi"/>
                <w:noProof/>
                <w:sz w:val="20"/>
                <w:szCs w:val="20"/>
              </w:rPr>
            </w:pPr>
            <w:r w:rsidRPr="0013606C">
              <w:rPr>
                <w:rFonts w:eastAsia="Times New Roman" w:cstheme="minorHAnsi"/>
                <w:noProof/>
                <w:sz w:val="20"/>
                <w:szCs w:val="20"/>
              </w:rPr>
              <w:t>ANO</w:t>
            </w:r>
          </w:p>
        </w:tc>
      </w:tr>
    </w:tbl>
    <w:p w:rsidR="00076038" w:rsidRPr="008720DF" w:rsidRDefault="00076038" w:rsidP="00076038">
      <w:pPr>
        <w:spacing w:after="120"/>
        <w:jc w:val="both"/>
        <w:rPr>
          <w:rFonts w:ascii="Calibri" w:eastAsia="Times New Roman" w:hAnsi="Calibri" w:cs="Times New Roman"/>
        </w:rPr>
      </w:pPr>
    </w:p>
    <w:p w:rsidR="00076038" w:rsidRPr="008720DF" w:rsidRDefault="00076038" w:rsidP="00076038">
      <w:pPr>
        <w:spacing w:after="120"/>
        <w:jc w:val="both"/>
        <w:rPr>
          <w:rFonts w:ascii="Calibri" w:eastAsia="Times New Roman" w:hAnsi="Calibri" w:cs="Times New Roman"/>
        </w:rPr>
      </w:pPr>
    </w:p>
    <w:p w:rsidR="00076038" w:rsidRPr="008720DF" w:rsidRDefault="00076038" w:rsidP="00076038">
      <w:pPr>
        <w:spacing w:after="120"/>
        <w:jc w:val="both"/>
        <w:rPr>
          <w:rFonts w:ascii="Calibri" w:eastAsia="Times New Roman" w:hAnsi="Calibri" w:cs="Times New Roman"/>
          <w:b/>
          <w:bCs/>
        </w:rPr>
      </w:pPr>
      <w:r>
        <w:rPr>
          <w:rFonts w:ascii="Calibri" w:eastAsia="Times New Roman" w:hAnsi="Calibri" w:cs="Times New Roman"/>
          <w:b/>
          <w:bCs/>
        </w:rPr>
        <w:t>Implementace</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Fyzická instalace diskového pole a SAN switchů</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Připo</w:t>
      </w:r>
      <w:r>
        <w:rPr>
          <w:rFonts w:ascii="Calibri" w:eastAsia="Calibri" w:hAnsi="Calibri" w:cs="Times New Roman"/>
          <w:noProof/>
        </w:rPr>
        <w:t>j</w:t>
      </w:r>
      <w:r w:rsidRPr="008720DF">
        <w:rPr>
          <w:rFonts w:ascii="Calibri" w:eastAsia="Calibri" w:hAnsi="Calibri" w:cs="Times New Roman"/>
          <w:noProof/>
        </w:rPr>
        <w:t>ení do stávající infrastruktury</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Inicializace diskového pole</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Konfigurace RAID Group</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Mapování prostoru VMwaru</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Migrace VM ze stávajícího VMware Clusteru</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Postmigrační podpora pod dobu 30 dní</w:t>
      </w:r>
    </w:p>
    <w:p w:rsidR="00076038" w:rsidRPr="008720DF"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Dokumentace skutečného stavu proved</w:t>
      </w:r>
      <w:r>
        <w:rPr>
          <w:rFonts w:ascii="Calibri" w:eastAsia="Calibri" w:hAnsi="Calibri" w:cs="Times New Roman"/>
          <w:noProof/>
        </w:rPr>
        <w:t>e</w:t>
      </w:r>
      <w:r w:rsidRPr="008720DF">
        <w:rPr>
          <w:rFonts w:ascii="Calibri" w:eastAsia="Calibri" w:hAnsi="Calibri" w:cs="Times New Roman"/>
          <w:noProof/>
        </w:rPr>
        <w:t>ní</w:t>
      </w:r>
    </w:p>
    <w:p w:rsidR="00076038" w:rsidRDefault="00076038" w:rsidP="00076038">
      <w:pPr>
        <w:widowControl/>
        <w:numPr>
          <w:ilvl w:val="0"/>
          <w:numId w:val="4"/>
        </w:numPr>
        <w:spacing w:after="120" w:line="256" w:lineRule="auto"/>
        <w:contextualSpacing/>
        <w:jc w:val="both"/>
        <w:rPr>
          <w:rFonts w:ascii="Calibri" w:eastAsia="Calibri" w:hAnsi="Calibri" w:cs="Times New Roman"/>
          <w:noProof/>
        </w:rPr>
      </w:pPr>
      <w:r w:rsidRPr="008720DF">
        <w:rPr>
          <w:rFonts w:ascii="Calibri" w:eastAsia="Calibri" w:hAnsi="Calibri" w:cs="Times New Roman"/>
          <w:noProof/>
        </w:rPr>
        <w:t>Zaškolení správce v rozsahu dvě osoby 8 hodin</w:t>
      </w:r>
    </w:p>
    <w:p w:rsidR="00076038" w:rsidRDefault="00076038" w:rsidP="00076038">
      <w:pPr>
        <w:spacing w:after="120" w:line="256" w:lineRule="auto"/>
        <w:contextualSpacing/>
        <w:jc w:val="both"/>
        <w:rPr>
          <w:rFonts w:ascii="Calibri" w:eastAsia="Calibri" w:hAnsi="Calibri" w:cs="Times New Roman"/>
          <w:noProof/>
        </w:rPr>
      </w:pPr>
    </w:p>
    <w:p w:rsidR="00076038" w:rsidRPr="001351F7" w:rsidRDefault="00076038" w:rsidP="00076038">
      <w:pPr>
        <w:spacing w:after="120" w:line="256" w:lineRule="auto"/>
        <w:contextualSpacing/>
        <w:jc w:val="both"/>
        <w:rPr>
          <w:rFonts w:ascii="Calibri" w:eastAsia="Calibri" w:hAnsi="Calibri" w:cs="Times New Roman"/>
          <w:b/>
          <w:bCs/>
          <w:noProof/>
        </w:rPr>
      </w:pPr>
      <w:r w:rsidRPr="001351F7">
        <w:rPr>
          <w:rFonts w:ascii="Calibri" w:eastAsia="Calibri" w:hAnsi="Calibri" w:cs="Times New Roman"/>
          <w:b/>
          <w:bCs/>
          <w:noProof/>
        </w:rPr>
        <w:t>Součástí nabídky jsou instlační, implementační a supportní služby ve výše uvedeném rozsahu.</w:t>
      </w:r>
    </w:p>
    <w:p w:rsidR="00076038" w:rsidRDefault="00076038" w:rsidP="00076038"/>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FA1919" w:rsidRDefault="00FA1919" w:rsidP="00076038">
      <w:pPr>
        <w:pStyle w:val="Zkladntext1"/>
        <w:shd w:val="clear" w:color="auto" w:fill="auto"/>
        <w:spacing w:after="200" w:line="240" w:lineRule="auto"/>
        <w:jc w:val="center"/>
        <w:rPr>
          <w:b/>
          <w:bCs/>
        </w:rPr>
      </w:pPr>
    </w:p>
    <w:p w:rsidR="00FA1919" w:rsidRDefault="00FA1919" w:rsidP="00076038">
      <w:pPr>
        <w:pStyle w:val="Zkladntext1"/>
        <w:shd w:val="clear" w:color="auto" w:fill="auto"/>
        <w:spacing w:after="200" w:line="240" w:lineRule="auto"/>
        <w:jc w:val="center"/>
        <w:rPr>
          <w:b/>
          <w:bCs/>
        </w:rPr>
      </w:pPr>
    </w:p>
    <w:p w:rsidR="00FA1919" w:rsidRDefault="00FA1919" w:rsidP="00076038">
      <w:pPr>
        <w:pStyle w:val="Zkladntext1"/>
        <w:shd w:val="clear" w:color="auto" w:fill="auto"/>
        <w:spacing w:after="200" w:line="240" w:lineRule="auto"/>
        <w:jc w:val="center"/>
        <w:rPr>
          <w:b/>
          <w:bCs/>
        </w:rPr>
      </w:pPr>
    </w:p>
    <w:p w:rsidR="00076038" w:rsidRDefault="00076038" w:rsidP="00076038">
      <w:pPr>
        <w:pStyle w:val="Zkladntext1"/>
        <w:shd w:val="clear" w:color="auto" w:fill="auto"/>
        <w:spacing w:after="200" w:line="240" w:lineRule="auto"/>
        <w:jc w:val="center"/>
      </w:pPr>
      <w:r>
        <w:rPr>
          <w:b/>
          <w:bCs/>
        </w:rPr>
        <w:t>Prohlášení</w:t>
      </w:r>
    </w:p>
    <w:p w:rsidR="00076038" w:rsidRDefault="00076038" w:rsidP="00076038">
      <w:pPr>
        <w:pStyle w:val="Zkladntext1"/>
        <w:shd w:val="clear" w:color="auto" w:fill="auto"/>
        <w:spacing w:after="620"/>
        <w:jc w:val="both"/>
      </w:pPr>
      <w:r>
        <w:t>Věc: Potvrzení pro účely veřejné zakázky</w:t>
      </w:r>
    </w:p>
    <w:p w:rsidR="00076038" w:rsidRDefault="00076038" w:rsidP="00076038">
      <w:pPr>
        <w:pStyle w:val="Zkladntext1"/>
        <w:shd w:val="clear" w:color="auto" w:fill="auto"/>
        <w:spacing w:after="140"/>
        <w:jc w:val="both"/>
      </w:pPr>
      <w:r>
        <w:t>pro uchazeče: AUTOCONT a.s. (se sídlem Hornopolní 3322/34, Moravská Ostrava, 702 00 Ostrava, IČ: 04308697)</w:t>
      </w:r>
    </w:p>
    <w:p w:rsidR="00076038" w:rsidRDefault="00076038" w:rsidP="00076038">
      <w:pPr>
        <w:pStyle w:val="Zkladntext1"/>
        <w:shd w:val="clear" w:color="auto" w:fill="auto"/>
        <w:spacing w:after="140"/>
        <w:jc w:val="both"/>
      </w:pPr>
      <w:r>
        <w:t>název zakázky:</w:t>
      </w:r>
    </w:p>
    <w:p w:rsidR="00076038" w:rsidRDefault="00076038" w:rsidP="00076038">
      <w:pPr>
        <w:pStyle w:val="Zkladntext1"/>
        <w:shd w:val="clear" w:color="auto" w:fill="auto"/>
        <w:spacing w:after="620"/>
        <w:jc w:val="both"/>
      </w:pPr>
      <w:r>
        <w:t xml:space="preserve">„Obměna a rozšíření diskového pole serverovna Květná" (zákazník Česká </w:t>
      </w:r>
      <w:proofErr w:type="gramStart"/>
      <w:r>
        <w:t>republika - Státní</w:t>
      </w:r>
      <w:proofErr w:type="gramEnd"/>
      <w:r>
        <w:t xml:space="preserve"> zemědělská a potravinářská inspekce, se sídlem Květná 504/15, 60300, Brno, Pisárky, IČ: 75014149)</w:t>
      </w:r>
    </w:p>
    <w:p w:rsidR="00076038" w:rsidRDefault="00076038" w:rsidP="00076038">
      <w:pPr>
        <w:pStyle w:val="Zkladntext1"/>
        <w:shd w:val="clear" w:color="auto" w:fill="auto"/>
        <w:spacing w:after="620"/>
        <w:jc w:val="both"/>
      </w:pPr>
      <w:r>
        <w:t xml:space="preserve">Společnost </w:t>
      </w:r>
      <w:proofErr w:type="spellStart"/>
      <w:r>
        <w:t>Hitachi</w:t>
      </w:r>
      <w:proofErr w:type="spellEnd"/>
      <w:r>
        <w:t xml:space="preserve"> </w:t>
      </w:r>
      <w:proofErr w:type="spellStart"/>
      <w:r>
        <w:t>Vantara</w:t>
      </w:r>
      <w:proofErr w:type="spellEnd"/>
      <w:r>
        <w:t xml:space="preserve">, tímto potvrzuje pro účely výše uvedené veřejné zakázky, vyhlášené zadavatelem Česká </w:t>
      </w:r>
      <w:proofErr w:type="gramStart"/>
      <w:r>
        <w:t>republika - Státní</w:t>
      </w:r>
      <w:proofErr w:type="gramEnd"/>
      <w:r>
        <w:t xml:space="preserve"> zemědělská a potravinářská inspekce, se sídlem Květná 504/15, 60300, Brno, Pisárky, IČ: 75014149, následující skutečnosti:</w:t>
      </w:r>
    </w:p>
    <w:p w:rsidR="00076038" w:rsidRDefault="00076038" w:rsidP="00076038">
      <w:pPr>
        <w:pStyle w:val="Zkladntext1"/>
        <w:numPr>
          <w:ilvl w:val="0"/>
          <w:numId w:val="5"/>
        </w:numPr>
        <w:shd w:val="clear" w:color="auto" w:fill="auto"/>
        <w:tabs>
          <w:tab w:val="left" w:pos="737"/>
        </w:tabs>
        <w:spacing w:after="0" w:line="298" w:lineRule="auto"/>
        <w:ind w:firstLine="380"/>
        <w:jc w:val="both"/>
      </w:pPr>
      <w:r>
        <w:t>veškeré Zboží bude dodáno prostřednictvím autorizovaného kanálu jeho výrobce;</w:t>
      </w:r>
    </w:p>
    <w:p w:rsidR="00076038" w:rsidRDefault="00076038" w:rsidP="00076038">
      <w:pPr>
        <w:pStyle w:val="Zkladntext1"/>
        <w:numPr>
          <w:ilvl w:val="0"/>
          <w:numId w:val="5"/>
        </w:numPr>
        <w:shd w:val="clear" w:color="auto" w:fill="auto"/>
        <w:tabs>
          <w:tab w:val="left" w:pos="737"/>
        </w:tabs>
        <w:spacing w:after="0" w:line="298" w:lineRule="auto"/>
        <w:ind w:left="740" w:hanging="360"/>
        <w:jc w:val="both"/>
      </w:pPr>
      <w:r>
        <w:t>na Zboží identifikované podle sériových čísel bude zadavateli jakožto koncovému zákazníkovi poskytnuta záruka výrobce v plném, výrobcem poskytovaném rozsahu;</w:t>
      </w:r>
    </w:p>
    <w:p w:rsidR="00076038" w:rsidRDefault="00076038" w:rsidP="00076038">
      <w:pPr>
        <w:pStyle w:val="Zkladntext1"/>
        <w:numPr>
          <w:ilvl w:val="0"/>
          <w:numId w:val="5"/>
        </w:numPr>
        <w:shd w:val="clear" w:color="auto" w:fill="auto"/>
        <w:tabs>
          <w:tab w:val="left" w:pos="737"/>
        </w:tabs>
        <w:spacing w:after="620" w:line="298" w:lineRule="auto"/>
        <w:ind w:left="740" w:hanging="360"/>
        <w:jc w:val="both"/>
      </w:pPr>
      <w:r>
        <w:t xml:space="preserve">nabízené zařízení je určeno pro český trh a je kryto identickým </w:t>
      </w:r>
      <w:r>
        <w:rPr>
          <w:lang w:val="en-US" w:eastAsia="en-US" w:bidi="en-US"/>
        </w:rPr>
        <w:t xml:space="preserve">SLA </w:t>
      </w:r>
      <w:r>
        <w:t>a délkou záruky jako je požadováno v zadávací dokumentaci; tj. poskytování záruky a servisní podpory po dobu 5 let, pokrytí NBD.</w:t>
      </w:r>
    </w:p>
    <w:p w:rsidR="00076038" w:rsidRDefault="00076038" w:rsidP="00076038">
      <w:pPr>
        <w:pStyle w:val="Zkladntext1"/>
        <w:shd w:val="clear" w:color="auto" w:fill="auto"/>
        <w:spacing w:after="0" w:line="295" w:lineRule="auto"/>
        <w:jc w:val="both"/>
      </w:pPr>
      <w:r>
        <w:t xml:space="preserve">Společnost </w:t>
      </w:r>
      <w:proofErr w:type="spellStart"/>
      <w:r>
        <w:t>Hitachi</w:t>
      </w:r>
      <w:proofErr w:type="spellEnd"/>
      <w:r>
        <w:t xml:space="preserve"> </w:t>
      </w:r>
      <w:proofErr w:type="spellStart"/>
      <w:r>
        <w:t>Vantara</w:t>
      </w:r>
      <w:proofErr w:type="spellEnd"/>
      <w:r>
        <w:t xml:space="preserve"> dále osvědčuje oprávnění uchazeče, tedy společnosti AUTOCONT a.s., zprostředkovávat zadavateli využívání podpor, služeb, záruk, aktualizací software, garancí a dalších souvisejících plnění poskytovaných k dodanému zařízení výrobcem, jehož rozsah stanoví zadávací dokumentace.</w:t>
      </w:r>
    </w:p>
    <w:p w:rsidR="00076038" w:rsidRDefault="00076038" w:rsidP="00076038">
      <w:pPr>
        <w:spacing w:line="1" w:lineRule="exact"/>
      </w:pPr>
      <w:r>
        <w:rPr>
          <w:noProof/>
        </w:rPr>
        <mc:AlternateContent>
          <mc:Choice Requires="wps">
            <w:drawing>
              <wp:anchor distT="886460" distB="411480" distL="0" distR="0" simplePos="0" relativeHeight="251659264" behindDoc="0" locked="0" layoutInCell="1" allowOverlap="1" wp14:anchorId="666B6E2B" wp14:editId="426E67E6">
                <wp:simplePos x="0" y="0"/>
                <wp:positionH relativeFrom="page">
                  <wp:posOffset>978535</wp:posOffset>
                </wp:positionH>
                <wp:positionV relativeFrom="paragraph">
                  <wp:posOffset>886460</wp:posOffset>
                </wp:positionV>
                <wp:extent cx="1353185" cy="17970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353185" cy="179705"/>
                        </a:xfrm>
                        <a:prstGeom prst="rect">
                          <a:avLst/>
                        </a:prstGeom>
                        <a:noFill/>
                      </wps:spPr>
                      <wps:txbx>
                        <w:txbxContent>
                          <w:p w:rsidR="00076038" w:rsidRDefault="00076038" w:rsidP="00076038">
                            <w:pPr>
                              <w:pStyle w:val="Zkladntext1"/>
                              <w:shd w:val="clear" w:color="auto" w:fill="auto"/>
                              <w:spacing w:after="0" w:line="240" w:lineRule="auto"/>
                            </w:pPr>
                            <w:r>
                              <w:t>V Praze dne 22.11.2023</w:t>
                            </w:r>
                          </w:p>
                        </w:txbxContent>
                      </wps:txbx>
                      <wps:bodyPr wrap="none" lIns="0" tIns="0" rIns="0" bIns="0"/>
                    </wps:wsp>
                  </a:graphicData>
                </a:graphic>
              </wp:anchor>
            </w:drawing>
          </mc:Choice>
          <mc:Fallback>
            <w:pict>
              <v:shapetype w14:anchorId="666B6E2B" id="_x0000_t202" coordsize="21600,21600" o:spt="202" path="m,l,21600r21600,l21600,xe">
                <v:stroke joinstyle="miter"/>
                <v:path gradientshapeok="t" o:connecttype="rect"/>
              </v:shapetype>
              <v:shape id="Shape 2" o:spid="_x0000_s1026" type="#_x0000_t202" style="position:absolute;margin-left:77.05pt;margin-top:69.8pt;width:106.55pt;height:14.15pt;z-index:251659264;visibility:visible;mso-wrap-style:none;mso-wrap-distance-left:0;mso-wrap-distance-top:69.8pt;mso-wrap-distance-right:0;mso-wrap-distance-bottom:3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" filled="f" stroked="f">
                <v:textbox inset="0,0,0,0">
                  <w:txbxContent>
                    <w:p w:rsidR="00076038" w:rsidRDefault="00076038" w:rsidP="00076038">
                      <w:pPr>
                        <w:pStyle w:val="Zkladntext1"/>
                        <w:shd w:val="clear" w:color="auto" w:fill="auto"/>
                        <w:spacing w:after="0" w:line="240" w:lineRule="auto"/>
                      </w:pPr>
                      <w:r>
                        <w:t>V Praze dne 22.11.2023</w:t>
                      </w:r>
                    </w:p>
                  </w:txbxContent>
                </v:textbox>
                <w10:wrap type="topAndBottom" anchorx="page"/>
              </v:shape>
            </w:pict>
          </mc:Fallback>
        </mc:AlternateContent>
      </w:r>
    </w:p>
    <w:p w:rsidR="00076038" w:rsidRDefault="00076038" w:rsidP="00076038">
      <w:pPr>
        <w:pStyle w:val="Zkladntext1"/>
        <w:shd w:val="clear" w:color="auto" w:fill="auto"/>
        <w:spacing w:after="220" w:line="240" w:lineRule="auto"/>
      </w:pPr>
      <w:r>
        <w:t>XXXXXXXXX</w:t>
      </w:r>
    </w:p>
    <w:p w:rsidR="00076038" w:rsidRDefault="00076038" w:rsidP="00076038">
      <w:pPr>
        <w:pStyle w:val="Zkladntext1"/>
        <w:shd w:val="clear" w:color="auto" w:fill="auto"/>
        <w:spacing w:after="220" w:line="240" w:lineRule="auto"/>
      </w:pPr>
      <w:proofErr w:type="spellStart"/>
      <w:r>
        <w:t>Enterprise</w:t>
      </w:r>
      <w:proofErr w:type="spellEnd"/>
      <w:r>
        <w:t xml:space="preserve"> </w:t>
      </w:r>
      <w:proofErr w:type="spellStart"/>
      <w:r>
        <w:t>Account</w:t>
      </w:r>
      <w:proofErr w:type="spellEnd"/>
      <w:r>
        <w:t xml:space="preserve"> Manager</w:t>
      </w:r>
    </w:p>
    <w:p w:rsidR="00076038" w:rsidRDefault="00076038" w:rsidP="00076038">
      <w:pPr>
        <w:pStyle w:val="Zkladntext1"/>
        <w:shd w:val="clear" w:color="auto" w:fill="auto"/>
        <w:spacing w:after="220" w:line="240" w:lineRule="auto"/>
      </w:pPr>
      <w:proofErr w:type="spellStart"/>
      <w:r>
        <w:t>Hitachi</w:t>
      </w:r>
      <w:proofErr w:type="spellEnd"/>
      <w:r>
        <w:t xml:space="preserve"> </w:t>
      </w:r>
      <w:proofErr w:type="spellStart"/>
      <w:r>
        <w:t>Vantara</w:t>
      </w:r>
      <w:proofErr w:type="spellEnd"/>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rsidP="00076038">
      <w:pPr>
        <w:pStyle w:val="Zkladntext1"/>
        <w:framePr w:w="2918" w:h="274" w:wrap="none" w:hAnchor="page" w:x="1377" w:y="1"/>
        <w:shd w:val="clear" w:color="auto" w:fill="auto"/>
        <w:spacing w:after="0" w:line="240" w:lineRule="auto"/>
      </w:pPr>
      <w:r>
        <w:t xml:space="preserve">IBM Česká </w:t>
      </w:r>
      <w:proofErr w:type="spellStart"/>
      <w:r>
        <w:rPr>
          <w:lang w:val="en-US" w:eastAsia="en-US" w:bidi="en-US"/>
        </w:rPr>
        <w:t>republika</w:t>
      </w:r>
      <w:proofErr w:type="spellEnd"/>
      <w:r>
        <w:rPr>
          <w:lang w:val="en-US" w:eastAsia="en-US" w:bidi="en-US"/>
        </w:rPr>
        <w:t xml:space="preserve">, </w:t>
      </w:r>
      <w:proofErr w:type="spellStart"/>
      <w:r>
        <w:rPr>
          <w:lang w:val="en-US" w:eastAsia="en-US" w:bidi="en-US"/>
        </w:rPr>
        <w:t>spol</w:t>
      </w:r>
      <w:proofErr w:type="spellEnd"/>
      <w:r>
        <w:rPr>
          <w:lang w:val="en-US" w:eastAsia="en-US" w:bidi="en-US"/>
        </w:rPr>
        <w:t xml:space="preserve">. s </w:t>
      </w:r>
      <w:proofErr w:type="spellStart"/>
      <w:r>
        <w:rPr>
          <w:lang w:val="en-US" w:eastAsia="en-US" w:bidi="en-US"/>
        </w:rPr>
        <w:t>r.o</w:t>
      </w:r>
      <w:proofErr w:type="spellEnd"/>
      <w:r>
        <w:rPr>
          <w:lang w:val="en-US" w:eastAsia="en-US" w:bidi="en-US"/>
        </w:rPr>
        <w:t>.</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The Park</w:t>
      </w:r>
    </w:p>
    <w:p w:rsidR="00076038" w:rsidRDefault="00076038" w:rsidP="00076038">
      <w:pPr>
        <w:pStyle w:val="Zkladntext1"/>
        <w:framePr w:w="2141" w:h="1416" w:wrap="none" w:hAnchor="page" w:x="8159" w:y="1"/>
        <w:shd w:val="clear" w:color="auto" w:fill="auto"/>
        <w:spacing w:after="0" w:line="240" w:lineRule="auto"/>
      </w:pPr>
      <w:r>
        <w:t xml:space="preserve">V Parku </w:t>
      </w:r>
      <w:r>
        <w:rPr>
          <w:lang w:val="en-US" w:eastAsia="en-US" w:bidi="en-US"/>
        </w:rPr>
        <w:t>2294/4</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148 00 Praha 4 -</w:t>
      </w:r>
    </w:p>
    <w:p w:rsidR="00076038" w:rsidRDefault="00076038" w:rsidP="00076038">
      <w:pPr>
        <w:pStyle w:val="Zkladntext1"/>
        <w:framePr w:w="2141" w:h="1416" w:wrap="none" w:hAnchor="page" w:x="8159" w:y="1"/>
        <w:shd w:val="clear" w:color="auto" w:fill="auto"/>
        <w:spacing w:after="0" w:line="240" w:lineRule="auto"/>
      </w:pPr>
      <w:r>
        <w:t>Chodov</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Tel.: + 420 272 131 111</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Fax: +420 272 131 401</w:t>
      </w:r>
    </w:p>
    <w:p w:rsidR="00076038" w:rsidRDefault="00076038" w:rsidP="00076038">
      <w:pPr>
        <w:pStyle w:val="Zkladntext1"/>
        <w:framePr w:w="2918" w:h="274" w:wrap="none" w:hAnchor="page" w:x="1377" w:y="1"/>
        <w:shd w:val="clear" w:color="auto" w:fill="auto"/>
        <w:spacing w:after="0" w:line="240" w:lineRule="auto"/>
      </w:pPr>
      <w:r>
        <w:t xml:space="preserve">IBM Česká </w:t>
      </w:r>
      <w:proofErr w:type="spellStart"/>
      <w:r>
        <w:rPr>
          <w:lang w:val="en-US" w:eastAsia="en-US" w:bidi="en-US"/>
        </w:rPr>
        <w:t>republika</w:t>
      </w:r>
      <w:proofErr w:type="spellEnd"/>
      <w:r>
        <w:rPr>
          <w:lang w:val="en-US" w:eastAsia="en-US" w:bidi="en-US"/>
        </w:rPr>
        <w:t xml:space="preserve">, </w:t>
      </w:r>
      <w:proofErr w:type="spellStart"/>
      <w:r>
        <w:rPr>
          <w:lang w:val="en-US" w:eastAsia="en-US" w:bidi="en-US"/>
        </w:rPr>
        <w:t>spol</w:t>
      </w:r>
      <w:proofErr w:type="spellEnd"/>
      <w:r>
        <w:rPr>
          <w:lang w:val="en-US" w:eastAsia="en-US" w:bidi="en-US"/>
        </w:rPr>
        <w:t xml:space="preserve">. s </w:t>
      </w:r>
      <w:proofErr w:type="spellStart"/>
      <w:r>
        <w:rPr>
          <w:lang w:val="en-US" w:eastAsia="en-US" w:bidi="en-US"/>
        </w:rPr>
        <w:t>r.o</w:t>
      </w:r>
      <w:proofErr w:type="spellEnd"/>
      <w:r>
        <w:rPr>
          <w:lang w:val="en-US" w:eastAsia="en-US" w:bidi="en-US"/>
        </w:rPr>
        <w:t>.</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The Park</w:t>
      </w:r>
    </w:p>
    <w:p w:rsidR="00076038" w:rsidRDefault="00076038" w:rsidP="00076038">
      <w:pPr>
        <w:pStyle w:val="Zkladntext1"/>
        <w:framePr w:w="2141" w:h="1416" w:wrap="none" w:hAnchor="page" w:x="8159" w:y="1"/>
        <w:shd w:val="clear" w:color="auto" w:fill="auto"/>
        <w:spacing w:after="0" w:line="240" w:lineRule="auto"/>
      </w:pPr>
      <w:r>
        <w:t xml:space="preserve">V Parku </w:t>
      </w:r>
      <w:r>
        <w:rPr>
          <w:lang w:val="en-US" w:eastAsia="en-US" w:bidi="en-US"/>
        </w:rPr>
        <w:t>2294/4</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148 00 Praha 4 -</w:t>
      </w:r>
    </w:p>
    <w:p w:rsidR="00076038" w:rsidRDefault="00076038" w:rsidP="00076038">
      <w:pPr>
        <w:pStyle w:val="Zkladntext1"/>
        <w:framePr w:w="2141" w:h="1416" w:wrap="none" w:hAnchor="page" w:x="8159" w:y="1"/>
        <w:shd w:val="clear" w:color="auto" w:fill="auto"/>
        <w:spacing w:after="0" w:line="240" w:lineRule="auto"/>
      </w:pPr>
      <w:r>
        <w:t>Chodov</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Tel.: + 420 272 131 111</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Fax: +420 272 131 401</w:t>
      </w:r>
    </w:p>
    <w:p w:rsidR="00076038" w:rsidRDefault="00076038" w:rsidP="00076038">
      <w:pPr>
        <w:spacing w:line="360" w:lineRule="exact"/>
      </w:pPr>
    </w:p>
    <w:p w:rsidR="00076038" w:rsidRDefault="00076038" w:rsidP="00076038">
      <w:pPr>
        <w:pStyle w:val="Zkladntext1"/>
        <w:framePr w:w="2918" w:h="274" w:wrap="none" w:hAnchor="page" w:x="1377" w:y="1"/>
        <w:shd w:val="clear" w:color="auto" w:fill="auto"/>
        <w:spacing w:after="0" w:line="240" w:lineRule="auto"/>
      </w:pPr>
      <w:r>
        <w:t xml:space="preserve">IBM Česká </w:t>
      </w:r>
      <w:proofErr w:type="spellStart"/>
      <w:r>
        <w:rPr>
          <w:lang w:val="en-US" w:eastAsia="en-US" w:bidi="en-US"/>
        </w:rPr>
        <w:t>republika</w:t>
      </w:r>
      <w:proofErr w:type="spellEnd"/>
      <w:r>
        <w:rPr>
          <w:lang w:val="en-US" w:eastAsia="en-US" w:bidi="en-US"/>
        </w:rPr>
        <w:t xml:space="preserve">, </w:t>
      </w:r>
      <w:proofErr w:type="spellStart"/>
      <w:r>
        <w:rPr>
          <w:lang w:val="en-US" w:eastAsia="en-US" w:bidi="en-US"/>
        </w:rPr>
        <w:t>spol</w:t>
      </w:r>
      <w:proofErr w:type="spellEnd"/>
      <w:r>
        <w:rPr>
          <w:lang w:val="en-US" w:eastAsia="en-US" w:bidi="en-US"/>
        </w:rPr>
        <w:t xml:space="preserve">. s </w:t>
      </w:r>
      <w:proofErr w:type="spellStart"/>
      <w:r>
        <w:rPr>
          <w:lang w:val="en-US" w:eastAsia="en-US" w:bidi="en-US"/>
        </w:rPr>
        <w:t>r.o</w:t>
      </w:r>
      <w:proofErr w:type="spellEnd"/>
      <w:r>
        <w:rPr>
          <w:lang w:val="en-US" w:eastAsia="en-US" w:bidi="en-US"/>
        </w:rPr>
        <w:t>.</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The Park</w:t>
      </w:r>
    </w:p>
    <w:p w:rsidR="00076038" w:rsidRDefault="00076038" w:rsidP="00076038">
      <w:pPr>
        <w:pStyle w:val="Zkladntext1"/>
        <w:framePr w:w="2141" w:h="1416" w:wrap="none" w:hAnchor="page" w:x="8159" w:y="1"/>
        <w:shd w:val="clear" w:color="auto" w:fill="auto"/>
        <w:spacing w:after="0" w:line="240" w:lineRule="auto"/>
      </w:pPr>
      <w:r>
        <w:t xml:space="preserve">V Parku </w:t>
      </w:r>
      <w:r>
        <w:rPr>
          <w:lang w:val="en-US" w:eastAsia="en-US" w:bidi="en-US"/>
        </w:rPr>
        <w:t>2294/4</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148 00 Praha 4 -</w:t>
      </w:r>
    </w:p>
    <w:p w:rsidR="00076038" w:rsidRDefault="00076038" w:rsidP="00076038">
      <w:pPr>
        <w:pStyle w:val="Zkladntext1"/>
        <w:framePr w:w="2141" w:h="1416" w:wrap="none" w:hAnchor="page" w:x="8159" w:y="1"/>
        <w:shd w:val="clear" w:color="auto" w:fill="auto"/>
        <w:spacing w:after="0" w:line="240" w:lineRule="auto"/>
      </w:pPr>
      <w:r>
        <w:t>Chodov</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Tel.: + 420 272 131 111</w:t>
      </w:r>
    </w:p>
    <w:p w:rsidR="00076038" w:rsidRDefault="00076038" w:rsidP="00076038">
      <w:pPr>
        <w:pStyle w:val="Zkladntext1"/>
        <w:framePr w:w="2141" w:h="1416" w:wrap="none" w:hAnchor="page" w:x="8159" w:y="1"/>
        <w:shd w:val="clear" w:color="auto" w:fill="auto"/>
        <w:spacing w:after="0" w:line="240" w:lineRule="auto"/>
      </w:pPr>
      <w:r>
        <w:rPr>
          <w:lang w:val="en-US" w:eastAsia="en-US" w:bidi="en-US"/>
        </w:rPr>
        <w:t>Fax: +420 272 131 401</w:t>
      </w:r>
    </w:p>
    <w:p w:rsidR="00076038" w:rsidRDefault="00076038" w:rsidP="00076038">
      <w:pPr>
        <w:spacing w:line="360" w:lineRule="exact"/>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pPr>
        <w:spacing w:line="240" w:lineRule="exact"/>
        <w:rPr>
          <w:sz w:val="19"/>
          <w:szCs w:val="19"/>
        </w:rPr>
      </w:pPr>
    </w:p>
    <w:p w:rsidR="00076038" w:rsidRDefault="00076038" w:rsidP="00076038">
      <w:pPr>
        <w:pStyle w:val="Zkladntext1"/>
        <w:shd w:val="clear" w:color="auto" w:fill="auto"/>
        <w:spacing w:after="160" w:line="240" w:lineRule="auto"/>
        <w:jc w:val="center"/>
      </w:pPr>
      <w:r>
        <w:rPr>
          <w:b/>
          <w:bCs/>
        </w:rPr>
        <w:t>Prohlášení</w:t>
      </w:r>
    </w:p>
    <w:p w:rsidR="00076038" w:rsidRDefault="00076038" w:rsidP="00076038">
      <w:pPr>
        <w:pStyle w:val="Zkladntext1"/>
        <w:shd w:val="clear" w:color="auto" w:fill="auto"/>
        <w:jc w:val="both"/>
      </w:pPr>
      <w:r>
        <w:t xml:space="preserve">Věc: Potvrzení </w:t>
      </w:r>
      <w:r>
        <w:rPr>
          <w:lang w:val="en-US" w:eastAsia="en-US" w:bidi="en-US"/>
        </w:rPr>
        <w:t xml:space="preserve">pro </w:t>
      </w:r>
      <w:r>
        <w:t>účely veřejné zakázky</w:t>
      </w:r>
    </w:p>
    <w:p w:rsidR="00076038" w:rsidRDefault="00076038" w:rsidP="00076038">
      <w:pPr>
        <w:pStyle w:val="Zkladntext1"/>
        <w:shd w:val="clear" w:color="auto" w:fill="auto"/>
        <w:jc w:val="both"/>
      </w:pPr>
      <w:r>
        <w:t>pro uchazeče: AUTOCONT a.s. (se sídlem Hornopolní 3322/34, Moravská Ostrava, 702 00 Ostrava, IČ:04308697)</w:t>
      </w:r>
    </w:p>
    <w:p w:rsidR="00076038" w:rsidRDefault="00076038" w:rsidP="00076038">
      <w:pPr>
        <w:pStyle w:val="Zkladntext1"/>
        <w:shd w:val="clear" w:color="auto" w:fill="auto"/>
        <w:jc w:val="both"/>
      </w:pPr>
      <w:r>
        <w:t>název zakázky:</w:t>
      </w:r>
    </w:p>
    <w:p w:rsidR="00076038" w:rsidRDefault="00076038" w:rsidP="00076038">
      <w:pPr>
        <w:pStyle w:val="Zkladntext1"/>
        <w:shd w:val="clear" w:color="auto" w:fill="auto"/>
        <w:jc w:val="both"/>
      </w:pPr>
      <w:r>
        <w:t xml:space="preserve">„Obměna a rozšíření diskového pole serverovna Květná“ (zákazník Česká </w:t>
      </w:r>
      <w:proofErr w:type="gramStart"/>
      <w:r>
        <w:t>republika - Státní</w:t>
      </w:r>
      <w:proofErr w:type="gramEnd"/>
      <w:r>
        <w:t xml:space="preserve"> zemědělská a potravinářská inspekce, se sídlem Květná 504/15, 60300, Brno, Pisárky, IČ: 75014149)</w:t>
      </w:r>
    </w:p>
    <w:p w:rsidR="00076038" w:rsidRDefault="00076038" w:rsidP="00076038">
      <w:pPr>
        <w:pStyle w:val="Zkladntext1"/>
        <w:shd w:val="clear" w:color="auto" w:fill="auto"/>
        <w:jc w:val="both"/>
      </w:pPr>
      <w:r>
        <w:t xml:space="preserve">Společnost IBM Česká republika, spol. s r.o., sídlem V Parku 2294/4 Praha </w:t>
      </w:r>
      <w:proofErr w:type="gramStart"/>
      <w:r>
        <w:t>4-Chodov</w:t>
      </w:r>
      <w:proofErr w:type="gramEnd"/>
      <w:r>
        <w:t>, IČ: 14890992 tímto potvrzuje pro účely výše uvedené veřejné zakázky, vyhlášené zadavatelem Česká republika - Státní zemědělská a potravinářská inspekce, se sídlem Květná 504/15, 60300, Brno, Pisárky, IČ: 75014149, následující skutečnosti:</w:t>
      </w:r>
    </w:p>
    <w:p w:rsidR="00076038" w:rsidRDefault="00076038" w:rsidP="00076038">
      <w:pPr>
        <w:pStyle w:val="Zkladntext1"/>
        <w:numPr>
          <w:ilvl w:val="0"/>
          <w:numId w:val="6"/>
        </w:numPr>
        <w:shd w:val="clear" w:color="auto" w:fill="auto"/>
        <w:tabs>
          <w:tab w:val="left" w:pos="742"/>
        </w:tabs>
        <w:spacing w:after="0"/>
        <w:ind w:firstLine="380"/>
        <w:jc w:val="both"/>
      </w:pPr>
      <w:r>
        <w:t>veškeré Zboží bude dodáno prostřednictvím autorizovaného kanálu jeho výrobce;</w:t>
      </w:r>
    </w:p>
    <w:p w:rsidR="00076038" w:rsidRDefault="00076038" w:rsidP="00076038">
      <w:pPr>
        <w:pStyle w:val="Zkladntext1"/>
        <w:numPr>
          <w:ilvl w:val="0"/>
          <w:numId w:val="6"/>
        </w:numPr>
        <w:shd w:val="clear" w:color="auto" w:fill="auto"/>
        <w:tabs>
          <w:tab w:val="left" w:pos="742"/>
        </w:tabs>
        <w:spacing w:after="0"/>
        <w:ind w:left="740" w:hanging="360"/>
        <w:jc w:val="both"/>
      </w:pPr>
      <w:r>
        <w:t>na Zboží identifikované podle sériových čísel bude zadavateli jakožto koncovému zákazníkovi poskytnuta záruka výrobce v plném, výrobcem poskytovaném rozsahu;</w:t>
      </w:r>
    </w:p>
    <w:p w:rsidR="00076038" w:rsidRDefault="00076038" w:rsidP="00076038">
      <w:pPr>
        <w:pStyle w:val="Zkladntext1"/>
        <w:numPr>
          <w:ilvl w:val="0"/>
          <w:numId w:val="6"/>
        </w:numPr>
        <w:shd w:val="clear" w:color="auto" w:fill="auto"/>
        <w:tabs>
          <w:tab w:val="left" w:pos="742"/>
        </w:tabs>
        <w:spacing w:after="160"/>
        <w:ind w:left="740" w:hanging="360"/>
        <w:jc w:val="both"/>
      </w:pPr>
      <w:r>
        <w:t xml:space="preserve">nabízené zařízení je určeno pro český trh a je kryto identickým </w:t>
      </w:r>
      <w:r>
        <w:rPr>
          <w:lang w:val="en-US" w:eastAsia="en-US" w:bidi="en-US"/>
        </w:rPr>
        <w:t xml:space="preserve">SLA </w:t>
      </w:r>
      <w:r>
        <w:t>a délkou záruky jako je požadováno v zadávací dokumentaci; tj. servisní podpora po dobu 5 let, pokrytí 24 hodin 7 dní v týdnu, s garantovanou dobou opravy do 24 hodin včetně poskytnutí SW podpory, která umožňuje přístup k novým verzím FW, opravným patchům atd.</w:t>
      </w:r>
    </w:p>
    <w:p w:rsidR="00076038" w:rsidRDefault="00076038" w:rsidP="00076038">
      <w:pPr>
        <w:pStyle w:val="Zkladntext1"/>
        <w:shd w:val="clear" w:color="auto" w:fill="auto"/>
        <w:jc w:val="both"/>
      </w:pPr>
      <w:r>
        <w:t>Společnost IBM Česká republika, spol. s r.o. dále osvědčuje oprávnění uchazeče, tedy společnosti AUTOCONT a.s., zprostředkovávat zadavateli využívání podpor, služeb, záruk, aktualizací software, garancí a dalších souvisejících plnění poskytovaných k dodanému zařízení výrobcem, jehož rozsah stanoví zadávací dokumentace.</w:t>
      </w:r>
    </w:p>
    <w:p w:rsidR="00076038" w:rsidRDefault="00076038" w:rsidP="00076038">
      <w:pPr>
        <w:pStyle w:val="Zkladntext1"/>
        <w:shd w:val="clear" w:color="auto" w:fill="auto"/>
        <w:spacing w:after="280" w:line="240" w:lineRule="auto"/>
        <w:jc w:val="both"/>
      </w:pPr>
      <w:r>
        <w:t>V Praze dne 22. 11.2023</w:t>
      </w:r>
    </w:p>
    <w:p w:rsidR="00076038" w:rsidRDefault="00076038" w:rsidP="00076038">
      <w:pPr>
        <w:pStyle w:val="Zkladntext1"/>
        <w:shd w:val="clear" w:color="auto" w:fill="auto"/>
        <w:spacing w:before="100" w:line="240" w:lineRule="auto"/>
        <w:ind w:right="520"/>
        <w:jc w:val="center"/>
        <w:rPr>
          <w:lang w:val="en-US" w:eastAsia="en-US" w:bidi="en-US"/>
        </w:rPr>
      </w:pPr>
      <w:r>
        <w:rPr>
          <w:lang w:val="en-US" w:eastAsia="en-US" w:bidi="en-US"/>
        </w:rPr>
        <w:t xml:space="preserve">                                                                                             XXXXXXXXX</w:t>
      </w:r>
    </w:p>
    <w:p w:rsidR="00076038" w:rsidRDefault="00076038" w:rsidP="00076038">
      <w:pPr>
        <w:pStyle w:val="Zkladntext1"/>
        <w:shd w:val="clear" w:color="auto" w:fill="auto"/>
        <w:spacing w:before="100" w:line="240" w:lineRule="auto"/>
        <w:ind w:right="520"/>
        <w:jc w:val="right"/>
      </w:pPr>
      <w:r>
        <w:rPr>
          <w:lang w:val="en-US" w:eastAsia="en-US" w:bidi="en-US"/>
        </w:rPr>
        <w:t xml:space="preserve">Cross-Brand </w:t>
      </w:r>
      <w:r>
        <w:t xml:space="preserve">Systems </w:t>
      </w:r>
      <w:proofErr w:type="spellStart"/>
      <w:r>
        <w:t>Mapager</w:t>
      </w:r>
      <w:proofErr w:type="spellEnd"/>
    </w:p>
    <w:p w:rsidR="00076038" w:rsidRDefault="00076038" w:rsidP="00076038">
      <w:pPr>
        <w:spacing w:line="240" w:lineRule="exact"/>
        <w:rPr>
          <w:sz w:val="19"/>
          <w:szCs w:val="19"/>
        </w:rPr>
      </w:pPr>
      <w:r>
        <w:t>IBM Česká republika, spol. s</w:t>
      </w:r>
    </w:p>
    <w:sectPr w:rsidR="00076038" w:rsidSect="009E5FCD">
      <w:type w:val="continuous"/>
      <w:pgSz w:w="11900" w:h="16840"/>
      <w:pgMar w:top="1398" w:right="1076" w:bottom="1058" w:left="10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38" w:rsidRDefault="003C1538">
      <w:r>
        <w:separator/>
      </w:r>
    </w:p>
  </w:endnote>
  <w:endnote w:type="continuationSeparator" w:id="0">
    <w:p w:rsidR="003C1538" w:rsidRDefault="003C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F9" w:rsidRDefault="00000A6B">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3441700</wp:posOffset>
              </wp:positionH>
              <wp:positionV relativeFrom="page">
                <wp:posOffset>9962515</wp:posOffset>
              </wp:positionV>
              <wp:extent cx="67373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673735" cy="118745"/>
                      </a:xfrm>
                      <a:prstGeom prst="rect">
                        <a:avLst/>
                      </a:prstGeom>
                      <a:noFill/>
                    </wps:spPr>
                    <wps:txbx>
                      <w:txbxContent>
                        <w:p w:rsidR="00C371F9" w:rsidRDefault="00000A6B">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71pt;margin-top:784.45pt;width:53.0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" filled="f" stroked="f">
              <v:textbox style="mso-fit-shape-to-text:t" inset="0,0,0,0">
                <w:txbxContent>
                  <w:p w:rsidR="00C371F9" w:rsidRDefault="00000A6B">
                    <w:pPr>
                      <w:pStyle w:val="Zhlavnebozpat20"/>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38" w:rsidRDefault="003C1538"/>
  </w:footnote>
  <w:footnote w:type="continuationSeparator" w:id="0">
    <w:p w:rsidR="003C1538" w:rsidRDefault="003C1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D09"/>
    <w:multiLevelType w:val="multilevel"/>
    <w:tmpl w:val="142C636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014E0"/>
    <w:multiLevelType w:val="multilevel"/>
    <w:tmpl w:val="2CBEDA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23714D"/>
    <w:multiLevelType w:val="multilevel"/>
    <w:tmpl w:val="E7CE5360"/>
    <w:lvl w:ilvl="0">
      <w:start w:val="1"/>
      <w:numFmt w:val="bullet"/>
      <w:lvlText w:val="•"/>
      <w:lvlJc w:val="left"/>
      <w:rPr>
        <w:rFonts w:ascii="Calibri" w:eastAsia="Calibri" w:hAnsi="Calibri" w:cs="Calibri"/>
        <w:b w:val="0"/>
        <w:bCs w:val="0"/>
        <w:i w:val="0"/>
        <w:iCs w:val="0"/>
        <w:smallCaps w:val="0"/>
        <w:strike w:val="0"/>
        <w:color w:val="464748"/>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E1B5A"/>
    <w:multiLevelType w:val="multilevel"/>
    <w:tmpl w:val="026E6EB2"/>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82BE4"/>
    <w:multiLevelType w:val="hybridMultilevel"/>
    <w:tmpl w:val="087269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14FCD"/>
    <w:multiLevelType w:val="multilevel"/>
    <w:tmpl w:val="56A0CB9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F9"/>
    <w:rsid w:val="00000A6B"/>
    <w:rsid w:val="00062940"/>
    <w:rsid w:val="00076038"/>
    <w:rsid w:val="000C60D6"/>
    <w:rsid w:val="000D2275"/>
    <w:rsid w:val="002D37DA"/>
    <w:rsid w:val="003562D5"/>
    <w:rsid w:val="003C1538"/>
    <w:rsid w:val="004B2117"/>
    <w:rsid w:val="004E6C8D"/>
    <w:rsid w:val="007E4245"/>
    <w:rsid w:val="008C7D41"/>
    <w:rsid w:val="008D11EC"/>
    <w:rsid w:val="009779B9"/>
    <w:rsid w:val="009E2C54"/>
    <w:rsid w:val="009E5FCD"/>
    <w:rsid w:val="00C371F9"/>
    <w:rsid w:val="00D324A3"/>
    <w:rsid w:val="00E276B8"/>
    <w:rsid w:val="00E94F82"/>
    <w:rsid w:val="00EB3E1F"/>
    <w:rsid w:val="00FA1919"/>
    <w:rsid w:val="00FF4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473D5-6639-4BC2-8BE9-9068CDA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paragraph" w:customStyle="1" w:styleId="Titulektabulky0">
    <w:name w:val="Titulek tabulky"/>
    <w:basedOn w:val="Normln"/>
    <w:link w:val="Titulektabulky"/>
    <w:pPr>
      <w:shd w:val="clear" w:color="auto" w:fill="FFFFFF"/>
    </w:pPr>
    <w:rPr>
      <w:rFonts w:ascii="Arial" w:eastAsia="Arial" w:hAnsi="Arial" w:cs="Arial"/>
      <w:b/>
      <w:bCs/>
      <w:sz w:val="22"/>
      <w:szCs w:val="22"/>
    </w:rPr>
  </w:style>
  <w:style w:type="paragraph" w:customStyle="1" w:styleId="Jin0">
    <w:name w:val="Jiné"/>
    <w:basedOn w:val="Normln"/>
    <w:link w:val="Jin"/>
    <w:pPr>
      <w:shd w:val="clear" w:color="auto" w:fill="FFFFFF"/>
      <w:spacing w:after="80" w:line="276" w:lineRule="auto"/>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line="276" w:lineRule="auto"/>
    </w:pPr>
    <w:rPr>
      <w:rFonts w:ascii="Arial" w:eastAsia="Arial" w:hAnsi="Arial" w:cs="Arial"/>
      <w:sz w:val="22"/>
      <w:szCs w:val="22"/>
    </w:rPr>
  </w:style>
  <w:style w:type="paragraph" w:customStyle="1" w:styleId="Nadpis10">
    <w:name w:val="Nadpis #1"/>
    <w:basedOn w:val="Normln"/>
    <w:link w:val="Nadpis1"/>
    <w:pPr>
      <w:shd w:val="clear" w:color="auto" w:fill="FFFFFF"/>
      <w:spacing w:after="220" w:line="252" w:lineRule="auto"/>
      <w:jc w:val="center"/>
      <w:outlineLvl w:val="0"/>
    </w:pPr>
    <w:rPr>
      <w:rFonts w:ascii="Arial" w:eastAsia="Arial" w:hAnsi="Arial" w:cs="Arial"/>
      <w:b/>
      <w:bCs/>
    </w:rPr>
  </w:style>
  <w:style w:type="paragraph" w:customStyle="1" w:styleId="Nadpis20">
    <w:name w:val="Nadpis #2"/>
    <w:basedOn w:val="Normln"/>
    <w:link w:val="Nadpis2"/>
    <w:pPr>
      <w:shd w:val="clear" w:color="auto" w:fill="FFFFFF"/>
      <w:spacing w:line="276" w:lineRule="auto"/>
      <w:ind w:left="880" w:hanging="580"/>
      <w:outlineLvl w:val="1"/>
    </w:pPr>
    <w:rPr>
      <w:rFonts w:ascii="Arial" w:eastAsia="Arial" w:hAnsi="Arial" w:cs="Arial"/>
      <w:sz w:val="22"/>
      <w:szCs w:val="22"/>
    </w:rPr>
  </w:style>
  <w:style w:type="paragraph" w:customStyle="1" w:styleId="Nadpis30">
    <w:name w:val="Nadpis #3"/>
    <w:basedOn w:val="Normln"/>
    <w:link w:val="Nadpis3"/>
    <w:pPr>
      <w:shd w:val="clear" w:color="auto" w:fill="FFFFFF"/>
      <w:spacing w:line="276" w:lineRule="auto"/>
      <w:ind w:left="1220" w:hanging="920"/>
      <w:outlineLvl w:val="2"/>
    </w:pPr>
    <w:rPr>
      <w:rFonts w:ascii="Arial" w:eastAsia="Arial" w:hAnsi="Arial" w:cs="Arial"/>
      <w:sz w:val="22"/>
      <w:szCs w:val="22"/>
    </w:rPr>
  </w:style>
  <w:style w:type="paragraph" w:customStyle="1" w:styleId="Zkladntext30">
    <w:name w:val="Základní text (3)"/>
    <w:basedOn w:val="Normln"/>
    <w:link w:val="Zkladntext3"/>
    <w:pPr>
      <w:shd w:val="clear" w:color="auto" w:fill="FFFFFF"/>
    </w:pPr>
    <w:rPr>
      <w:rFonts w:ascii="Arial" w:eastAsia="Arial" w:hAnsi="Arial" w:cs="Arial"/>
      <w:sz w:val="36"/>
      <w:szCs w:val="36"/>
    </w:rPr>
  </w:style>
  <w:style w:type="paragraph" w:customStyle="1" w:styleId="Zkladntext20">
    <w:name w:val="Základní text (2)"/>
    <w:basedOn w:val="Normln"/>
    <w:link w:val="Zkladntext2"/>
    <w:pPr>
      <w:shd w:val="clear" w:color="auto" w:fill="FFFFFF"/>
      <w:spacing w:line="295" w:lineRule="auto"/>
    </w:pPr>
    <w:rPr>
      <w:rFonts w:ascii="Arial" w:eastAsia="Arial" w:hAnsi="Arial" w:cs="Arial"/>
      <w:sz w:val="8"/>
      <w:szCs w:val="8"/>
    </w:rPr>
  </w:style>
  <w:style w:type="paragraph" w:styleId="Odstavecseseznamem">
    <w:name w:val="List Paragraph"/>
    <w:basedOn w:val="Normln"/>
    <w:uiPriority w:val="34"/>
    <w:qFormat/>
    <w:rsid w:val="004B2117"/>
    <w:pPr>
      <w:ind w:left="720"/>
      <w:contextualSpacing/>
    </w:pPr>
  </w:style>
  <w:style w:type="character" w:styleId="Hypertextovodkaz">
    <w:name w:val="Hyperlink"/>
    <w:basedOn w:val="Standardnpsmoodstavce"/>
    <w:uiPriority w:val="99"/>
    <w:unhideWhenUsed/>
    <w:rsid w:val="000D2275"/>
    <w:rPr>
      <w:color w:val="0563C1" w:themeColor="hyperlink"/>
      <w:u w:val="single"/>
    </w:rPr>
  </w:style>
  <w:style w:type="character" w:styleId="Nevyeenzmnka">
    <w:name w:val="Unresolved Mention"/>
    <w:basedOn w:val="Standardnpsmoodstavce"/>
    <w:uiPriority w:val="99"/>
    <w:semiHidden/>
    <w:unhideWhenUsed/>
    <w:rsid w:val="000D2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4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4204</Words>
  <Characters>24810</Characters>
  <Application>Microsoft Office Word</Application>
  <DocSecurity>4</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SZPI</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Gašková Blažena</dc:creator>
  <cp:keywords/>
  <cp:lastModifiedBy>Dohnalová Alena, JUDr.</cp:lastModifiedBy>
  <cp:revision>2</cp:revision>
  <dcterms:created xsi:type="dcterms:W3CDTF">2024-01-31T07:29:00Z</dcterms:created>
  <dcterms:modified xsi:type="dcterms:W3CDTF">2024-01-31T07:29:00Z</dcterms:modified>
</cp:coreProperties>
</file>