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1B268C2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DA456F">
        <w:rPr>
          <w:rFonts w:ascii="Arial" w:hAnsi="Arial"/>
          <w:spacing w:val="0"/>
          <w:kern w:val="0"/>
          <w:sz w:val="24"/>
          <w:szCs w:val="24"/>
        </w:rPr>
        <w:t>8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AA2552F" w14:textId="77777777" w:rsidR="003145D6" w:rsidRPr="004D66EA" w:rsidRDefault="003145D6" w:rsidP="003145D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40AAEBE7" w14:textId="77777777" w:rsidR="003145D6" w:rsidRPr="004D66EA" w:rsidRDefault="003145D6" w:rsidP="003145D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7828D242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511729E8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00AF93E9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6AC9F0F6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602E0AB9" w14:textId="1873CA8C" w:rsidR="003145D6" w:rsidRDefault="003145D6" w:rsidP="003145D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F422ED" w:rsidRPr="00AB030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15E3C3D" w14:textId="77777777" w:rsidR="003145D6" w:rsidRPr="004D66EA" w:rsidRDefault="003145D6" w:rsidP="003145D6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7739D29D" w14:textId="77777777" w:rsidR="003145D6" w:rsidRPr="004D66EA" w:rsidRDefault="003145D6" w:rsidP="003145D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0051C4CE" w14:textId="77777777" w:rsidR="003145D6" w:rsidRPr="004D66EA" w:rsidRDefault="003145D6" w:rsidP="003145D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5BF7B860" w14:textId="77777777" w:rsidR="003145D6" w:rsidRPr="004D66EA" w:rsidRDefault="003145D6" w:rsidP="003145D6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496914CA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5F4F7068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5983C9F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C5A5663" w14:textId="4994BE89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F422ED" w:rsidRPr="00AB030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70B0D766" w14:textId="77777777" w:rsidR="003145D6" w:rsidRPr="004D66EA" w:rsidRDefault="003145D6" w:rsidP="003145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4B44502D" w14:textId="77777777" w:rsidR="003145D6" w:rsidRPr="004D66EA" w:rsidRDefault="003145D6" w:rsidP="003145D6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72A9985" w14:textId="77777777" w:rsidR="005E3AF3" w:rsidRPr="005E3AF3" w:rsidRDefault="00F06FC1" w:rsidP="005E3AF3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C4D05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</w:rPr>
        <w:t xml:space="preserve">spočívající v zajištění kapacit IT odborníků </w:t>
      </w:r>
      <w:r w:rsidR="00F24A5C" w:rsidRPr="009C4D05">
        <w:rPr>
          <w:rFonts w:ascii="Arial" w:hAnsi="Arial" w:cs="Arial"/>
          <w:sz w:val="20"/>
          <w:szCs w:val="20"/>
        </w:rPr>
        <w:t xml:space="preserve">na poskytování odborných poradenských služeb </w:t>
      </w:r>
      <w:r w:rsidR="005E3AF3" w:rsidRPr="005E3AF3">
        <w:rPr>
          <w:rFonts w:ascii="Arial" w:hAnsi="Arial" w:cs="Arial"/>
          <w:sz w:val="20"/>
          <w:szCs w:val="20"/>
        </w:rPr>
        <w:t>v oblasti Business analýzy. Odborníci na pozici Senior konzultant se budou primárně podílet na těchto činnostech, které jsou spojené s resortem MPSV (ÚP, ČSSZ):</w:t>
      </w:r>
    </w:p>
    <w:p w14:paraId="68506D7D" w14:textId="77777777" w:rsidR="005E3AF3" w:rsidRPr="005E3AF3" w:rsidRDefault="005E3AF3" w:rsidP="005E3AF3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zmapování jednotlivých procesů úřadu; ve spolupráci s věcnými sekcemi návrh optimalizace procesů pro digitální i asistovanou obsluhu klientů; zohlednění klientského zážitku i pohledu náročnosti zpracování na straně úřadu a jeho efektivity;</w:t>
      </w:r>
    </w:p>
    <w:p w14:paraId="70853D02" w14:textId="77777777" w:rsidR="005E3AF3" w:rsidRPr="005E3AF3" w:rsidRDefault="005E3AF3" w:rsidP="005E3AF3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na základě měření a datové analýzy procesů identifikace úzkých hrdel při zpracování jednotlivých procesů a ve spolupráci s věcnými sekcemi ministerstva návrh nápravných opatření;</w:t>
      </w:r>
    </w:p>
    <w:p w14:paraId="42826572" w14:textId="77777777" w:rsidR="005E3AF3" w:rsidRPr="005E3AF3" w:rsidRDefault="005E3AF3" w:rsidP="005E3AF3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v oblasti zvyšování efektivity identifikování činností vhodných k automatizaci, případně k centralizaci zpracování na specializovaná pracoviště;</w:t>
      </w:r>
    </w:p>
    <w:p w14:paraId="1F7A99A9" w14:textId="77777777" w:rsidR="005E3AF3" w:rsidRPr="005E3AF3" w:rsidRDefault="005E3AF3" w:rsidP="005E3AF3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příprava a analýza požadavků na změny do jednotlivých IT systémů úřadu.</w:t>
      </w:r>
    </w:p>
    <w:p w14:paraId="3D65BAAB" w14:textId="77777777" w:rsidR="005E3AF3" w:rsidRPr="005E3AF3" w:rsidRDefault="005E3AF3" w:rsidP="005E3AF3">
      <w:pPr>
        <w:widowControl w:val="0"/>
        <w:tabs>
          <w:tab w:val="left" w:pos="1701"/>
          <w:tab w:val="left" w:pos="6804"/>
        </w:tabs>
        <w:spacing w:before="120" w:line="280" w:lineRule="atLeast"/>
        <w:ind w:left="567"/>
        <w:jc w:val="both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Resort MPSV je velká organizace s komplexními procesy a obsluhuje miliony klientů (občané, zaměstnavatelé) přes pobočkové sítě svých organizací (ÚP, ČSSZ) a v digitálních kanálech.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30CC75C7" w:rsidR="00E470A8" w:rsidRDefault="00BE7ECB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Senior </w:t>
      </w:r>
      <w:r w:rsidR="00BF6592">
        <w:rPr>
          <w:rFonts w:ascii="Arial" w:hAnsi="Arial" w:cs="Arial"/>
          <w:sz w:val="20"/>
          <w:szCs w:val="20"/>
        </w:rPr>
        <w:t>konzultant I.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 w:rsidR="00590024">
        <w:rPr>
          <w:rFonts w:ascii="Arial" w:hAnsi="Arial" w:cs="Arial"/>
          <w:sz w:val="20"/>
          <w:szCs w:val="20"/>
        </w:rPr>
        <w:t>2</w:t>
      </w:r>
      <w:r w:rsidR="00BF65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</w:t>
      </w:r>
      <w:r w:rsidR="00793B3D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(1</w:t>
      </w:r>
      <w:r w:rsidR="00BF6592">
        <w:rPr>
          <w:rFonts w:ascii="Arial" w:hAnsi="Arial" w:cs="Arial"/>
          <w:sz w:val="20"/>
          <w:szCs w:val="20"/>
        </w:rPr>
        <w:t xml:space="preserve"> </w:t>
      </w:r>
      <w:r w:rsidR="009C4D05">
        <w:rPr>
          <w:rFonts w:ascii="Arial" w:hAnsi="Arial" w:cs="Arial"/>
          <w:sz w:val="20"/>
          <w:szCs w:val="20"/>
        </w:rPr>
        <w:t>FTE)</w:t>
      </w:r>
    </w:p>
    <w:p w14:paraId="5B9E543D" w14:textId="62C814A2" w:rsidR="00E470A8" w:rsidRDefault="00BF6592" w:rsidP="00BE7EC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konzultant II.</w:t>
      </w:r>
      <w:r w:rsidR="00C87BE7">
        <w:rPr>
          <w:rFonts w:ascii="Arial" w:hAnsi="Arial" w:cs="Arial"/>
          <w:sz w:val="20"/>
          <w:szCs w:val="20"/>
        </w:rPr>
        <w:t xml:space="preserve"> – předpokládaný rozsah je 2</w:t>
      </w:r>
      <w:r>
        <w:rPr>
          <w:rFonts w:ascii="Arial" w:hAnsi="Arial" w:cs="Arial"/>
          <w:sz w:val="20"/>
          <w:szCs w:val="20"/>
        </w:rPr>
        <w:t>3</w:t>
      </w:r>
      <w:r w:rsidR="00BE7ECB">
        <w:rPr>
          <w:rFonts w:ascii="Arial" w:hAnsi="Arial" w:cs="Arial"/>
          <w:sz w:val="20"/>
          <w:szCs w:val="20"/>
        </w:rPr>
        <w:t>4</w:t>
      </w:r>
      <w:r w:rsidR="00C87BE7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="009C4D05">
        <w:rPr>
          <w:rFonts w:ascii="Arial" w:hAnsi="Arial" w:cs="Arial"/>
          <w:sz w:val="20"/>
          <w:szCs w:val="20"/>
        </w:rPr>
        <w:t xml:space="preserve"> FTE)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</w:t>
      </w:r>
      <w:r w:rsidR="00E24E6F">
        <w:rPr>
          <w:rFonts w:ascii="Arial" w:hAnsi="Arial" w:cs="Arial"/>
          <w:sz w:val="20"/>
          <w:szCs w:val="20"/>
        </w:rPr>
        <w:lastRenderedPageBreak/>
        <w:t xml:space="preserve">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3216B7E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CC3D66">
        <w:rPr>
          <w:rFonts w:ascii="Arial" w:hAnsi="Arial" w:cs="Arial"/>
          <w:sz w:val="20"/>
          <w:szCs w:val="20"/>
        </w:rPr>
        <w:t>5 616 000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CEEB994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AF2195">
        <w:rPr>
          <w:rFonts w:ascii="Arial" w:hAnsi="Arial" w:cs="Arial"/>
          <w:sz w:val="20"/>
          <w:szCs w:val="20"/>
          <w:lang w:eastAsia="en-US"/>
        </w:rPr>
        <w:t>do 31. 12. 2024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145D6" w:rsidRPr="00A16B28" w14:paraId="4118D69E" w14:textId="77777777" w:rsidTr="005656DC">
        <w:trPr>
          <w:jc w:val="center"/>
        </w:trPr>
        <w:tc>
          <w:tcPr>
            <w:tcW w:w="4535" w:type="dxa"/>
          </w:tcPr>
          <w:p w14:paraId="2299E649" w14:textId="77777777" w:rsidR="003145D6" w:rsidRPr="00A16B28" w:rsidRDefault="003145D6" w:rsidP="005656D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05243406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8EC71D1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01D73C24" w14:textId="77777777" w:rsidR="003145D6" w:rsidRPr="00A16B28" w:rsidRDefault="003145D6" w:rsidP="005656DC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92AE30E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D556FD9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B0A78F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3145D6" w:rsidRPr="00A16B28" w14:paraId="674A22C0" w14:textId="77777777" w:rsidTr="005656DC">
        <w:trPr>
          <w:trHeight w:val="820"/>
          <w:jc w:val="center"/>
        </w:trPr>
        <w:tc>
          <w:tcPr>
            <w:tcW w:w="4535" w:type="dxa"/>
          </w:tcPr>
          <w:p w14:paraId="70EE31AE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F4C895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BFFD61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16858D1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12915DFE" w14:textId="609613AF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DCF9A75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0657BC1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4981B0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F013053" w14:textId="77777777" w:rsidR="003145D6" w:rsidRDefault="003145D6" w:rsidP="005656D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29ACDA94" w14:textId="77777777" w:rsidR="003145D6" w:rsidRPr="00A16B28" w:rsidRDefault="003145D6" w:rsidP="00F422E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D6" w:rsidRPr="00A16B28" w14:paraId="2876E5C9" w14:textId="77777777" w:rsidTr="005656DC">
        <w:trPr>
          <w:trHeight w:val="820"/>
          <w:jc w:val="center"/>
        </w:trPr>
        <w:tc>
          <w:tcPr>
            <w:tcW w:w="4535" w:type="dxa"/>
          </w:tcPr>
          <w:p w14:paraId="2224086D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640DEB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D6" w:rsidRPr="00A16B28" w14:paraId="37CF6875" w14:textId="77777777" w:rsidTr="005656DC">
        <w:trPr>
          <w:trHeight w:val="820"/>
          <w:jc w:val="center"/>
        </w:trPr>
        <w:tc>
          <w:tcPr>
            <w:tcW w:w="4535" w:type="dxa"/>
          </w:tcPr>
          <w:p w14:paraId="745A1BB2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FE56709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EAEA959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DA39671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3145D6" w:rsidRPr="00A16B28" w14:paraId="471C5324" w14:textId="77777777" w:rsidTr="005656DC">
        <w:trPr>
          <w:trHeight w:val="820"/>
          <w:jc w:val="center"/>
        </w:trPr>
        <w:tc>
          <w:tcPr>
            <w:tcW w:w="4535" w:type="dxa"/>
          </w:tcPr>
          <w:p w14:paraId="2AE730A3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241B8C8" w14:textId="77777777" w:rsidR="003145D6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E5A82C9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58205A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CDE0A8B" w14:textId="77777777" w:rsidR="003145D6" w:rsidRPr="00A16B28" w:rsidRDefault="003145D6" w:rsidP="005656D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D4734E9" w14:textId="77777777" w:rsidR="003145D6" w:rsidRDefault="003145D6" w:rsidP="005656D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EA0BA6B" w14:textId="7CFEB394" w:rsidR="003145D6" w:rsidRPr="00521E7C" w:rsidRDefault="003145D6" w:rsidP="005656D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23D7207E" w:rsidR="00A56AC2" w:rsidRPr="00856DB6" w:rsidRDefault="0087512A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  <w:r w:rsidR="009C4D05">
              <w:rPr>
                <w:rFonts w:ascii="Arial" w:hAnsi="Arial" w:cs="Arial"/>
                <w:sz w:val="20"/>
                <w:szCs w:val="20"/>
              </w:rPr>
              <w:t xml:space="preserve"> konzultant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5811AF8A" w:rsidR="00A56AC2" w:rsidRPr="00796AF1" w:rsidRDefault="00F422ED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30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067D616D" w:rsidR="00A56AC2" w:rsidRPr="002709B9" w:rsidRDefault="002709B9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9B9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9C4D05" w:rsidRPr="00A5360B" w14:paraId="7A55DB79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8BB9C81" w14:textId="1E2B6E25" w:rsidR="009C4D05" w:rsidRDefault="005C1829" w:rsidP="009C4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9C4D05">
              <w:rPr>
                <w:rFonts w:ascii="Arial" w:hAnsi="Arial" w:cs="Arial"/>
                <w:sz w:val="20"/>
                <w:szCs w:val="20"/>
              </w:rPr>
              <w:t>konzultant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FE471" w14:textId="63BE855B" w:rsidR="009C4D05" w:rsidRPr="002224C8" w:rsidRDefault="00F422ED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AB030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3F9BAC40" w14:textId="18CCE69B" w:rsidR="009C4D05" w:rsidRPr="00BB2C2E" w:rsidRDefault="009C4D05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0ACB8116" w:rsidR="009C4D05" w:rsidRPr="002709B9" w:rsidRDefault="002709B9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709B9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9B9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45D6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829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3D66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22ED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1182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37</cp:revision>
  <cp:lastPrinted>2022-11-22T11:37:00Z</cp:lastPrinted>
  <dcterms:created xsi:type="dcterms:W3CDTF">2023-08-14T19:38:00Z</dcterms:created>
  <dcterms:modified xsi:type="dcterms:W3CDTF">2024-01-24T10:55:00Z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