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exact" w:before="226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8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074"/>
        <w:gridCol w:w="340"/>
        <w:gridCol w:w="5074"/>
      </w:tblGrid>
      <w:tr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Odběratel:</w:t>
            </w:r>
          </w:p>
        </w:tc>
        <w:tc>
          <w:tcPr>
            <w:tcW w:w="34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Dodavatel: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Vídeňská 800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140 59 Praha 4 - Krč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Mediset-Chironax s.r.o.</w:t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64"/>
              <w:ind w:left="566" w:right="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CZ00064190     IČ: 00064190</w:t>
            </w:r>
            <w:r>
              <w:br/>
            </w: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SpZ: Pr 1043-obch.rejstř.Městského soudu v Praze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CZ48200417     IČ: 48200417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Sklad: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Sídlo dodavatele: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br/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Lidická tř. 82/566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370 01 České Budějovice</w:t>
            </w:r>
          </w:p>
        </w:tc>
      </w:tr>
    </w:tbl>
    <w:p>
      <w:pPr>
        <w:spacing w:lineRule="exact" w:before="453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5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1020"/>
        <w:gridCol w:w="1133"/>
        <w:gridCol w:w="1133"/>
        <w:gridCol w:w="2352"/>
        <w:gridCol w:w="1644"/>
        <w:gridCol w:w="3203"/>
      </w:tblGrid>
      <w:tr>
        <w:tc>
          <w:tcPr>
            <w:tcW w:w="102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20" w:right="2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Vystaveno: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10.01.2024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Vystavil:</w:t>
            </w:r>
          </w:p>
        </w:tc>
        <w:tc>
          <w:tcPr>
            <w:tcW w:w="2352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#########################</w:t>
            </w:r>
          </w:p>
        </w:tc>
        <w:tc>
          <w:tcPr>
            <w:tcW w:w="1644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  <w:tc>
          <w:tcPr>
            <w:tcW w:w="320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e-mail: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#################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13.03.2024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Předb.cena: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66200,00 Kč bez DPH</w:t>
            </w: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Splatnost faktury je 60 dní + 60 dní bez penalizace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Smlouva:</w:t>
            </w:r>
          </w:p>
        </w:tc>
        <w:tc>
          <w:tcPr>
            <w:gridSpan w:val="5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</w:tbl>
    <w:p>
      <w:pPr>
        <w:spacing w:lineRule="exact" w:before="0" w:after="0" w:line="566"/>
        <w:ind w:left="0" w:right="0" w:firstLine="0"/>
        <w:jc w:val="right"/>
      </w:pPr>
      <w:r>
        <w:rPr>
          <w:sz w:val="20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 xml:space="preserve">Počet položek: </w:t>
      </w:r>
      <w:r>
        <w:rPr>
          <w:sz w:val="20"/>
          <w:b w:val="on"/>
          <w:i w:val="off"/>
          <w:caps w:val="off"/>
          <w:color w:val="000000"/>
          <w:rFonts w:ascii="Times New Roman" w:hAnsi="Times New Roman"/>
          <w:strike w:val="off"/>
          <w:spacing w:val="0"/>
        </w:rPr>
        <w:t>27</w:t>
      </w:r>
    </w:p>
    <w:tbl>
      <w:tblPr>
        <w:tblStyleRowBandSize w:val="1"/>
        <w:tblStyleColBandSize w:val="1"/>
        <w:tblW w:w="10486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66"/>
        <w:gridCol w:w="8220"/>
        <w:gridCol w:w="1700"/>
      </w:tblGrid>
      <w:tr>
        <w:trPr>
          <w:trHeight w:val="113" w:hRule="exact"/>
          <w:tblHeader w:val="true"/>
        </w:trPr>
        <w:tc>
          <w:tcPr>
            <w:tcW w:w="566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  <w:tc>
          <w:tcPr>
            <w:tcW w:w="8220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  <w:tc>
          <w:tcPr>
            <w:tcW w:w="1700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</w:tr>
      <w:t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Objednáváme u Vás BTK dle zákona 375/2022 Sb. v platném znění pro níže uvedené přístroje:</w:t>
            </w:r>
          </w:p>
        </w:tc>
      </w:tr>
      <w:t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Žádáme o provedení prohlídky nejpozději v termínu uvedeném na objednávce u jednotlivé položky.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GW, inv.č. 2010/249, vyr.č. 250409280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GW, inv.č. 2010/250, vyr.č. 250409258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3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GW, inv.č. 2010/251, vyr.č. 250409240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GW, inv.č. 2010/252, vyr.č. 250409275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5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GW, inv.č. 2010/253, vyr.č. 250409249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13.03.2024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6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Stanice infuzní ALARIS GATEWAY - soubor - NF, inv.č. IM/20730, vyr.č. 802040018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7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 - NF, inv.č. IM/20730:1, vyr.č. 250442373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8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 - NF, inv.č. IM/20730:2, vyr.č. 250442374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9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 - NF, inv.č. IM/20730:3, vyr.č. 250409300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 - NF, inv.č. IM/20730:4, vyr.č. 250409308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Dávkovač lineární ALARIS GH - NF, inv.č. IM/20730:5, vyr.č. 800216625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Dávkovač lineární ALARIS GH - NF, inv.č. IM/20730:6, vyr.č. 800216622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13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Dávkovač lineární ALARIS GH - NF, inv.č. IM/20730:7, vyr.č. 800215761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Dávkovač lineární ALARIS GH - NF, inv.č. IM/20730:8, vyr.č. 800216376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15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Dávkovač lineární ALARIS GH - NF, inv.č. IM/20730:9, vyr.č. 800216370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16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Dávkovač lineární ALARIS GH - NF, inv.č. IM/20730:10, vyr.č. 800216388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17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Stanice infuzní ALARIS GATEWAY - soubor - NF, inv.č. IM/20731, vyr.č. 802040014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18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 - NF, inv.č. IM/20731:1, vyr.č. 250409272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19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 - NF, inv.č. IM/20731:2, vyr.č. 250409246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 - NF, inv.č. IM/20731:3, vyr.č. 250409259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Pumpa infuzní ALARIS GW - NF, inv.č. IM/20731:4, vyr.č. 250409257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Dávkovač lineární ALARIS GH - NF, inv.č. IM/20731:5, vyr.č. 800215504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23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Dávkovač lineární ALARIS GH - NF, inv.č. IM/20731:6, vyr.č. 800216384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Dávkovač lineární ALARIS GH - NF, inv.č. IM/20731:7, vyr.č. 800216360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25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Dávkovač lineární ALARIS GH - NF, inv.č. IM/20731:8, vyr.č. 800215482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26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Dávkovač lineární ALARIS GH - NF, inv.č. IM/20731:9, vyr.č. 800216379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27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Dávkovač lineární ALARIS GH - NF, inv.č. IM/20731:10, vyr.č. 800216369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14.03.2024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ODIM 2 G2,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</w:tbl>
    <w:p>
      <w:pPr>
        <w:keepNext w:val="true"/>
        <w:keepLines w:val="true"/>
        <w:spacing w:lineRule="exact" w:before="80" w:after="80" w:line="226"/>
        <w:ind w:left="170" w:right="0" w:firstLine="0"/>
        <w:jc w:val="left"/>
      </w:pP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Dodavatel je povinen: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1. Potvrdit přijetí objednávky písemně nebo e-mailem.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2. Před servisním zásahem telefonicky kontaktovat odpovědnou osobu odběratele uvedenou na objednávce pod přístrojem.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4. Označit přístroj štítkem s vyznačeným datem expirace po provedení jakékoli periodické kontroly.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5. Zaslat na adresu ozt-provoz@ftn.cz v elektronické verzi potvrzené servisní výkazy a případně protokoly o kontrolách.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6. Na faktuře uvést číslo objednávky a k faktuře přiložit: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a. servisní výkaz obsahující potvrzení o provedení práce (jméno, podpis a razítko přebírajícího pracovníka TN),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b. po opravě prohlášení, že zařízení je schopno bezpečného provozu.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c. po kontrole originální papírový protokol (v případě elektronické fakturace na adresu faktura@ftn.cz zaslat poštou).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Pozn.: pro bezplatný výjezd z areálu potvrdí vjezdový lístek příslušná vrchní či staniční sestra, případně OZT (pavilon G7).</w:t>
      </w:r>
    </w:p>
    <w:p>
      <w:pPr>
        <w:keepNext w:val="true"/>
        <w:keepLines w:val="true"/>
        <w:spacing w:lineRule="exact" w:before="0" w:after="80" w:line="226"/>
        <w:ind w:left="566" w:right="0" w:firstLine="0"/>
        <w:jc w:val="center"/>
      </w:pPr>
      <w:r>
        <w:br/>
      </w:r>
      <w:r>
        <w:rPr>
          <w:highlight w:val="black"/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######################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vedoucí odboru centrálního nákupu</w:t>
      </w:r>
    </w:p>
    <w:sectPr w:rsidR="00EF14B1" w:rsidRPr="00EF14B1" w:rsidSect="008559B6">
      <w:headerReference w:type="default" r:id="rId8"/>
      <w:footerReference w:type="default" r:id="rId9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OCR-B-10 BT">
    <w:panose1 w:val="020B0609020202020204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tbl>
    <w:tblPr>
      <w:tblStyleRowBandSize w:val="1"/>
      <w:tblStyleColBandSize w:val="1"/>
      <w:tblW w:w="10487" w:type="dxa"/>
      <w:jc w:val="left"/>
      <w:tblLayout w:type="fixed"/>
      <w:tblCellMar>
        <w:left w:type="dxa" w:w="10"/>
        <w:right w:type="dxa" w:w="10"/>
      </w:tblCellMar>
    </w:tblPr>
    <w:tblGrid>
      <w:gridCol w:w="3118"/>
      <w:gridCol w:w="2834"/>
      <w:gridCol w:w="4535"/>
    </w:tblGrid>
    <w:tr>
      <w:trPr>
        <w:trHeight w:val="56" w:hRule="exact"/>
      </w:trPr>
      <w:tc>
        <w:tcPr>
          <w:gridSpan w:val="3"/>
          <w:tcBorders>
            <w:top w:val="nil" w:sz="0" w:color="000000"/>
            <w:left w:val="nil" w:sz="0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16"/>
            <w:ind w:left="60" w:right="60" w:firstLine="0"/>
            <w:jc w:val="left"/>
          </w:pPr>
        </w:p>
      </w:tc>
    </w:tr>
    <w:tr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e-mail: </w:t>
          </w:r>
          <w:hyperlink r:id="rId1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info@ftn.cz</w:t>
            </w:r>
          </w:hyperlink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URL: </w:t>
          </w:r>
          <w:hyperlink r:id="rId2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http://www.ftn.cz</w:t>
            </w:r>
          </w:hyperlink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TEL: 261 081 111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FAX: 241 721 260</w:t>
          </w:r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righ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Datová schránka: asykkbj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Číslo účtu: </w:t>
          </w:r>
          <w:r>
            <w:rPr>
              <w:highlight w:val="black"/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####################</w:t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, vedený u ČNB</w:t>
          </w:r>
        </w:p>
      </w:tc>
    </w:tr>
    <w:tr>
      <w:tc>
        <w:tcPr>
          <w:tcW w:w="3118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216"/>
            <w:ind w:left="20" w:right="20" w:firstLine="0"/>
            <w:jc w:val="left"/>
          </w:pP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PAGE  \* Arabic  \* MERGEFORMAT</w:instrText>
          </w:r>
          <w:r>
            <w:fldChar w:fldCharType="end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 / </w:t>
          </w: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NUMPAGES  \* Arabic  \* MERGEFORMAT</w:instrText>
          </w:r>
          <w:r>
            <w:fldChar w:fldCharType="end"/>
          </w:r>
        </w:p>
      </w:tc>
      <w:tc>
        <w:tcPr>
          <w:tcW w:w="2834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20" w:after="20" w:lineRule="auto" w:line="216"/>
            <w:ind w:left="20" w:right="20" w:firstLine="0"/>
            <w:jc w:val="left"/>
          </w:pPr>
        </w:p>
      </w:tc>
      <w:tc>
        <w:tcPr>
          <w:tcW w:w="4535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168"/>
            <w:ind w:left="20" w:right="20" w:firstLine="0"/>
            <w:jc w:val="right"/>
          </w:pPr>
          <w:r>
            <w:rPr>
              <w:sz w:val="14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1965574 / MAJ_OBJZT</w:t>
          </w:r>
        </w:p>
      </w:tc>
    </w:tr>
  </w:tbl>
  <w:p>
    <w:pPr>
      <w:spacing w:after="0" w:before="0" w:afterLines="0" w:beforeLines="0" w:lineRule="exact" w:line="1"/>
    </w:pPr>
  </w:p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>
  <w:tbl>
    <w:tblPr>
      <w:tblStyleRowBandSize w:val="1"/>
      <w:tblStyleColBandSize w:val="1"/>
      <w:tblW w:w="10488" w:type="dxa"/>
      <w:jc w:val="left"/>
      <w:tblLayout w:type="fixed"/>
      <w:tblCellMar>
        <w:left w:type="dxa" w:w="10"/>
        <w:right w:type="dxa" w:w="10"/>
      </w:tblCellMar>
    </w:tblPr>
    <w:tblGrid>
      <w:gridCol w:w="5244"/>
      <w:gridCol w:w="5244"/>
    </w:tblGrid>
    <w:tr>
      <w:trPr>
        <w:trHeight w:val="1247" w:hRule="exact"/>
      </w:trPr>
      <w:tc>
        <w:tcPr>
          <w:tcW w:w="5244" w:type="dxa"/>
          <w:gridSpan w:val="1"/>
          <w:tcBorders>
            <w:top w:val="single" w:sz="5" w:color="000000"/>
            <w:left w:val="single" w:sz="5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56" w:after="113" w:lineRule="auto" w:line="384"/>
            <w:ind w:left="113" w:right="113" w:firstLine="0"/>
            <w:jc w:val="center"/>
          </w:pPr>
          <w:r>
            <w:t/>
            <w:drawing>
              <wp:inline distT="0" distB="0" distL="0" distR="0">
                <wp:extent cx="863600" cy="711200"/>
                <wp:effectExtent l="0" t="0" r="0" b="0"/>
                <wp:docPr id="0" name="Picture 0" descr="Generated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gridSpan w:val="1"/>
          <w:tcBorders>
            <w:top w:val="single" w:sz="5" w:color="000000"/>
            <w:left w:val="nil" w:sz="0" w:color="000000"/>
            <w:bottom w:val="single" w:sz="5" w:color="000000"/>
            <w:right w:val="single" w:sz="5" w:color="000000"/>
          </w:tcBorders>
          <w:shd w:color="auto" w:val="clear" w:fill="ffffff"/>
          <w:noWrap w:val="true"/>
          <w:vAlign w:val="center"/>
        </w:tcPr>
        <w:p>
          <w:pPr>
            <w:spacing w:before="396" w:after="60" w:lineRule="auto" w:line="384"/>
            <w:ind w:left="60" w:right="60" w:firstLine="0"/>
            <w:jc w:val="center"/>
          </w:pPr>
          <w:r>
            <w:rPr>
              <w:sz w:val="32"/>
              <w:b w:val="on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>Objednávka: 2024/UOZ/154</w:t>
          </w:r>
        </w:p>
      </w:tc>
    </w:tr>
  </w:tbl>
  <w:p>
    <w:pPr>
      <w:spacing w:after="0" w:before="0" w:afterLines="0" w:beforeLines="0" w:lineRule="exact" w:line="1"/>
    </w:pPr>
  </w:p>
  <w:p>
    <w:pPr>
      <w:spacing w:lineRule="exact" w:before="226" w:after="0" w:line="0"/>
      <w:ind w:left="0" w:right="0" w:firstLine="0"/>
      <w:jc w:val="both"/>
    </w:pPr>
    <w:r>
      <w:rPr>
        <w:sz w:val="2"/>
        <w:b w:val="off"/>
        <w:i w:val="off"/>
        <w:caps w:val="off"/>
        <w:color w:val="000000"/>
        <w:rFonts w:ascii="Times New Roman" w:hAnsi="Times New Roman"/>
        <w:strike w:val="off"/>
        <w:spacing w:val="0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no"?><Relationships xmlns="http://schemas.openxmlformats.org/package/2006/relationships"><Relationship Id="rId1" Target="mailto:info@ftn.cz" TargetMode="External" Type="http://schemas.openxmlformats.org/officeDocument/2006/relationships/hyperlink"/><Relationship Id="rId2" Target="http://www.ftn.cz" TargetMode="External" Type="http://schemas.openxmlformats.org/officeDocument/2006/relationships/hyperlink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/xml/templates/maj/MAJ_OBJZT.html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2024-01-29T12:44:34Z</dcterms:created>
  <dc:creator>anonymized</dc:creator>
  <cp:revision>3</cp:revision>
  <dc:title>Objednavka maj.udrzby</dc:title>
</cp:coreProperties>
</file>