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BBCE" w14:textId="5F24F33C" w:rsidR="00F227CD" w:rsidRDefault="00000000">
      <w:pPr>
        <w:spacing w:after="144" w:line="276" w:lineRule="auto"/>
        <w:jc w:val="center"/>
      </w:pPr>
      <w:r>
        <w:rPr>
          <w:b/>
          <w:bCs/>
          <w:sz w:val="28"/>
          <w:szCs w:val="28"/>
        </w:rPr>
        <w:t xml:space="preserve">Dodatek č. </w:t>
      </w:r>
      <w:r w:rsidR="000E687C">
        <w:rPr>
          <w:b/>
          <w:bCs/>
          <w:sz w:val="28"/>
          <w:szCs w:val="28"/>
        </w:rPr>
        <w:t>2</w:t>
      </w:r>
    </w:p>
    <w:p w14:paraId="2C22D05D" w14:textId="77777777" w:rsidR="00F227CD" w:rsidRDefault="00000000">
      <w:pPr>
        <w:spacing w:after="144" w:line="276" w:lineRule="auto"/>
        <w:jc w:val="center"/>
      </w:pPr>
      <w:r>
        <w:rPr>
          <w:b/>
          <w:bCs/>
          <w:sz w:val="28"/>
          <w:szCs w:val="28"/>
        </w:rPr>
        <w:t>ke Smlouvě o dílo ze dne 26.10.2022</w:t>
      </w:r>
    </w:p>
    <w:p w14:paraId="4EA04372" w14:textId="77777777" w:rsidR="00F227CD" w:rsidRDefault="00000000">
      <w:pPr>
        <w:spacing w:after="144" w:line="276" w:lineRule="auto"/>
        <w:jc w:val="center"/>
      </w:pPr>
      <w:r>
        <w:t>o zhotovení energetického zařízení</w:t>
      </w:r>
      <w:r>
        <w:br/>
        <w:t>uzavřené dle § 2586 a násl. zákona č. 89/2012 Sb., občanský zákoník.</w:t>
      </w:r>
    </w:p>
    <w:p w14:paraId="75484713" w14:textId="77777777" w:rsidR="00F227CD" w:rsidRDefault="00F227CD">
      <w:pPr>
        <w:spacing w:after="144" w:line="276" w:lineRule="auto"/>
        <w:jc w:val="center"/>
        <w:rPr>
          <w:b/>
          <w:bCs/>
        </w:rPr>
      </w:pPr>
    </w:p>
    <w:p w14:paraId="70DB9BDC" w14:textId="77777777" w:rsidR="00F227CD" w:rsidRDefault="00F227CD">
      <w:pPr>
        <w:spacing w:after="144" w:line="276" w:lineRule="auto"/>
        <w:jc w:val="center"/>
        <w:rPr>
          <w:b/>
          <w:bCs/>
        </w:rPr>
      </w:pPr>
    </w:p>
    <w:p w14:paraId="33F73FC8" w14:textId="77777777" w:rsidR="00F227CD" w:rsidRDefault="00000000">
      <w:pPr>
        <w:spacing w:after="144" w:line="276" w:lineRule="auto"/>
        <w:jc w:val="center"/>
      </w:pPr>
      <w:r>
        <w:rPr>
          <w:b/>
          <w:bCs/>
        </w:rPr>
        <w:t>Čl. I</w:t>
      </w:r>
      <w:r>
        <w:rPr>
          <w:b/>
          <w:bCs/>
        </w:rPr>
        <w:br/>
        <w:t>Smluvní strany</w:t>
      </w:r>
    </w:p>
    <w:p w14:paraId="2F56B50C" w14:textId="77777777" w:rsidR="00F227CD" w:rsidRDefault="00F227CD">
      <w:pPr>
        <w:spacing w:after="144" w:line="276" w:lineRule="auto"/>
      </w:pPr>
    </w:p>
    <w:p w14:paraId="2C6C5B96" w14:textId="2D96BC12" w:rsidR="00F227CD" w:rsidRDefault="00000000">
      <w:pPr>
        <w:spacing w:after="144" w:line="276" w:lineRule="auto"/>
      </w:pPr>
      <w:r>
        <w:rPr>
          <w:b/>
          <w:bCs/>
        </w:rPr>
        <w:t xml:space="preserve">Astronomický ústav AV ČR,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  <w:r>
        <w:rPr>
          <w:b/>
          <w:bCs/>
        </w:rPr>
        <w:br/>
      </w:r>
      <w:r>
        <w:t>se sídlem: Fričova 298, 251 65 Ondřejov</w:t>
      </w:r>
      <w:r>
        <w:br/>
        <w:t>IČ: 67985815</w:t>
      </w:r>
      <w:r>
        <w:br/>
        <w:t>zapsaný v rejstříku veřejných výzkumných institucí vedeným Ministerstvem školství, mládeže a tělovýchovy</w:t>
      </w:r>
      <w:r>
        <w:br/>
        <w:t xml:space="preserve">zastoupen: </w:t>
      </w:r>
      <w:r w:rsidR="0090559E" w:rsidRPr="0090559E">
        <w:rPr>
          <w:b/>
          <w:bCs/>
        </w:rPr>
        <w:t>XXXXXXXXXXXXXXXXX</w:t>
      </w:r>
      <w:r>
        <w:br/>
        <w:t>(dále jako „Objednatel“)</w:t>
      </w:r>
    </w:p>
    <w:p w14:paraId="5402553E" w14:textId="77777777" w:rsidR="00F227CD" w:rsidRDefault="00F227CD">
      <w:pPr>
        <w:spacing w:after="144" w:line="276" w:lineRule="auto"/>
      </w:pPr>
    </w:p>
    <w:p w14:paraId="788D1DDC" w14:textId="7F3DCC47" w:rsidR="00F227CD" w:rsidRDefault="00000000">
      <w:pPr>
        <w:spacing w:after="144" w:line="276" w:lineRule="auto"/>
      </w:pPr>
      <w:proofErr w:type="spellStart"/>
      <w:r>
        <w:rPr>
          <w:b/>
          <w:bCs/>
        </w:rPr>
        <w:t>Lynx</w:t>
      </w:r>
      <w:proofErr w:type="spellEnd"/>
      <w:r>
        <w:rPr>
          <w:b/>
          <w:bCs/>
        </w:rPr>
        <w:t xml:space="preserve"> Pro </w:t>
      </w:r>
      <w:proofErr w:type="spellStart"/>
      <w:r>
        <w:rPr>
          <w:b/>
          <w:bCs/>
        </w:rPr>
        <w:t>Energy</w:t>
      </w:r>
      <w:proofErr w:type="spellEnd"/>
      <w:r>
        <w:rPr>
          <w:b/>
          <w:bCs/>
        </w:rPr>
        <w:t xml:space="preserve"> s.r.o.</w:t>
      </w:r>
      <w:r>
        <w:br/>
        <w:t>IČ: 03997065</w:t>
      </w:r>
      <w:r>
        <w:br/>
        <w:t>se sídlem: Sázavská 2426/14, Říčany 251 01</w:t>
      </w:r>
      <w:r>
        <w:br/>
        <w:t xml:space="preserve">zapsaná v obchodním rejstříku vedeném Městským soudem v Praze, oddíl C, vložka 240990 </w:t>
      </w:r>
      <w:r>
        <w:br/>
        <w:t xml:space="preserve">zastoupená: </w:t>
      </w:r>
      <w:r w:rsidR="0090559E" w:rsidRPr="0090559E">
        <w:rPr>
          <w:b/>
          <w:bCs/>
        </w:rPr>
        <w:t>XXXXXXXXXXXXXXXXX</w:t>
      </w:r>
      <w:r>
        <w:br/>
        <w:t>(dále jen „Zhotovitel")</w:t>
      </w:r>
    </w:p>
    <w:p w14:paraId="58BF882B" w14:textId="62618EDA" w:rsidR="00F227CD" w:rsidRDefault="00000000">
      <w:pPr>
        <w:spacing w:after="144" w:line="276" w:lineRule="auto"/>
      </w:pPr>
      <w:r>
        <w:t>dále společně též jako „Smluvní strany“</w:t>
      </w:r>
    </w:p>
    <w:p w14:paraId="5B435097" w14:textId="77777777" w:rsidR="00F227CD" w:rsidRDefault="00F227CD">
      <w:pPr>
        <w:spacing w:after="144" w:line="276" w:lineRule="auto"/>
      </w:pPr>
    </w:p>
    <w:p w14:paraId="40779E2D" w14:textId="77777777" w:rsidR="00F227CD" w:rsidRDefault="00000000">
      <w:pPr>
        <w:spacing w:after="144" w:line="276" w:lineRule="auto"/>
        <w:jc w:val="center"/>
      </w:pPr>
      <w:r>
        <w:rPr>
          <w:b/>
          <w:bCs/>
        </w:rPr>
        <w:t>Čl. II</w:t>
      </w:r>
      <w:r>
        <w:rPr>
          <w:b/>
          <w:bCs/>
        </w:rPr>
        <w:br/>
        <w:t>Předmět dodatku</w:t>
      </w:r>
    </w:p>
    <w:p w14:paraId="47FBFEB6" w14:textId="77777777" w:rsidR="00F227CD" w:rsidRDefault="00F227CD">
      <w:pPr>
        <w:spacing w:after="144" w:line="276" w:lineRule="auto"/>
        <w:jc w:val="center"/>
        <w:rPr>
          <w:b/>
          <w:bCs/>
        </w:rPr>
      </w:pPr>
    </w:p>
    <w:p w14:paraId="29676835" w14:textId="77777777" w:rsidR="00F227CD" w:rsidRDefault="00000000">
      <w:pPr>
        <w:numPr>
          <w:ilvl w:val="0"/>
          <w:numId w:val="1"/>
        </w:numPr>
        <w:spacing w:after="144" w:line="276" w:lineRule="auto"/>
        <w:ind w:left="360"/>
      </w:pPr>
      <w:r>
        <w:t xml:space="preserve">Smluvní strany uzavřely dne 26.10.2022 smlouvu o dílo, jejímž předmětem je zhotovení energetického zařízení na pozemku </w:t>
      </w:r>
      <w:proofErr w:type="spellStart"/>
      <w:r>
        <w:t>p.č</w:t>
      </w:r>
      <w:proofErr w:type="spellEnd"/>
      <w:r>
        <w:t xml:space="preserve">. 452, v budově č.p. 251, na pozemku </w:t>
      </w:r>
      <w:proofErr w:type="spellStart"/>
      <w:r>
        <w:t>p.č</w:t>
      </w:r>
      <w:proofErr w:type="spellEnd"/>
      <w:r>
        <w:t xml:space="preserve">. 451, ve stavbě občanské vybavenosti bez č.p. na pozemku </w:t>
      </w:r>
      <w:proofErr w:type="spellStart"/>
      <w:r>
        <w:t>p.č</w:t>
      </w:r>
      <w:proofErr w:type="spellEnd"/>
      <w:r>
        <w:t xml:space="preserve">. 451, a na mezilehlého pozemku </w:t>
      </w:r>
      <w:proofErr w:type="spellStart"/>
      <w:r>
        <w:t>p.č</w:t>
      </w:r>
      <w:proofErr w:type="spellEnd"/>
      <w:r>
        <w:t xml:space="preserve">. 2815/8, na němž leží přístupová cesta k oběma objektům a podzemní spojovací tunel, vše v </w:t>
      </w:r>
      <w:proofErr w:type="spellStart"/>
      <w:r>
        <w:t>k.ú</w:t>
      </w:r>
      <w:proofErr w:type="spellEnd"/>
      <w:r>
        <w:t>. Ondřejov u Prahy (711276) (dále jen Smlouva).</w:t>
      </w:r>
    </w:p>
    <w:p w14:paraId="7F1575CB" w14:textId="64E1F8AE" w:rsidR="00F227CD" w:rsidRDefault="00000000">
      <w:pPr>
        <w:numPr>
          <w:ilvl w:val="0"/>
          <w:numId w:val="1"/>
        </w:numPr>
        <w:spacing w:after="144" w:line="276" w:lineRule="auto"/>
        <w:ind w:left="360"/>
      </w:pPr>
      <w:r>
        <w:t xml:space="preserve">Smluvní strany uzavírají níže uvedeného dne s ohledem na </w:t>
      </w:r>
      <w:r w:rsidR="008B0765">
        <w:t>u</w:t>
      </w:r>
      <w:r>
        <w:t>stanovení čl. IX, odst</w:t>
      </w:r>
      <w:r w:rsidR="008B0765">
        <w:t>.</w:t>
      </w:r>
      <w:r>
        <w:t xml:space="preserve"> 1 a 3 Smlouvy tento Dodatek č.</w:t>
      </w:r>
      <w:r w:rsidR="000E687C">
        <w:t>2</w:t>
      </w:r>
      <w:r>
        <w:t xml:space="preserve"> ke Smlouvě, v němž nad rámec plnění, které je specifikováno původní Smlouvou</w:t>
      </w:r>
      <w:r w:rsidR="000E687C">
        <w:t xml:space="preserve"> a Dodatkem č.1</w:t>
      </w:r>
      <w:r>
        <w:t xml:space="preserve"> sjednávají dodatečné plnění a zpřesňují některá další ustanov</w:t>
      </w:r>
      <w:r w:rsidR="009C2FD3">
        <w:t>e</w:t>
      </w:r>
      <w:r>
        <w:t>ní Smlouvy.</w:t>
      </w:r>
    </w:p>
    <w:p w14:paraId="54BA078B" w14:textId="77777777" w:rsidR="00F227CD" w:rsidRDefault="00000000">
      <w:pPr>
        <w:spacing w:after="144" w:line="276" w:lineRule="auto"/>
        <w:jc w:val="center"/>
      </w:pPr>
      <w:r>
        <w:rPr>
          <w:b/>
          <w:bCs/>
        </w:rPr>
        <w:lastRenderedPageBreak/>
        <w:t>Čl. III</w:t>
      </w:r>
      <w:r>
        <w:rPr>
          <w:b/>
          <w:bCs/>
        </w:rPr>
        <w:br/>
        <w:t>Změna závazku</w:t>
      </w:r>
    </w:p>
    <w:p w14:paraId="7FC03BBB" w14:textId="77777777" w:rsidR="00F227CD" w:rsidRDefault="00F227CD">
      <w:pPr>
        <w:spacing w:after="144" w:line="276" w:lineRule="auto"/>
        <w:jc w:val="center"/>
        <w:rPr>
          <w:b/>
          <w:bCs/>
        </w:rPr>
      </w:pPr>
    </w:p>
    <w:p w14:paraId="6691D37B" w14:textId="08EF2987" w:rsidR="007B216B" w:rsidRDefault="00000000" w:rsidP="000E687C">
      <w:pPr>
        <w:numPr>
          <w:ilvl w:val="0"/>
          <w:numId w:val="2"/>
        </w:numPr>
        <w:spacing w:after="144" w:line="276" w:lineRule="auto"/>
      </w:pPr>
      <w:r>
        <w:t xml:space="preserve">Smluvní strany </w:t>
      </w:r>
      <w:r w:rsidR="000E687C">
        <w:t xml:space="preserve">se </w:t>
      </w:r>
      <w:r w:rsidR="007B216B">
        <w:t xml:space="preserve">v rámci </w:t>
      </w:r>
      <w:r w:rsidR="000E687C">
        <w:t>elektrotechni</w:t>
      </w:r>
      <w:r w:rsidR="007B216B">
        <w:t>cké</w:t>
      </w:r>
      <w:r w:rsidR="000E687C">
        <w:t xml:space="preserve"> instalace pro technologii vytápění objektu tepelným</w:t>
      </w:r>
      <w:r w:rsidR="007B216B">
        <w:t xml:space="preserve"> </w:t>
      </w:r>
      <w:r w:rsidR="000E687C">
        <w:t>čerpadlem se zálohou elektrokotlů</w:t>
      </w:r>
      <w:r w:rsidR="007B216B">
        <w:t xml:space="preserve"> </w:t>
      </w:r>
      <w:r w:rsidR="009C2FD3">
        <w:t xml:space="preserve">dohodly </w:t>
      </w:r>
      <w:r w:rsidR="007B216B">
        <w:t>na realizaci následujících úprav, které nebyly součástí projektu v příloze původní Smlouvy:</w:t>
      </w:r>
    </w:p>
    <w:p w14:paraId="603BB70B" w14:textId="0D381798" w:rsidR="000E687C" w:rsidRDefault="007B216B" w:rsidP="007B216B">
      <w:pPr>
        <w:spacing w:after="144" w:line="276" w:lineRule="auto"/>
        <w:ind w:left="720"/>
      </w:pPr>
      <w:r>
        <w:t xml:space="preserve">- </w:t>
      </w:r>
      <w:r w:rsidR="000E687C">
        <w:t>úprav</w:t>
      </w:r>
      <w:r>
        <w:t>a</w:t>
      </w:r>
      <w:r w:rsidR="000E687C">
        <w:t xml:space="preserve"> rozvaděče R TČ</w:t>
      </w:r>
    </w:p>
    <w:p w14:paraId="6DEA1715" w14:textId="2E3D1E90" w:rsidR="000E687C" w:rsidRDefault="000E687C" w:rsidP="007B216B">
      <w:pPr>
        <w:spacing w:after="144" w:line="276" w:lineRule="auto"/>
        <w:ind w:left="720"/>
      </w:pPr>
      <w:r>
        <w:t>- úprav</w:t>
      </w:r>
      <w:r w:rsidR="007B216B">
        <w:t>a</w:t>
      </w:r>
      <w:r>
        <w:t xml:space="preserve"> rozvaděče RH</w:t>
      </w:r>
    </w:p>
    <w:p w14:paraId="0C2C60F3" w14:textId="5E45594B" w:rsidR="000E687C" w:rsidRDefault="000E687C" w:rsidP="007B216B">
      <w:pPr>
        <w:spacing w:after="144" w:line="276" w:lineRule="auto"/>
        <w:ind w:left="720"/>
      </w:pPr>
      <w:r>
        <w:t>- kabelov</w:t>
      </w:r>
      <w:r w:rsidR="007B216B">
        <w:t>é</w:t>
      </w:r>
      <w:r>
        <w:t xml:space="preserve"> vedení </w:t>
      </w:r>
    </w:p>
    <w:p w14:paraId="0CC065C7" w14:textId="461042E2" w:rsidR="00F227CD" w:rsidRDefault="007B216B" w:rsidP="007B216B">
      <w:pPr>
        <w:spacing w:after="144" w:line="276" w:lineRule="auto"/>
        <w:ind w:left="360"/>
      </w:pPr>
      <w:r>
        <w:t xml:space="preserve">       Rozsah úprav a smluvně sjednaná cena bez DPH jsou uvedeny v následující tabulce:</w:t>
      </w:r>
      <w:r>
        <w:br/>
      </w:r>
    </w:p>
    <w:tbl>
      <w:tblPr>
        <w:tblW w:w="8160" w:type="dxa"/>
        <w:tblInd w:w="557" w:type="dxa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6570"/>
        <w:gridCol w:w="1590"/>
      </w:tblGrid>
      <w:tr w:rsidR="00F227CD" w14:paraId="59BC777F" w14:textId="77777777" w:rsidTr="00EB6AFA"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0D4C0C" w14:textId="684D8D1A" w:rsidR="00F227CD" w:rsidRDefault="00EB6AFA">
            <w:pPr>
              <w:pStyle w:val="TableContents"/>
              <w:rPr>
                <w:b/>
              </w:rPr>
            </w:pPr>
            <w:r w:rsidRPr="00EB6AFA">
              <w:rPr>
                <w:b/>
              </w:rPr>
              <w:t>Dopojení a úprava silového nap</w:t>
            </w:r>
            <w:r>
              <w:rPr>
                <w:b/>
              </w:rPr>
              <w:t>á</w:t>
            </w:r>
            <w:r w:rsidRPr="00EB6AFA">
              <w:rPr>
                <w:b/>
              </w:rPr>
              <w:t>jení pro TČ a elektrokotle</w:t>
            </w:r>
          </w:p>
        </w:tc>
        <w:tc>
          <w:tcPr>
            <w:tcW w:w="15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bottom"/>
          </w:tcPr>
          <w:p w14:paraId="352B5083" w14:textId="77777777" w:rsidR="00F227CD" w:rsidRDefault="00000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</w:tr>
      <w:tr w:rsidR="00F227CD" w14:paraId="0A288ED1" w14:textId="77777777" w:rsidTr="00EB6AFA">
        <w:tc>
          <w:tcPr>
            <w:tcW w:w="6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 w14:paraId="2E412F09" w14:textId="18646DFB" w:rsidR="00F227CD" w:rsidRDefault="00EB6AFA">
            <w:pPr>
              <w:pStyle w:val="TableContents"/>
            </w:pPr>
            <w:r w:rsidRPr="00EB6AFA">
              <w:t>Materiál dle projektové dokumentace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15B63554" w14:textId="34A8D5FF" w:rsidR="00F227CD" w:rsidRDefault="00EB6AFA">
            <w:pPr>
              <w:pStyle w:val="TableContents"/>
              <w:jc w:val="right"/>
            </w:pPr>
            <w:r w:rsidRPr="00EB6AFA">
              <w:t>88 175 Kč</w:t>
            </w:r>
          </w:p>
        </w:tc>
      </w:tr>
      <w:tr w:rsidR="00F227CD" w14:paraId="551C5CE7" w14:textId="77777777" w:rsidTr="00EB6AFA">
        <w:tc>
          <w:tcPr>
            <w:tcW w:w="6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 w14:paraId="50FB9D59" w14:textId="1F10CC49" w:rsidR="00F227CD" w:rsidRDefault="00EB6AFA">
            <w:pPr>
              <w:pStyle w:val="TableContents"/>
            </w:pPr>
            <w:r w:rsidRPr="00EB6AFA">
              <w:t>Úprava rozvad</w:t>
            </w:r>
            <w:r>
              <w:t>ě</w:t>
            </w:r>
            <w:r w:rsidRPr="00EB6AFA">
              <w:t>če RH, a R TČ, kabelové rozvody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5FD04CBA" w14:textId="7F6FD7BC" w:rsidR="00F227CD" w:rsidRDefault="00EB6AFA">
            <w:pPr>
              <w:pStyle w:val="TableContents"/>
              <w:jc w:val="right"/>
            </w:pPr>
            <w:r w:rsidRPr="00EB6AFA">
              <w:t>29 400 Kč</w:t>
            </w:r>
          </w:p>
        </w:tc>
      </w:tr>
      <w:tr w:rsidR="00F227CD" w14:paraId="3DCF42EE" w14:textId="77777777" w:rsidTr="00EB6AFA">
        <w:tc>
          <w:tcPr>
            <w:tcW w:w="6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 w14:paraId="3C24E1E2" w14:textId="24F67EFF" w:rsidR="00F227CD" w:rsidRDefault="00EB6AFA">
            <w:pPr>
              <w:pStyle w:val="TableContents"/>
            </w:pPr>
            <w:r w:rsidRPr="00EB6AFA">
              <w:t>Revize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6DFA7E61" w14:textId="49436E32" w:rsidR="00F227CD" w:rsidRDefault="00EB6AFA">
            <w:pPr>
              <w:pStyle w:val="TableContents"/>
              <w:jc w:val="right"/>
            </w:pPr>
            <w:r w:rsidRPr="00EB6AFA">
              <w:t>3 900 Kč</w:t>
            </w:r>
          </w:p>
        </w:tc>
      </w:tr>
      <w:tr w:rsidR="00F227CD" w14:paraId="20A4BEF3" w14:textId="77777777" w:rsidTr="00EB6AFA">
        <w:tc>
          <w:tcPr>
            <w:tcW w:w="6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 w14:paraId="53476952" w14:textId="7A500B6C" w:rsidR="00F227CD" w:rsidRDefault="00EB6AFA">
            <w:pPr>
              <w:pStyle w:val="TableContents"/>
            </w:pPr>
            <w:r w:rsidRPr="00EB6AFA">
              <w:t>Doprava a manipulace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75A045DA" w14:textId="4004037D" w:rsidR="00F227CD" w:rsidRDefault="00EB6AFA">
            <w:pPr>
              <w:pStyle w:val="TableContents"/>
              <w:jc w:val="right"/>
            </w:pPr>
            <w:r w:rsidRPr="00EB6AFA">
              <w:t>4 200 Kč</w:t>
            </w:r>
          </w:p>
        </w:tc>
      </w:tr>
      <w:tr w:rsidR="00F227CD" w14:paraId="1B0FAA61" w14:textId="77777777" w:rsidTr="00EB6AFA">
        <w:tc>
          <w:tcPr>
            <w:tcW w:w="6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 w14:paraId="6B3E2267" w14:textId="4B93F35C" w:rsidR="00F227CD" w:rsidRDefault="00F227CD">
            <w:pPr>
              <w:pStyle w:val="TableContents"/>
            </w:pP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49BAB71D" w14:textId="18F17FFC" w:rsidR="00F227CD" w:rsidRDefault="00F227CD">
            <w:pPr>
              <w:pStyle w:val="TableContents"/>
              <w:jc w:val="right"/>
            </w:pPr>
          </w:p>
        </w:tc>
      </w:tr>
      <w:tr w:rsidR="00F227CD" w14:paraId="7F22165C" w14:textId="77777777" w:rsidTr="00EB6AFA">
        <w:tc>
          <w:tcPr>
            <w:tcW w:w="6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bottom"/>
          </w:tcPr>
          <w:p w14:paraId="430812B8" w14:textId="0C9310AF" w:rsidR="00F227CD" w:rsidRDefault="00EB6AFA">
            <w:pPr>
              <w:pStyle w:val="TableContents"/>
            </w:pPr>
            <w:r w:rsidRPr="00EB6AFA">
              <w:t>CELKOVÁ CENA včetně montáže a příslušenství (bez DPH)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27C301A0" w14:textId="5D23BE62" w:rsidR="00F227CD" w:rsidRDefault="00EB6AFA">
            <w:pPr>
              <w:pStyle w:val="TableContents"/>
              <w:jc w:val="right"/>
            </w:pPr>
            <w:r w:rsidRPr="00EB6AFA">
              <w:t>125 675 Kč</w:t>
            </w:r>
          </w:p>
        </w:tc>
      </w:tr>
    </w:tbl>
    <w:p w14:paraId="2C8D6B40" w14:textId="77777777" w:rsidR="00F227CD" w:rsidRDefault="00F227CD">
      <w:pPr>
        <w:spacing w:after="144" w:line="276" w:lineRule="auto"/>
        <w:ind w:left="360" w:hanging="360"/>
      </w:pPr>
    </w:p>
    <w:p w14:paraId="48583617" w14:textId="3575F099" w:rsidR="00F227CD" w:rsidRDefault="00000000">
      <w:pPr>
        <w:numPr>
          <w:ilvl w:val="0"/>
          <w:numId w:val="2"/>
        </w:numPr>
        <w:spacing w:after="144" w:line="276" w:lineRule="auto"/>
        <w:ind w:left="360"/>
      </w:pPr>
      <w:r>
        <w:t xml:space="preserve">Objednatel se za shora uvedené plnění zavazuje uhradit částku </w:t>
      </w:r>
      <w:r w:rsidR="00EB6AFA">
        <w:t>125 675</w:t>
      </w:r>
      <w:r>
        <w:t xml:space="preserve"> Kč bez DPH za níže uvedených podmínek. Zhotovitel se zavazuje dokončit shora vyjmenované úpravy nejpozději v termínu do</w:t>
      </w:r>
      <w:r w:rsidR="003245D8">
        <w:t xml:space="preserve"> 2.2.2024</w:t>
      </w:r>
      <w:r>
        <w:t>.</w:t>
      </w:r>
    </w:p>
    <w:p w14:paraId="1EF0B561" w14:textId="77777777" w:rsidR="00F227CD" w:rsidRDefault="00000000">
      <w:pPr>
        <w:numPr>
          <w:ilvl w:val="0"/>
          <w:numId w:val="2"/>
        </w:numPr>
        <w:spacing w:after="144" w:line="276" w:lineRule="auto"/>
        <w:ind w:left="360"/>
      </w:pPr>
      <w:r>
        <w:t>Ostatní ustanovení Smlouvy se nemění.</w:t>
      </w:r>
    </w:p>
    <w:p w14:paraId="136B0296" w14:textId="77777777" w:rsidR="00F227CD" w:rsidRDefault="00F227CD">
      <w:pPr>
        <w:spacing w:after="144" w:line="276" w:lineRule="auto"/>
        <w:jc w:val="both"/>
      </w:pPr>
    </w:p>
    <w:p w14:paraId="0B4EFEC0" w14:textId="77777777" w:rsidR="00F227CD" w:rsidRDefault="00F227CD">
      <w:pPr>
        <w:spacing w:after="144" w:line="276" w:lineRule="auto"/>
        <w:jc w:val="both"/>
      </w:pPr>
    </w:p>
    <w:p w14:paraId="708FBF73" w14:textId="77777777" w:rsidR="00F227CD" w:rsidRDefault="00000000">
      <w:pPr>
        <w:spacing w:after="144" w:line="276" w:lineRule="auto"/>
        <w:jc w:val="center"/>
      </w:pPr>
      <w:r>
        <w:rPr>
          <w:b/>
          <w:bCs/>
        </w:rPr>
        <w:t>Čl. IV</w:t>
      </w:r>
    </w:p>
    <w:p w14:paraId="55B0855A" w14:textId="77777777" w:rsidR="00F227CD" w:rsidRDefault="00000000">
      <w:pPr>
        <w:spacing w:after="144" w:line="276" w:lineRule="auto"/>
        <w:jc w:val="center"/>
      </w:pPr>
      <w:r>
        <w:rPr>
          <w:b/>
          <w:bCs/>
        </w:rPr>
        <w:t>Závěrečná ustanovení</w:t>
      </w:r>
    </w:p>
    <w:p w14:paraId="6FF8C128" w14:textId="77777777" w:rsidR="00F227CD" w:rsidRDefault="00F227CD">
      <w:pPr>
        <w:spacing w:after="144" w:line="276" w:lineRule="auto"/>
        <w:jc w:val="center"/>
        <w:rPr>
          <w:b/>
          <w:bCs/>
        </w:rPr>
      </w:pPr>
    </w:p>
    <w:p w14:paraId="35171837" w14:textId="77777777" w:rsidR="00F227CD" w:rsidRDefault="00000000">
      <w:pPr>
        <w:spacing w:after="144" w:line="276" w:lineRule="auto"/>
        <w:jc w:val="both"/>
      </w:pPr>
      <w:r>
        <w:t>1. Tento dodatek je vyhotoven ve dvou listinných stejnopisech s platností originálu, z toho jeden obdrží Objednatel a jeden Zhotovitel.</w:t>
      </w:r>
    </w:p>
    <w:p w14:paraId="5208B30C" w14:textId="77777777" w:rsidR="00F227CD" w:rsidRDefault="00000000">
      <w:pPr>
        <w:spacing w:after="144" w:line="276" w:lineRule="auto"/>
        <w:jc w:val="both"/>
      </w:pPr>
      <w:r>
        <w:t xml:space="preserve">2. Obě strany vzájemně prohlašují, že tento dodatek uzavřely svobodně a vážně, že jim nejsou známy jakékoliv skutečnosti, které by jeho uzavření vylučovaly, neuvedly se vzájemně v omyl a berou na </w:t>
      </w:r>
      <w:r>
        <w:lastRenderedPageBreak/>
        <w:t>vědomí, že v plném rozsahu nesou veškeré právní důsledky plynoucí z vědomě nepravdivých jimi uvedených údajů.</w:t>
      </w:r>
    </w:p>
    <w:p w14:paraId="32C9AEA0" w14:textId="77777777" w:rsidR="00F227CD" w:rsidRDefault="00000000">
      <w:pPr>
        <w:spacing w:after="144" w:line="276" w:lineRule="auto"/>
        <w:jc w:val="both"/>
      </w:pPr>
      <w:r>
        <w:t>3. Tento dodatek nabývá platnosti dnem podpisu oběma smluvními stranami a nabývá účinnosti dnem uveřejnění v registru smluv. Zveřejnění provede Objednatel. Obě strany na důkaz svého souhlasu s obsahem tohoto dodatku připojují pod něj své podpisy.</w:t>
      </w:r>
    </w:p>
    <w:p w14:paraId="7E3CECBD" w14:textId="77777777" w:rsidR="00F227CD" w:rsidRDefault="00F227CD">
      <w:pPr>
        <w:spacing w:after="144" w:line="276" w:lineRule="auto"/>
        <w:jc w:val="both"/>
      </w:pPr>
    </w:p>
    <w:p w14:paraId="02530CD8" w14:textId="7D18031F" w:rsidR="00F227CD" w:rsidRDefault="00000000">
      <w:pPr>
        <w:spacing w:after="144" w:line="276" w:lineRule="auto"/>
        <w:jc w:val="both"/>
      </w:pPr>
      <w:r>
        <w:t xml:space="preserve">V Ondřejově dne </w:t>
      </w:r>
      <w:r w:rsidR="003245D8">
        <w:t>26</w:t>
      </w:r>
      <w:r>
        <w:t>.1.202</w:t>
      </w:r>
      <w:r w:rsidR="003245D8">
        <w:t>4</w:t>
      </w:r>
      <w:r>
        <w:tab/>
      </w:r>
      <w:r>
        <w:tab/>
      </w:r>
      <w:r>
        <w:tab/>
      </w:r>
      <w:r>
        <w:tab/>
        <w:t xml:space="preserve">V Praze dne </w:t>
      </w:r>
      <w:r w:rsidR="003245D8">
        <w:t>26</w:t>
      </w:r>
      <w:r>
        <w:t>.1.202</w:t>
      </w:r>
      <w:r w:rsidR="003245D8">
        <w:t>4</w:t>
      </w:r>
    </w:p>
    <w:p w14:paraId="47206973" w14:textId="77777777" w:rsidR="00F227CD" w:rsidRDefault="00F227CD">
      <w:pPr>
        <w:spacing w:after="144" w:line="276" w:lineRule="auto"/>
        <w:jc w:val="both"/>
      </w:pPr>
    </w:p>
    <w:p w14:paraId="417A3659" w14:textId="77777777" w:rsidR="00F227CD" w:rsidRDefault="00F227CD">
      <w:pPr>
        <w:spacing w:after="144" w:line="276" w:lineRule="auto"/>
        <w:jc w:val="both"/>
      </w:pPr>
    </w:p>
    <w:p w14:paraId="0883CF73" w14:textId="77777777" w:rsidR="00F227CD" w:rsidRDefault="00000000">
      <w:pPr>
        <w:spacing w:after="144" w:line="276" w:lineRule="auto"/>
        <w:jc w:val="both"/>
      </w:pPr>
      <w:r>
        <w:t xml:space="preserve">         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43BA1D75" w14:textId="77777777" w:rsidR="00F227CD" w:rsidRDefault="00F227CD">
      <w:pPr>
        <w:spacing w:after="144" w:line="276" w:lineRule="auto"/>
        <w:jc w:val="both"/>
      </w:pPr>
    </w:p>
    <w:sectPr w:rsidR="00F227C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752"/>
    <w:multiLevelType w:val="multilevel"/>
    <w:tmpl w:val="B06E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3C0E6E"/>
    <w:multiLevelType w:val="multilevel"/>
    <w:tmpl w:val="9F2CC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7D1D17"/>
    <w:multiLevelType w:val="multilevel"/>
    <w:tmpl w:val="58B8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20470410">
    <w:abstractNumId w:val="0"/>
  </w:num>
  <w:num w:numId="2" w16cid:durableId="551962189">
    <w:abstractNumId w:val="2"/>
  </w:num>
  <w:num w:numId="3" w16cid:durableId="8804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CD"/>
    <w:rsid w:val="000E687C"/>
    <w:rsid w:val="003245D8"/>
    <w:rsid w:val="007B216B"/>
    <w:rsid w:val="008B0765"/>
    <w:rsid w:val="0090559E"/>
    <w:rsid w:val="009C2FD3"/>
    <w:rsid w:val="00CC1BB2"/>
    <w:rsid w:val="00EB6AFA"/>
    <w:rsid w:val="00F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A1E5"/>
  <w15:docId w15:val="{AE6D02CF-5C53-4C04-A366-32F7262A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76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0076CE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100A6B"/>
    <w:pPr>
      <w:ind w:left="720"/>
      <w:contextualSpacing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istContents">
    <w:name w:val="List Contents"/>
    <w:basedOn w:val="Normln"/>
    <w:qFormat/>
    <w:pPr>
      <w:ind w:left="567"/>
    </w:pPr>
  </w:style>
  <w:style w:type="paragraph" w:customStyle="1" w:styleId="ListHeading">
    <w:name w:val="List Heading"/>
    <w:basedOn w:val="Normln"/>
    <w:next w:val="List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Čiháková</dc:creator>
  <dc:description/>
  <cp:lastModifiedBy>Lenka Čiháková</cp:lastModifiedBy>
  <cp:revision>6</cp:revision>
  <dcterms:created xsi:type="dcterms:W3CDTF">2024-01-26T09:44:00Z</dcterms:created>
  <dcterms:modified xsi:type="dcterms:W3CDTF">2024-01-26T14:51:00Z</dcterms:modified>
  <dc:language>cs-CZ</dc:language>
</cp:coreProperties>
</file>