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F16455A"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4B47BB">
              <w:rPr>
                <w:rFonts w:ascii="Arial" w:eastAsia="Times New Roman" w:hAnsi="Arial" w:cs="Arial"/>
                <w:b/>
                <w:sz w:val="20"/>
                <w:szCs w:val="20"/>
                <w:lang w:eastAsia="cs-CZ"/>
              </w:rPr>
              <w:t>a platební pravidla pro rok 2024</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00697</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odborná škola stavební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K. Sabiny 159/16</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 Drahovice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00669725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CZ00669725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17431341/0100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odborná škola stavební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K. Sabiny 159/16</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 Drahovice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P-0200-052</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 xml:space="preserve">Stará </w:t>
            </w:r>
            <w:proofErr w:type="spellStart"/>
            <w:r w:rsidRPr="00057E63">
              <w:rPr>
                <w:rFonts w:ascii="Arial" w:eastAsia="Times New Roman" w:hAnsi="Arial" w:cs="Arial"/>
                <w:b/>
                <w:sz w:val="16"/>
                <w:szCs w:val="16"/>
                <w:lang w:eastAsia="cs-CZ"/>
              </w:rPr>
              <w:t>Kysibelská</w:t>
            </w:r>
            <w:proofErr w:type="spellEnd"/>
            <w:r w:rsidRPr="00057E63">
              <w:rPr>
                <w:rFonts w:ascii="Arial" w:eastAsia="Times New Roman" w:hAnsi="Arial" w:cs="Arial"/>
                <w:b/>
                <w:sz w:val="16"/>
                <w:szCs w:val="16"/>
                <w:lang w:eastAsia="cs-CZ"/>
              </w:rPr>
              <w:t xml:space="preserve"> 583/</w:t>
            </w:r>
            <w:proofErr w:type="gramStart"/>
            <w:r w:rsidRPr="00057E63">
              <w:rPr>
                <w:rFonts w:ascii="Arial" w:eastAsia="Times New Roman" w:hAnsi="Arial" w:cs="Arial"/>
                <w:b/>
                <w:sz w:val="16"/>
                <w:szCs w:val="16"/>
                <w:lang w:eastAsia="cs-CZ"/>
              </w:rPr>
              <w:t>77,SOŠ</w:t>
            </w:r>
            <w:proofErr w:type="gramEnd"/>
            <w:r w:rsidRPr="00057E63">
              <w:rPr>
                <w:rFonts w:ascii="Arial" w:eastAsia="Times New Roman" w:hAnsi="Arial" w:cs="Arial"/>
                <w:b/>
                <w:sz w:val="16"/>
                <w:szCs w:val="16"/>
                <w:lang w:eastAsia="cs-CZ"/>
              </w:rPr>
              <w:t xml:space="preserve"> stav.</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proofErr w:type="gramStart"/>
            <w:r w:rsidRPr="00AE5C71">
              <w:rPr>
                <w:rFonts w:ascii="Arial" w:eastAsia="Times New Roman" w:hAnsi="Arial" w:cs="Arial"/>
                <w:sz w:val="16"/>
                <w:szCs w:val="16"/>
                <w:lang w:eastAsia="cs-CZ"/>
              </w:rPr>
              <w:t xml:space="preserve">Tarif:   </w:t>
            </w:r>
            <w:proofErr w:type="gramEnd"/>
            <w:r w:rsidRPr="00AE5C71">
              <w:rPr>
                <w:rFonts w:ascii="Arial" w:eastAsia="Times New Roman" w:hAnsi="Arial" w:cs="Arial"/>
                <w:sz w:val="16"/>
                <w:szCs w:val="16"/>
                <w:lang w:eastAsia="cs-CZ"/>
              </w:rPr>
              <w:t xml:space="preserve">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634,00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 xml:space="preserve">2.1. Zálohy na dodávku tepla se stanoví ve výši </w:t>
            </w:r>
            <w:proofErr w:type="gramStart"/>
            <w:r w:rsidRPr="00032082">
              <w:rPr>
                <w:rFonts w:ascii="Arial" w:hAnsi="Arial" w:cs="Arial"/>
                <w:sz w:val="16"/>
                <w:szCs w:val="16"/>
              </w:rPr>
              <w:t>50%</w:t>
            </w:r>
            <w:proofErr w:type="gramEnd"/>
            <w:r w:rsidRPr="00032082">
              <w:rPr>
                <w:rFonts w:ascii="Arial" w:hAnsi="Arial" w:cs="Arial"/>
                <w:sz w:val="16"/>
                <w:szCs w:val="16"/>
              </w:rPr>
              <w:t xml:space="preserve">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01.01.2024</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4F7FF5F0" w:rsidR="00E37ACF" w:rsidRPr="00032082" w:rsidRDefault="00E37ACF" w:rsidP="00E37ACF">
            <w:pPr>
              <w:keepNext/>
              <w:spacing w:before="120" w:after="120"/>
              <w:ind w:right="-426"/>
              <w:rPr>
                <w:rFonts w:ascii="Arial" w:hAnsi="Arial" w:cs="Arial"/>
                <w:sz w:val="16"/>
                <w:szCs w:val="16"/>
              </w:rPr>
            </w:pPr>
            <w:proofErr w:type="gramStart"/>
            <w:r w:rsidRPr="00032082">
              <w:rPr>
                <w:rFonts w:ascii="Arial" w:hAnsi="Arial" w:cs="Arial"/>
                <w:sz w:val="16"/>
                <w:szCs w:val="16"/>
              </w:rPr>
              <w:lastRenderedPageBreak/>
              <w:t>V...</w:t>
            </w:r>
            <w:proofErr w:type="gramEnd"/>
            <w:r w:rsidR="0099661F">
              <w:rPr>
                <w:rFonts w:ascii="Arial" w:hAnsi="Arial" w:cs="Arial"/>
                <w:sz w:val="16"/>
                <w:szCs w:val="16"/>
              </w:rPr>
              <w:t>K. Varech</w:t>
            </w:r>
            <w:r w:rsidRPr="00032082">
              <w:rPr>
                <w:rFonts w:ascii="Arial" w:hAnsi="Arial" w:cs="Arial"/>
                <w:sz w:val="16"/>
                <w:szCs w:val="16"/>
              </w:rPr>
              <w:t>.......................</w:t>
            </w:r>
          </w:p>
        </w:tc>
        <w:tc>
          <w:tcPr>
            <w:tcW w:w="2481" w:type="dxa"/>
            <w:gridSpan w:val="3"/>
            <w:shd w:val="clear" w:color="auto" w:fill="auto"/>
            <w:vAlign w:val="center"/>
          </w:tcPr>
          <w:p w14:paraId="1FC5C32C" w14:textId="2E5FF707" w:rsidR="00E37ACF" w:rsidRPr="00032082" w:rsidRDefault="00E37ACF" w:rsidP="00E37ACF">
            <w:pPr>
              <w:keepNext/>
              <w:spacing w:before="120" w:after="120"/>
              <w:ind w:right="-426"/>
              <w:rPr>
                <w:rFonts w:ascii="Arial" w:hAnsi="Arial" w:cs="Arial"/>
                <w:sz w:val="16"/>
                <w:szCs w:val="16"/>
              </w:rPr>
            </w:pPr>
            <w:proofErr w:type="gramStart"/>
            <w:r w:rsidRPr="00032082">
              <w:rPr>
                <w:rFonts w:ascii="Arial" w:hAnsi="Arial" w:cs="Arial"/>
                <w:sz w:val="16"/>
                <w:szCs w:val="16"/>
              </w:rPr>
              <w:t>dne....</w:t>
            </w:r>
            <w:proofErr w:type="gramEnd"/>
            <w:r w:rsidR="0099661F">
              <w:rPr>
                <w:rFonts w:ascii="Arial" w:hAnsi="Arial" w:cs="Arial"/>
                <w:sz w:val="16"/>
                <w:szCs w:val="16"/>
              </w:rPr>
              <w:t>30.12.2023</w:t>
            </w:r>
            <w:r w:rsidRPr="00032082">
              <w:rPr>
                <w:rFonts w:ascii="Arial" w:hAnsi="Arial" w:cs="Arial"/>
                <w:sz w:val="16"/>
                <w:szCs w:val="16"/>
              </w:rPr>
              <w:t>....................</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27.12.2023</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315B62E3" w:rsidR="00E37ACF" w:rsidRPr="00032082" w:rsidRDefault="0099661F" w:rsidP="00E37ACF">
            <w:pPr>
              <w:keepNext/>
              <w:spacing w:after="0"/>
              <w:jc w:val="center"/>
              <w:rPr>
                <w:rFonts w:ascii="Arial" w:hAnsi="Arial" w:cs="Arial"/>
                <w:sz w:val="16"/>
                <w:szCs w:val="16"/>
              </w:rPr>
            </w:pPr>
            <w:r>
              <w:rPr>
                <w:rFonts w:ascii="Arial" w:hAnsi="Arial" w:cs="Arial"/>
                <w:sz w:val="16"/>
                <w:szCs w:val="16"/>
              </w:rPr>
              <w:t>otisk razítka a vlastnoruční podpis</w:t>
            </w:r>
          </w:p>
        </w:tc>
        <w:tc>
          <w:tcPr>
            <w:tcW w:w="4820" w:type="dxa"/>
            <w:gridSpan w:val="10"/>
            <w:shd w:val="clear" w:color="auto" w:fill="auto"/>
            <w:vAlign w:val="bottom"/>
          </w:tcPr>
          <w:p w14:paraId="7D39325F" w14:textId="404BCDEE" w:rsidR="00E37ACF" w:rsidRPr="00032082" w:rsidRDefault="0099661F" w:rsidP="00E37ACF">
            <w:pPr>
              <w:keepNext/>
              <w:spacing w:after="0"/>
              <w:ind w:right="-426"/>
              <w:jc w:val="center"/>
              <w:rPr>
                <w:rFonts w:ascii="Arial" w:hAnsi="Arial" w:cs="Arial"/>
                <w:sz w:val="16"/>
                <w:szCs w:val="16"/>
              </w:rPr>
            </w:pPr>
            <w:r>
              <w:rPr>
                <w:rFonts w:ascii="Arial" w:hAnsi="Arial" w:cs="Arial"/>
                <w:sz w:val="16"/>
                <w:szCs w:val="16"/>
              </w:rPr>
              <w:t>otisk razítka a vlastnoruční podpis</w:t>
            </w:r>
            <w:bookmarkStart w:id="0" w:name="_GoBack"/>
            <w:bookmarkEnd w:id="0"/>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61F"/>
    <w:rsid w:val="00996CCF"/>
    <w:rsid w:val="009A01A3"/>
    <w:rsid w:val="009A281E"/>
    <w:rsid w:val="009A4B4E"/>
    <w:rsid w:val="009C476F"/>
    <w:rsid w:val="009C533C"/>
    <w:rsid w:val="009E0887"/>
    <w:rsid w:val="009F6E4C"/>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7460F"/>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804</Words>
  <Characters>4747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Michal Vachovec</cp:lastModifiedBy>
  <cp:revision>4</cp:revision>
  <dcterms:created xsi:type="dcterms:W3CDTF">2024-01-26T10:03:00Z</dcterms:created>
  <dcterms:modified xsi:type="dcterms:W3CDTF">2024-01-26T12:18:00Z</dcterms:modified>
</cp:coreProperties>
</file>