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1935CFD5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B7032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00697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Michal Vachovec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Stará </w:t>
            </w:r>
            <w:proofErr w:type="spellStart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Kysibelská</w:t>
            </w:r>
            <w:proofErr w:type="spellEnd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583/</w:t>
            </w:r>
            <w:proofErr w:type="gramStart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77,SOŠ</w:t>
            </w:r>
            <w:proofErr w:type="gramEnd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stav.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Stará Kysibelská 583/77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Teplo z prim. </w:t>
            </w: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rozvodů - jednosložková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468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 xml:space="preserve">Plán regulačního opatření dodávek tepla bude uplatněn při nedostatku tepla z titulu havarijních situací, omezených dodávek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paliva,  nepříznivých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 xml:space="preserve">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1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15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2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22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3 – odstavení ohřevu TUV a bazénů, služby sníží odběr na technologické účely o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20%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 xml:space="preserve">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5 – odstavení ohřevu TUV a snížení dodávek pro otop o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30%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6 – odstavení ohřevu TUV a snížení dodávek pro otop o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30%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 xml:space="preserve">8. Odsouhlasení </w:t>
            </w:r>
            <w:proofErr w:type="gramStart"/>
            <w:r w:rsidRPr="006B1762">
              <w:rPr>
                <w:rFonts w:ascii="Arial" w:hAnsi="Arial" w:cs="Arial"/>
                <w:b/>
                <w:sz w:val="16"/>
                <w:szCs w:val="16"/>
              </w:rPr>
              <w:t>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>- odběrový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 xml:space="preserve">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01.01.2024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 xml:space="preserve">Ing. Jan </w:t>
                  </w:r>
                  <w:proofErr w:type="spellStart"/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Kümmel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353236231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604790818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C86A3A" w14:paraId="2D8B0540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583E501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 xml:space="preserve">Luboš </w:t>
                  </w:r>
                  <w:proofErr w:type="spellStart"/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Ehlich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69938B3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5C51EA9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4DA29D7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736650034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727FD7E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419542DC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</w:t>
            </w:r>
            <w:r w:rsidR="001F46C3">
              <w:rPr>
                <w:rFonts w:ascii="Arial" w:hAnsi="Arial" w:cs="Arial"/>
                <w:sz w:val="16"/>
                <w:szCs w:val="16"/>
              </w:rPr>
              <w:t>K. Varech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5DE109BA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</w:t>
            </w:r>
            <w:r w:rsidR="001F46C3">
              <w:rPr>
                <w:rFonts w:ascii="Arial" w:hAnsi="Arial" w:cs="Arial"/>
                <w:sz w:val="16"/>
                <w:szCs w:val="16"/>
              </w:rPr>
              <w:t>30.12.2023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5C71ECB1" w:rsidR="00492327" w:rsidRPr="0071056E" w:rsidRDefault="001F46C3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2326A14B" w:rsidR="00492327" w:rsidRPr="0071056E" w:rsidRDefault="001F46C3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  <w:bookmarkStart w:id="0" w:name="_GoBack"/>
            <w:bookmarkEnd w:id="0"/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25BBB70C" w14:textId="77777777" w:rsidR="00F82CEE" w:rsidRDefault="00F82CEE"/>
    <w:sectPr w:rsidR="00F82CEE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24ABD" w14:textId="77777777" w:rsidR="00DC363A" w:rsidRDefault="00DC363A" w:rsidP="00C8487C">
      <w:pPr>
        <w:spacing w:after="0" w:line="240" w:lineRule="auto"/>
      </w:pPr>
      <w:r>
        <w:separator/>
      </w:r>
    </w:p>
  </w:endnote>
  <w:endnote w:type="continuationSeparator" w:id="0">
    <w:p w14:paraId="4C24B905" w14:textId="77777777" w:rsidR="00DC363A" w:rsidRDefault="00DC363A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A0FED" w14:textId="77777777" w:rsidR="00DC363A" w:rsidRDefault="00DC363A" w:rsidP="00C8487C">
      <w:pPr>
        <w:spacing w:after="0" w:line="240" w:lineRule="auto"/>
      </w:pPr>
      <w:r>
        <w:separator/>
      </w:r>
    </w:p>
  </w:footnote>
  <w:footnote w:type="continuationSeparator" w:id="0">
    <w:p w14:paraId="686E74F6" w14:textId="77777777" w:rsidR="00DC363A" w:rsidRDefault="00DC363A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73A23"/>
    <w:rsid w:val="00190EDA"/>
    <w:rsid w:val="00193BD8"/>
    <w:rsid w:val="001A326D"/>
    <w:rsid w:val="001B5726"/>
    <w:rsid w:val="001B784F"/>
    <w:rsid w:val="001C2B3C"/>
    <w:rsid w:val="001D145D"/>
    <w:rsid w:val="001F46C3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B1D02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C363A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2CEE"/>
    <w:rsid w:val="00F86B9D"/>
    <w:rsid w:val="00FC6C3B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Michal Vachovec</cp:lastModifiedBy>
  <cp:revision>4</cp:revision>
  <dcterms:created xsi:type="dcterms:W3CDTF">2024-01-26T10:03:00Z</dcterms:created>
  <dcterms:modified xsi:type="dcterms:W3CDTF">2024-01-26T12:16:00Z</dcterms:modified>
</cp:coreProperties>
</file>