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DBFC" w14:textId="77777777" w:rsidR="00D41883" w:rsidRDefault="00347E0A" w:rsidP="00773C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color w:val="00000A"/>
          <w:sz w:val="28"/>
          <w:szCs w:val="22"/>
        </w:rPr>
      </w:pPr>
      <w:r w:rsidRPr="00773CFE">
        <w:rPr>
          <w:rStyle w:val="normaltextrun"/>
          <w:rFonts w:ascii="Calibri" w:hAnsi="Calibri" w:cs="Calibri"/>
          <w:b/>
          <w:color w:val="00000A"/>
          <w:sz w:val="28"/>
          <w:szCs w:val="22"/>
        </w:rPr>
        <w:t>Dodatek č.</w:t>
      </w:r>
      <w:r w:rsidR="00773CFE">
        <w:rPr>
          <w:rStyle w:val="normaltextrun"/>
          <w:rFonts w:ascii="Calibri" w:hAnsi="Calibri" w:cs="Calibri"/>
          <w:b/>
          <w:color w:val="00000A"/>
          <w:sz w:val="28"/>
          <w:szCs w:val="22"/>
        </w:rPr>
        <w:t xml:space="preserve"> </w:t>
      </w:r>
      <w:r w:rsidR="00D41883">
        <w:rPr>
          <w:rStyle w:val="normaltextrun"/>
          <w:rFonts w:ascii="Calibri" w:hAnsi="Calibri" w:cs="Calibri"/>
          <w:b/>
          <w:color w:val="00000A"/>
          <w:sz w:val="28"/>
          <w:szCs w:val="22"/>
        </w:rPr>
        <w:t>2</w:t>
      </w:r>
      <w:r w:rsidRPr="00773CFE">
        <w:rPr>
          <w:rStyle w:val="normaltextrun"/>
          <w:rFonts w:ascii="Calibri" w:hAnsi="Calibri" w:cs="Calibri"/>
          <w:b/>
          <w:color w:val="00000A"/>
          <w:sz w:val="28"/>
          <w:szCs w:val="22"/>
        </w:rPr>
        <w:t xml:space="preserve"> </w:t>
      </w:r>
    </w:p>
    <w:p w14:paraId="3B5239C0" w14:textId="455FA19E" w:rsidR="002D0D7D" w:rsidRDefault="00347E0A" w:rsidP="00773C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color w:val="00000A"/>
          <w:sz w:val="28"/>
          <w:szCs w:val="22"/>
        </w:rPr>
      </w:pPr>
      <w:r w:rsidRPr="00773CFE">
        <w:rPr>
          <w:rStyle w:val="normaltextrun"/>
          <w:rFonts w:ascii="Calibri" w:hAnsi="Calibri" w:cs="Calibri"/>
          <w:b/>
          <w:color w:val="00000A"/>
          <w:sz w:val="28"/>
          <w:szCs w:val="22"/>
        </w:rPr>
        <w:t xml:space="preserve">ke smlouvě o </w:t>
      </w:r>
      <w:r w:rsidR="00A64802">
        <w:rPr>
          <w:rStyle w:val="normaltextrun"/>
          <w:rFonts w:ascii="Calibri" w:hAnsi="Calibri" w:cs="Calibri"/>
          <w:b/>
          <w:color w:val="00000A"/>
          <w:sz w:val="28"/>
          <w:szCs w:val="22"/>
        </w:rPr>
        <w:t xml:space="preserve">poskytování služeb fyzické </w:t>
      </w:r>
      <w:r w:rsidR="003B131A">
        <w:rPr>
          <w:rStyle w:val="normaltextrun"/>
          <w:rFonts w:ascii="Calibri" w:hAnsi="Calibri" w:cs="Calibri"/>
          <w:b/>
          <w:color w:val="00000A"/>
          <w:sz w:val="28"/>
          <w:szCs w:val="22"/>
        </w:rPr>
        <w:t>ostra</w:t>
      </w:r>
      <w:r w:rsidR="00A64802">
        <w:rPr>
          <w:rStyle w:val="normaltextrun"/>
          <w:rFonts w:ascii="Calibri" w:hAnsi="Calibri" w:cs="Calibri"/>
          <w:b/>
          <w:color w:val="00000A"/>
          <w:sz w:val="28"/>
          <w:szCs w:val="22"/>
        </w:rPr>
        <w:t>hy</w:t>
      </w:r>
      <w:r w:rsidR="003B131A">
        <w:rPr>
          <w:rStyle w:val="normaltextrun"/>
          <w:rFonts w:ascii="Calibri" w:hAnsi="Calibri" w:cs="Calibri"/>
          <w:b/>
          <w:color w:val="00000A"/>
          <w:sz w:val="28"/>
          <w:szCs w:val="22"/>
        </w:rPr>
        <w:t xml:space="preserve"> </w:t>
      </w:r>
    </w:p>
    <w:p w14:paraId="38ABBAD5" w14:textId="4A44FCFB" w:rsidR="00F35A9D" w:rsidRPr="00D05A0D" w:rsidRDefault="00F35A9D" w:rsidP="002B03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color w:val="00000A"/>
          <w:sz w:val="28"/>
          <w:szCs w:val="22"/>
        </w:rPr>
      </w:pPr>
      <w:r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 xml:space="preserve">uzavřený dle </w:t>
      </w:r>
      <w:proofErr w:type="spellStart"/>
      <w:r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>ust</w:t>
      </w:r>
      <w:proofErr w:type="spellEnd"/>
      <w:r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>.</w:t>
      </w:r>
      <w:r w:rsidR="00084BCC"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 xml:space="preserve"> </w:t>
      </w:r>
      <w:r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>§</w:t>
      </w:r>
      <w:r w:rsidR="00084BCC"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 xml:space="preserve"> 1724 odst.2 zákona č. 89/2012 Sb</w:t>
      </w:r>
      <w:r w:rsidR="00D05A0D" w:rsidRPr="00D05A0D">
        <w:rPr>
          <w:rStyle w:val="normaltextrun"/>
          <w:rFonts w:ascii="Calibri" w:hAnsi="Calibri" w:cs="Calibri"/>
          <w:bCs/>
          <w:color w:val="00000A"/>
          <w:sz w:val="28"/>
          <w:szCs w:val="22"/>
        </w:rPr>
        <w:t xml:space="preserve">., občanský zákoník, v platném znění </w:t>
      </w:r>
    </w:p>
    <w:p w14:paraId="5C7E593C" w14:textId="24FC3695" w:rsidR="00773CFE" w:rsidRPr="002B03FC" w:rsidRDefault="005B2A01" w:rsidP="00773C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</w:pPr>
      <w:r w:rsidRPr="002B03FC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č</w:t>
      </w:r>
      <w:r w:rsidR="00347E0A" w:rsidRPr="002B03FC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. MUZ/</w:t>
      </w:r>
      <w:r w:rsidRPr="002B03FC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00031</w:t>
      </w:r>
      <w:r w:rsidR="00347E0A" w:rsidRPr="002B03FC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/20</w:t>
      </w:r>
      <w:r w:rsidRPr="002B03FC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23</w:t>
      </w:r>
    </w:p>
    <w:p w14:paraId="18D727CD" w14:textId="77777777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</w:p>
    <w:p w14:paraId="21E248AF" w14:textId="77777777" w:rsidR="002B03FC" w:rsidRDefault="002B03FC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</w:pPr>
    </w:p>
    <w:p w14:paraId="23416DBB" w14:textId="77777777" w:rsidR="002B03FC" w:rsidRDefault="002B03FC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</w:pPr>
    </w:p>
    <w:p w14:paraId="111EA6D6" w14:textId="010B22C4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Muzeum hlavního města Prahy</w:t>
      </w:r>
    </w:p>
    <w:p w14:paraId="5FF31E88" w14:textId="41EA788C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příspěvková organizace hl. m. Prahy</w:t>
      </w:r>
    </w:p>
    <w:p w14:paraId="0CE7297E" w14:textId="763DF4EF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sídlem: Kožná 475/1, 110 00 Praha 1 - Staré Město</w:t>
      </w:r>
    </w:p>
    <w:p w14:paraId="1B2F7156" w14:textId="0B838A0D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IČO: 00064432</w:t>
      </w:r>
    </w:p>
    <w:p w14:paraId="061BAA51" w14:textId="617CCAF9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DIČ: CZ0006443</w:t>
      </w:r>
      <w:r w:rsidR="00075A7B">
        <w:rPr>
          <w:rStyle w:val="normaltextrun"/>
          <w:rFonts w:ascii="Calibri" w:hAnsi="Calibri" w:cs="Calibri"/>
          <w:color w:val="00000A"/>
          <w:sz w:val="22"/>
          <w:szCs w:val="22"/>
        </w:rPr>
        <w:t>2</w:t>
      </w:r>
    </w:p>
    <w:p w14:paraId="6E619022" w14:textId="13ACE56C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zastoupená </w:t>
      </w:r>
      <w:r w:rsidR="004A40E5">
        <w:rPr>
          <w:rStyle w:val="normaltextrun"/>
          <w:rFonts w:ascii="Calibri" w:hAnsi="Calibri" w:cs="Calibri"/>
          <w:color w:val="00000A"/>
          <w:sz w:val="22"/>
          <w:szCs w:val="22"/>
        </w:rPr>
        <w:t>RNDr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. </w:t>
      </w:r>
      <w:r w:rsidR="004A40E5" w:rsidRPr="003F640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 xml:space="preserve">Ing. </w:t>
      </w:r>
      <w:r w:rsidR="004A6ADE" w:rsidRPr="003F640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Ivem Mackem</w:t>
      </w:r>
      <w:r w:rsidR="004A6ADE">
        <w:rPr>
          <w:rStyle w:val="normaltextrun"/>
          <w:rFonts w:ascii="Calibri" w:hAnsi="Calibri" w:cs="Calibri"/>
          <w:color w:val="00000A"/>
          <w:sz w:val="22"/>
          <w:szCs w:val="22"/>
        </w:rPr>
        <w:t>,</w:t>
      </w:r>
      <w:r w:rsidR="00A556AA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ředitel</w:t>
      </w:r>
      <w:r w:rsidR="004A6ADE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em </w:t>
      </w:r>
      <w:r w:rsidR="00C232B2">
        <w:rPr>
          <w:rStyle w:val="normaltextrun"/>
          <w:rFonts w:ascii="Calibri" w:hAnsi="Calibri" w:cs="Calibri"/>
          <w:color w:val="00000A"/>
          <w:sz w:val="22"/>
          <w:szCs w:val="22"/>
        </w:rPr>
        <w:t>muzea</w:t>
      </w:r>
    </w:p>
    <w:p w14:paraId="2FE356B9" w14:textId="0A3EA5CD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bankovní spojení: </w:t>
      </w:r>
    </w:p>
    <w:p w14:paraId="3F82C01D" w14:textId="6434832D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je plátcem DPH</w:t>
      </w:r>
    </w:p>
    <w:p w14:paraId="1610E843" w14:textId="23C2619F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(dále jen „</w:t>
      </w:r>
      <w:r w:rsidR="00C21E61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O</w:t>
      </w:r>
      <w:r w:rsidR="0066000C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bjednate</w:t>
      </w:r>
      <w:r w:rsidR="00C21E61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l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“)</w:t>
      </w:r>
    </w:p>
    <w:p w14:paraId="21AB1002" w14:textId="77777777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</w:p>
    <w:p w14:paraId="3A91E303" w14:textId="77777777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a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14:paraId="09BEAC1B" w14:textId="77777777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</w:p>
    <w:p w14:paraId="72DD3C41" w14:textId="3B5931C9" w:rsidR="00347E0A" w:rsidRPr="00347E0A" w:rsidRDefault="004D51B1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INDUS Praha, spol. s</w:t>
      </w:r>
      <w:r w:rsidR="00B874A4">
        <w:rPr>
          <w:rStyle w:val="normaltextrun"/>
          <w:rFonts w:ascii="Calibri" w:hAnsi="Calibri" w:cs="Calibri"/>
          <w:b/>
          <w:bCs/>
          <w:sz w:val="22"/>
          <w:szCs w:val="22"/>
        </w:rPr>
        <w:t>.r.o.</w:t>
      </w:r>
    </w:p>
    <w:p w14:paraId="2C5D8F83" w14:textId="7E9C5A63" w:rsidR="00347E0A" w:rsidRP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se sídlem:</w:t>
      </w:r>
      <w:r w:rsidRPr="00347E0A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</w:t>
      </w:r>
      <w:r w:rsidR="00B874A4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U Hostivařského </w:t>
      </w:r>
      <w:r w:rsidR="00C232B2">
        <w:rPr>
          <w:rStyle w:val="normaltextrun"/>
          <w:rFonts w:ascii="Calibri" w:hAnsi="Calibri" w:cs="Calibri"/>
          <w:color w:val="00000A"/>
          <w:sz w:val="22"/>
          <w:szCs w:val="22"/>
        </w:rPr>
        <w:t>nádraží 556/12, PSČ 102 00, Praha 10</w:t>
      </w:r>
    </w:p>
    <w:p w14:paraId="1C575ED9" w14:textId="199D27D6" w:rsidR="00347E0A" w:rsidRP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IČ: </w:t>
      </w:r>
      <w:r w:rsidR="00622572">
        <w:rPr>
          <w:rStyle w:val="normaltextrun"/>
          <w:rFonts w:ascii="Calibri" w:hAnsi="Calibri" w:cs="Calibri"/>
          <w:color w:val="00000A"/>
          <w:sz w:val="22"/>
          <w:szCs w:val="22"/>
        </w:rPr>
        <w:t>24210668</w:t>
      </w:r>
    </w:p>
    <w:p w14:paraId="5EDE5E88" w14:textId="475F2C3E" w:rsidR="00347E0A" w:rsidRPr="00347E0A" w:rsidRDefault="00347E0A" w:rsidP="00347E0A">
      <w:pPr>
        <w:rPr>
          <w:rStyle w:val="normaltextrun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DIČ: </w:t>
      </w:r>
      <w:r w:rsidRPr="00347E0A">
        <w:rPr>
          <w:rStyle w:val="normaltextrun"/>
          <w:rFonts w:ascii="Calibri" w:hAnsi="Calibri" w:cs="Calibri"/>
          <w:color w:val="00000A"/>
          <w:sz w:val="22"/>
          <w:szCs w:val="22"/>
        </w:rPr>
        <w:t>CZ</w:t>
      </w:r>
      <w:r w:rsidR="00465AAA">
        <w:rPr>
          <w:rStyle w:val="normaltextrun"/>
          <w:rFonts w:ascii="Calibri" w:hAnsi="Calibri" w:cs="Calibri"/>
          <w:color w:val="00000A"/>
          <w:sz w:val="22"/>
          <w:szCs w:val="22"/>
        </w:rPr>
        <w:t>24210668</w:t>
      </w:r>
    </w:p>
    <w:p w14:paraId="30D12993" w14:textId="3A52B2C9" w:rsidR="00347E0A" w:rsidRP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zastoupená</w:t>
      </w:r>
      <w:r w:rsidRPr="00347E0A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</w:t>
      </w:r>
      <w:r w:rsidR="00D34423" w:rsidRPr="003F640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Ing</w:t>
      </w:r>
      <w:r w:rsidR="00C21E61" w:rsidRPr="003F640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. P</w:t>
      </w:r>
      <w:r w:rsidR="00D34423" w:rsidRPr="003F640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avlem Kudrnou</w:t>
      </w:r>
      <w:r w:rsidR="00D34423">
        <w:rPr>
          <w:rStyle w:val="normaltextrun"/>
          <w:rFonts w:ascii="Calibri" w:hAnsi="Calibri" w:cs="Calibri"/>
          <w:color w:val="00000A"/>
          <w:sz w:val="22"/>
          <w:szCs w:val="22"/>
        </w:rPr>
        <w:t>, jednatelem</w:t>
      </w:r>
    </w:p>
    <w:p w14:paraId="6334BBC0" w14:textId="206B52C3" w:rsidR="00347E0A" w:rsidRPr="00347E0A" w:rsidRDefault="00347E0A" w:rsidP="00347E0A"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bankovní </w:t>
      </w:r>
      <w:r w:rsidRPr="007970C6">
        <w:rPr>
          <w:rStyle w:val="normaltextrun"/>
          <w:rFonts w:ascii="Calibri" w:hAnsi="Calibri" w:cs="Calibri"/>
          <w:color w:val="00000A"/>
          <w:sz w:val="22"/>
          <w:szCs w:val="22"/>
        </w:rPr>
        <w:t>spojení:</w:t>
      </w:r>
      <w:r w:rsidR="007970C6" w:rsidRPr="007970C6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</w:t>
      </w:r>
    </w:p>
    <w:p w14:paraId="79139C4C" w14:textId="7C388351" w:rsidR="00347E0A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A"/>
          <w:sz w:val="18"/>
          <w:szCs w:val="18"/>
        </w:rPr>
      </w:pPr>
      <w:r w:rsidRPr="00156FE4">
        <w:rPr>
          <w:rStyle w:val="normaltextrun"/>
          <w:rFonts w:ascii="Calibri" w:hAnsi="Calibri" w:cs="Calibri"/>
          <w:color w:val="00000A"/>
          <w:sz w:val="22"/>
          <w:szCs w:val="22"/>
        </w:rPr>
        <w:t>je plátcem DPH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14:paraId="006010DD" w14:textId="451C9AC7" w:rsidR="00347E0A" w:rsidRPr="005F1512" w:rsidRDefault="00347E0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F1512">
        <w:rPr>
          <w:rStyle w:val="normaltextrun"/>
          <w:rFonts w:ascii="Calibri" w:hAnsi="Calibri" w:cs="Calibri"/>
          <w:sz w:val="22"/>
          <w:szCs w:val="22"/>
        </w:rPr>
        <w:t>(dále jen „</w:t>
      </w:r>
      <w:r w:rsidR="003B131A" w:rsidRPr="005F1512">
        <w:rPr>
          <w:rStyle w:val="normaltextrun"/>
          <w:rFonts w:ascii="Calibri" w:hAnsi="Calibri" w:cs="Calibri"/>
          <w:b/>
          <w:bCs/>
          <w:sz w:val="22"/>
          <w:szCs w:val="22"/>
        </w:rPr>
        <w:t>Dodavatel</w:t>
      </w:r>
      <w:r w:rsidRPr="005F1512">
        <w:rPr>
          <w:rStyle w:val="normaltextrun"/>
          <w:rFonts w:ascii="Calibri" w:hAnsi="Calibri" w:cs="Calibri"/>
          <w:sz w:val="22"/>
          <w:szCs w:val="22"/>
        </w:rPr>
        <w:t>“)</w:t>
      </w:r>
    </w:p>
    <w:p w14:paraId="756A9C41" w14:textId="15F97342" w:rsidR="00A556AA" w:rsidRDefault="00A556A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18"/>
          <w:szCs w:val="18"/>
        </w:rPr>
      </w:pPr>
    </w:p>
    <w:p w14:paraId="6B2DEFCD" w14:textId="77777777" w:rsidR="005F1512" w:rsidRDefault="00A556AA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r w:rsidRPr="00EB76AB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O</w:t>
      </w:r>
      <w:r w:rsidR="00BA6CF9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bjednavatel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</w:t>
      </w:r>
      <w:r w:rsidRPr="00EB76AB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Dodavatel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BA6C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dále jednotlivě </w:t>
      </w:r>
      <w:r w:rsidR="00CC326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také jen jako</w:t>
      </w:r>
      <w:r w:rsidR="002F01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„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smluvní stran</w:t>
      </w:r>
      <w:r w:rsidR="002F018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2F01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společ</w:t>
      </w:r>
      <w:r w:rsidR="00776A4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="002F01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ě </w:t>
      </w:r>
      <w:r w:rsidR="00776A4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také jen jako „</w:t>
      </w:r>
      <w:r w:rsidR="00776A48" w:rsidRPr="009D18E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smluvní strany</w:t>
      </w:r>
      <w:r w:rsidR="00776A4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42D9399" w14:textId="77777777" w:rsidR="005F1512" w:rsidRDefault="005F1512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C77861" w14:textId="7384340A" w:rsidR="00A556AA" w:rsidRPr="007C517B" w:rsidRDefault="009D18EB" w:rsidP="00347E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shd w:val="clear" w:color="auto" w:fill="FFFFFF"/>
        </w:rPr>
      </w:pPr>
      <w:r w:rsidRPr="007C517B">
        <w:rPr>
          <w:rStyle w:val="eop"/>
          <w:rFonts w:ascii="Calibri" w:hAnsi="Calibri" w:cs="Calibri"/>
          <w:sz w:val="22"/>
          <w:szCs w:val="22"/>
          <w:shd w:val="clear" w:color="auto" w:fill="FFFFFF"/>
        </w:rPr>
        <w:t xml:space="preserve">se dohodly na </w:t>
      </w:r>
      <w:r w:rsidR="005F1512" w:rsidRPr="007C517B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tomto dodatku č. 2:</w:t>
      </w:r>
    </w:p>
    <w:p w14:paraId="5805302E" w14:textId="22E1A7EB" w:rsidR="00D726E5" w:rsidRPr="007C517B" w:rsidRDefault="00D726E5" w:rsidP="00D726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7C517B">
        <w:rPr>
          <w:rStyle w:val="eop"/>
          <w:rFonts w:ascii="Calibri" w:hAnsi="Calibri" w:cs="Calibri"/>
          <w:b/>
          <w:bCs/>
          <w:sz w:val="22"/>
          <w:szCs w:val="22"/>
          <w:shd w:val="clear" w:color="auto" w:fill="FFFFFF"/>
        </w:rPr>
        <w:t>I.</w:t>
      </w:r>
    </w:p>
    <w:p w14:paraId="4E31D170" w14:textId="2C54F47C" w:rsidR="0019493D" w:rsidRPr="007C517B" w:rsidRDefault="00BB4B6D" w:rsidP="68091D76">
      <w:pPr>
        <w:snapToGrid w:val="0"/>
        <w:spacing w:before="12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>Smluvní strany spolu uzavřely dne 2</w:t>
      </w: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>02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>.20</w:t>
      </w:r>
      <w:r w:rsidR="00787D17" w:rsidRPr="007C517B">
        <w:rPr>
          <w:rStyle w:val="normaltextrun"/>
          <w:rFonts w:asciiTheme="minorHAnsi" w:hAnsiTheme="minorHAnsi" w:cstheme="minorBidi"/>
          <w:sz w:val="22"/>
          <w:szCs w:val="22"/>
        </w:rPr>
        <w:t>23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583AD2" w:rsidRPr="007C517B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mlouvu o </w:t>
      </w:r>
      <w:r w:rsidR="00787D17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poskytování služeb fyzické ostrahy </w:t>
      </w:r>
      <w:r w:rsidR="00CE627D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objektu Objednatele </w:t>
      </w:r>
      <w:r w:rsidR="00F10DBE" w:rsidRPr="007C517B">
        <w:rPr>
          <w:rStyle w:val="normaltextrun"/>
          <w:rFonts w:asciiTheme="minorHAnsi" w:hAnsiTheme="minorHAnsi" w:cstheme="minorBidi"/>
          <w:sz w:val="22"/>
          <w:szCs w:val="22"/>
        </w:rPr>
        <w:t>–</w:t>
      </w:r>
      <w:r w:rsidR="00CE627D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F10DBE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ředitelství Muzea hl. m. Prahy, na adrese </w:t>
      </w:r>
      <w:r w:rsidR="00F10DBE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Kožná </w:t>
      </w:r>
      <w:r w:rsidR="004C1DFA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475/1,</w:t>
      </w:r>
      <w:r w:rsidR="004C1DFA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110 00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87726D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Praha 1 (dále </w:t>
      </w:r>
      <w:r w:rsidR="008B3569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jen </w:t>
      </w:r>
      <w:r w:rsidR="00716D7F" w:rsidRPr="007C517B">
        <w:rPr>
          <w:rStyle w:val="normaltextrun"/>
          <w:rFonts w:asciiTheme="minorHAnsi" w:hAnsiTheme="minorHAnsi" w:cstheme="minorBidi"/>
          <w:sz w:val="22"/>
          <w:szCs w:val="22"/>
        </w:rPr>
        <w:t>„</w:t>
      </w:r>
      <w:r w:rsidR="008B3569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Smlouva“), na základě poptávkového </w:t>
      </w:r>
      <w:r w:rsidR="008C441E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řízení veřejné zakázky malého rozsahu na dodávku zadanou </w:t>
      </w:r>
      <w:r w:rsidR="00E00A3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přímým zadáním jednomu dodavateli ve smyslu </w:t>
      </w:r>
      <w:r w:rsidR="00C4191C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§31 zákona č. 134/2016 Sb., o zadávání veřejných </w:t>
      </w:r>
      <w:r w:rsidR="00AD25E5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zakázek pod názvem </w:t>
      </w:r>
      <w:r w:rsidR="00011356" w:rsidRPr="007C517B">
        <w:rPr>
          <w:rStyle w:val="normaltextrun"/>
          <w:rFonts w:asciiTheme="minorHAnsi" w:hAnsiTheme="minorHAnsi" w:cstheme="minorBidi"/>
          <w:sz w:val="22"/>
          <w:szCs w:val="22"/>
        </w:rPr>
        <w:t>„</w:t>
      </w:r>
      <w:r w:rsidR="00AD25E5" w:rsidRPr="007C517B">
        <w:rPr>
          <w:rStyle w:val="normaltextrun"/>
          <w:rFonts w:asciiTheme="minorHAnsi" w:hAnsiTheme="minorHAnsi" w:cstheme="minorBidi"/>
          <w:sz w:val="22"/>
          <w:szCs w:val="22"/>
        </w:rPr>
        <w:t>Fyzická ostraha objektu Kožná</w:t>
      </w:r>
      <w:r w:rsidR="00011356" w:rsidRPr="007C517B">
        <w:rPr>
          <w:rStyle w:val="normaltextrun"/>
          <w:rFonts w:asciiTheme="minorHAnsi" w:hAnsiTheme="minorHAnsi" w:cstheme="minorBidi"/>
          <w:sz w:val="22"/>
          <w:szCs w:val="22"/>
        </w:rPr>
        <w:t>“</w:t>
      </w:r>
      <w:r w:rsidR="00546D33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evidovanou pod VZ 2/2023, </w:t>
      </w:r>
      <w:r w:rsidR="00887876" w:rsidRPr="007C517B">
        <w:rPr>
          <w:rStyle w:val="normaltextrun"/>
          <w:rFonts w:asciiTheme="minorHAnsi" w:hAnsiTheme="minorHAnsi" w:cstheme="minorBidi"/>
          <w:sz w:val="22"/>
          <w:szCs w:val="22"/>
        </w:rPr>
        <w:t>na jejímž základě se Dodavatel zavázal Objednateli</w:t>
      </w:r>
      <w:r w:rsidR="00FE48FE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zajišťovat služby ostrahy </w:t>
      </w:r>
      <w:r w:rsidR="00A85A86" w:rsidRPr="007C517B">
        <w:rPr>
          <w:rStyle w:val="normaltextrun"/>
          <w:rFonts w:asciiTheme="minorHAnsi" w:hAnsiTheme="minorHAnsi" w:cstheme="minorBidi"/>
          <w:sz w:val="22"/>
          <w:szCs w:val="22"/>
        </w:rPr>
        <w:t>objektu a ochranu jeho majetku formou fyzické ostrahy</w:t>
      </w:r>
      <w:r w:rsidR="00D63F0F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, a kdy zejména podstatným ujednáním bylo </w:t>
      </w:r>
      <w:r w:rsidR="00991CD1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mimo jiné, že vybraný účastník je povinen dodržovat </w:t>
      </w:r>
      <w:r w:rsidR="00F63AB7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pracovně právní předpisy </w:t>
      </w:r>
      <w:r w:rsidR="00771D1E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a </w:t>
      </w:r>
      <w:r w:rsidR="00250731" w:rsidRPr="007C517B">
        <w:rPr>
          <w:rStyle w:val="normaltextrun"/>
          <w:rFonts w:asciiTheme="minorHAnsi" w:hAnsiTheme="minorHAnsi" w:cstheme="minorBidi"/>
          <w:sz w:val="22"/>
          <w:szCs w:val="22"/>
        </w:rPr>
        <w:t>to zejména pracovní dobu, bezpečnost práce a požární ochranu</w:t>
      </w:r>
      <w:r w:rsidR="00AE1BC1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v</w:t>
      </w:r>
      <w:r w:rsidR="0019493D" w:rsidRPr="007C517B">
        <w:rPr>
          <w:rStyle w:val="normaltextrun"/>
          <w:rFonts w:asciiTheme="minorHAnsi" w:hAnsiTheme="minorHAnsi" w:cstheme="minorBidi"/>
          <w:sz w:val="22"/>
          <w:szCs w:val="22"/>
        </w:rPr>
        <w:t> objektu Objednatele.</w:t>
      </w:r>
    </w:p>
    <w:p w14:paraId="12FD7BB6" w14:textId="77777777" w:rsidR="00A2042E" w:rsidRPr="007C517B" w:rsidRDefault="00A2042E" w:rsidP="68091D76">
      <w:pPr>
        <w:snapToGrid w:val="0"/>
        <w:spacing w:before="12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0D98474E" w14:textId="2ACF3C32" w:rsidR="00011356" w:rsidRPr="007C517B" w:rsidRDefault="00F26271" w:rsidP="00F26271">
      <w:pPr>
        <w:snapToGrid w:val="0"/>
        <w:spacing w:before="120"/>
        <w:jc w:val="center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II.</w:t>
      </w:r>
    </w:p>
    <w:p w14:paraId="3BB412F6" w14:textId="77777777" w:rsidR="00A856EF" w:rsidRPr="007C517B" w:rsidRDefault="00A856EF" w:rsidP="00F512B3">
      <w:pPr>
        <w:snapToGrid w:val="0"/>
        <w:spacing w:before="120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0073AE81" w14:textId="0649A52F" w:rsidR="00773CFE" w:rsidRPr="007C517B" w:rsidRDefault="00972647" w:rsidP="68091D76">
      <w:pPr>
        <w:snapToGrid w:val="0"/>
        <w:spacing w:before="12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>V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e znění dodatku č. </w:t>
      </w:r>
      <w:r w:rsidR="00652214" w:rsidRPr="007C517B">
        <w:rPr>
          <w:rStyle w:val="normaltextrun"/>
          <w:rFonts w:asciiTheme="minorHAnsi" w:hAnsiTheme="minorHAnsi" w:cstheme="minorBidi"/>
          <w:sz w:val="22"/>
          <w:szCs w:val="22"/>
        </w:rPr>
        <w:t>2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652214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platného ke dni </w:t>
      </w:r>
      <w:r w:rsidR="68091D76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1.</w:t>
      </w:r>
      <w:r w:rsidR="00652214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3</w:t>
      </w:r>
      <w:r w:rsidR="68091D76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.20</w:t>
      </w:r>
      <w:r w:rsidR="00652214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24</w:t>
      </w:r>
      <w:r w:rsidR="00A556AA" w:rsidRPr="007C517B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je</w:t>
      </w:r>
      <w:r w:rsidR="003844E7" w:rsidRPr="007C517B">
        <w:rPr>
          <w:rStyle w:val="normaltextrun"/>
          <w:rFonts w:asciiTheme="minorHAnsi" w:hAnsiTheme="minorHAnsi" w:cstheme="minorBidi"/>
          <w:sz w:val="22"/>
          <w:szCs w:val="22"/>
        </w:rPr>
        <w:t>hož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předmětem je vykonávat bezpečnostní službu spočívající ve fyzické ostraze (dále jen „</w:t>
      </w:r>
      <w:r w:rsidR="006B45EE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S</w:t>
      </w:r>
      <w:r w:rsidR="68091D76" w:rsidRPr="007C517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mlouva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“). </w:t>
      </w:r>
      <w:r w:rsidR="00583AD2" w:rsidRPr="007C517B">
        <w:rPr>
          <w:rStyle w:val="normaltextrun"/>
          <w:rFonts w:asciiTheme="minorHAnsi" w:hAnsiTheme="minorHAnsi" w:cstheme="minorBidi"/>
          <w:sz w:val="22"/>
          <w:szCs w:val="22"/>
        </w:rPr>
        <w:t>N</w:t>
      </w:r>
      <w:r w:rsidR="68091D76" w:rsidRPr="007C517B">
        <w:rPr>
          <w:rStyle w:val="normaltextrun"/>
          <w:rFonts w:asciiTheme="minorHAnsi" w:hAnsiTheme="minorHAnsi" w:cstheme="minorBidi"/>
          <w:sz w:val="22"/>
          <w:szCs w:val="22"/>
        </w:rPr>
        <w:t>íže uvedeného dne, měsíce a roku Odběratel a Dodavatel dohodli na tomto dodatku ke smlouvě:</w:t>
      </w:r>
    </w:p>
    <w:p w14:paraId="0F56A86D" w14:textId="5BAA4D3F" w:rsidR="006D0BD1" w:rsidRPr="007C517B" w:rsidRDefault="00FD7F41" w:rsidP="006D0BD1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7C517B">
        <w:rPr>
          <w:rStyle w:val="normaltextrun"/>
          <w:rFonts w:asciiTheme="minorHAnsi" w:hAnsiTheme="minorHAnsi" w:cstheme="minorHAnsi"/>
          <w:sz w:val="22"/>
          <w:szCs w:val="22"/>
        </w:rPr>
        <w:t>V článku II.</w:t>
      </w:r>
      <w:r w:rsidR="005E76D2">
        <w:rPr>
          <w:rStyle w:val="normaltextrun"/>
          <w:rFonts w:asciiTheme="minorHAnsi" w:hAnsiTheme="minorHAnsi" w:cstheme="minorHAnsi"/>
          <w:sz w:val="22"/>
          <w:szCs w:val="22"/>
        </w:rPr>
        <w:t xml:space="preserve"> Smlouvy</w:t>
      </w:r>
      <w:r w:rsidRPr="007C517B">
        <w:rPr>
          <w:rStyle w:val="normaltextrun"/>
          <w:rFonts w:asciiTheme="minorHAnsi" w:hAnsiTheme="minorHAnsi" w:cstheme="minorHAnsi"/>
          <w:sz w:val="22"/>
          <w:szCs w:val="22"/>
        </w:rPr>
        <w:t xml:space="preserve"> „</w:t>
      </w:r>
      <w:r w:rsidR="00156FE4" w:rsidRPr="007C517B">
        <w:rPr>
          <w:rStyle w:val="normaltextrun"/>
          <w:rFonts w:asciiTheme="minorHAnsi" w:hAnsiTheme="minorHAnsi" w:cstheme="minorHAnsi"/>
          <w:sz w:val="22"/>
          <w:szCs w:val="22"/>
        </w:rPr>
        <w:t>Doba</w:t>
      </w:r>
      <w:r w:rsidRPr="007C517B">
        <w:rPr>
          <w:rStyle w:val="normaltextrun"/>
          <w:rFonts w:asciiTheme="minorHAnsi" w:hAnsiTheme="minorHAnsi" w:cstheme="minorHAnsi"/>
          <w:sz w:val="22"/>
          <w:szCs w:val="22"/>
        </w:rPr>
        <w:t xml:space="preserve"> plnění“ se </w:t>
      </w:r>
      <w:r w:rsidR="003916C9" w:rsidRPr="007C517B">
        <w:rPr>
          <w:rStyle w:val="normaltextrun"/>
          <w:rFonts w:asciiTheme="minorHAnsi" w:hAnsiTheme="minorHAnsi" w:cstheme="minorHAnsi"/>
          <w:sz w:val="22"/>
          <w:szCs w:val="22"/>
        </w:rPr>
        <w:t>prodlužuje na dobu určitou</w:t>
      </w:r>
      <w:r w:rsidR="00BC6C1B" w:rsidRPr="007C517B">
        <w:rPr>
          <w:rStyle w:val="normaltextrun"/>
          <w:rFonts w:asciiTheme="minorHAnsi" w:hAnsiTheme="minorHAnsi" w:cstheme="minorHAnsi"/>
          <w:sz w:val="22"/>
          <w:szCs w:val="22"/>
        </w:rPr>
        <w:t xml:space="preserve"> a to</w:t>
      </w:r>
      <w:r w:rsidR="00156FE4" w:rsidRPr="007C517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16A73" w:rsidRPr="007C517B">
        <w:rPr>
          <w:rStyle w:val="normaltextrun"/>
          <w:rFonts w:asciiTheme="minorHAnsi" w:hAnsiTheme="minorHAnsi" w:cstheme="minorHAnsi"/>
          <w:sz w:val="22"/>
          <w:szCs w:val="22"/>
        </w:rPr>
        <w:t xml:space="preserve">od </w:t>
      </w:r>
      <w:r w:rsidR="00816A73"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1.3.2024 </w:t>
      </w:r>
      <w:r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3</w:t>
      </w:r>
      <w:r w:rsidR="00A556AA"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75452B"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</w:t>
      </w:r>
      <w:r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.20</w:t>
      </w:r>
      <w:r w:rsidR="00A556AA"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75452B" w:rsidRPr="007C517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C24984" w:rsidRPr="007C517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494AE5C4" w14:textId="679CB8E8" w:rsidR="00773CFE" w:rsidRPr="007C517B" w:rsidRDefault="41E788CD" w:rsidP="41E788CD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Smluvní strany berou na vědomí, že tento </w:t>
      </w: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dodatek ke </w:t>
      </w:r>
      <w:r w:rsidR="00A556AA" w:rsidRPr="007C517B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mlouvě podléhá dle zákona č. 340/2015 Sb., o registru smluv, uveřejnění prostřednictvím registru smluv. Uveřejnění obstará </w:t>
      </w:r>
      <w:r w:rsidR="00A67B7A" w:rsidRPr="007C517B">
        <w:rPr>
          <w:rStyle w:val="normaltextrun"/>
          <w:rFonts w:asciiTheme="minorHAnsi" w:hAnsiTheme="minorHAnsi" w:cstheme="minorBidi"/>
          <w:sz w:val="22"/>
          <w:szCs w:val="22"/>
        </w:rPr>
        <w:t>Odběratel</w:t>
      </w: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414C5FA3" w14:textId="63100391" w:rsidR="00534B78" w:rsidRPr="007C517B" w:rsidRDefault="41E788CD" w:rsidP="41E788CD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>Tento dodatek nabývá platnosti podpisem oprávněných zástupců obou smluvních stran a účinnosti dnem uveřejnění v registru smluv.</w:t>
      </w:r>
    </w:p>
    <w:p w14:paraId="7865AE36" w14:textId="063E7B87" w:rsidR="00C50B47" w:rsidRPr="007C517B" w:rsidRDefault="00C50B47" w:rsidP="41E788CD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Ostatní </w:t>
      </w:r>
      <w:r w:rsidR="00DE6E3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ustanovení </w:t>
      </w:r>
      <w:r w:rsidR="00296A1F" w:rsidRPr="007C517B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DE6E36" w:rsidRPr="007C517B">
        <w:rPr>
          <w:rStyle w:val="normaltextrun"/>
          <w:rFonts w:asciiTheme="minorHAnsi" w:hAnsiTheme="minorHAnsi" w:cstheme="minorBidi"/>
          <w:sz w:val="22"/>
          <w:szCs w:val="22"/>
        </w:rPr>
        <w:t>mlouvy</w:t>
      </w:r>
      <w:r w:rsidR="00710E43" w:rsidRPr="007C517B">
        <w:rPr>
          <w:rStyle w:val="normaltextrun"/>
          <w:rFonts w:asciiTheme="minorHAnsi" w:hAnsiTheme="minorHAnsi" w:cstheme="minorBidi"/>
          <w:sz w:val="22"/>
          <w:szCs w:val="22"/>
        </w:rPr>
        <w:t>, která nejsou tímto dodatkem č. 2 dotčena,</w:t>
      </w:r>
      <w:r w:rsidR="00DE6E36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 zůstáv</w:t>
      </w:r>
      <w:r w:rsidR="00FD7F41" w:rsidRPr="007C517B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DE6E36" w:rsidRPr="007C517B">
        <w:rPr>
          <w:rStyle w:val="normaltextrun"/>
          <w:rFonts w:asciiTheme="minorHAnsi" w:hAnsiTheme="minorHAnsi" w:cstheme="minorBidi"/>
          <w:sz w:val="22"/>
          <w:szCs w:val="22"/>
        </w:rPr>
        <w:t>jí v platnosti beze změn.</w:t>
      </w:r>
    </w:p>
    <w:p w14:paraId="600CCB7E" w14:textId="17A64EDD" w:rsidR="004E26AF" w:rsidRPr="007C517B" w:rsidRDefault="00852878" w:rsidP="41E788CD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Smluvní strany prohlašují, že si tento Dodatek č. 2 </w:t>
      </w:r>
      <w:r w:rsidR="00991467" w:rsidRPr="007C517B">
        <w:rPr>
          <w:rStyle w:val="normaltextrun"/>
          <w:rFonts w:asciiTheme="minorHAnsi" w:hAnsiTheme="minorHAnsi" w:cstheme="minorBidi"/>
          <w:sz w:val="22"/>
          <w:szCs w:val="22"/>
        </w:rPr>
        <w:t xml:space="preserve">před jeho podpisem řádně přečetly a svůj souhlas s obsahem </w:t>
      </w:r>
      <w:r w:rsidR="002B1F82" w:rsidRPr="007C517B">
        <w:rPr>
          <w:rStyle w:val="normaltextrun"/>
          <w:rFonts w:asciiTheme="minorHAnsi" w:hAnsiTheme="minorHAnsi" w:cstheme="minorBidi"/>
          <w:sz w:val="22"/>
          <w:szCs w:val="22"/>
        </w:rPr>
        <w:t>ustanovení stvrzují svými podpisy.</w:t>
      </w:r>
    </w:p>
    <w:p w14:paraId="1845CB6B" w14:textId="660F1C1B" w:rsidR="00534B78" w:rsidRPr="00DF4FF5" w:rsidRDefault="41E788CD" w:rsidP="41E788CD">
      <w:pPr>
        <w:pStyle w:val="Odstavecseseznamem"/>
        <w:numPr>
          <w:ilvl w:val="0"/>
          <w:numId w:val="2"/>
        </w:numPr>
        <w:snapToGrid w:val="0"/>
        <w:spacing w:before="120"/>
        <w:ind w:left="426" w:hanging="426"/>
        <w:contextualSpacing w:val="0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C517B">
        <w:rPr>
          <w:rFonts w:asciiTheme="minorHAnsi" w:hAnsiTheme="minorHAnsi" w:cstheme="minorBidi"/>
          <w:sz w:val="22"/>
          <w:szCs w:val="22"/>
        </w:rPr>
        <w:t xml:space="preserve">Tento dodatek ke </w:t>
      </w:r>
      <w:r w:rsidR="00A556AA" w:rsidRPr="007C517B">
        <w:rPr>
          <w:rFonts w:asciiTheme="minorHAnsi" w:hAnsiTheme="minorHAnsi" w:cstheme="minorBidi"/>
          <w:sz w:val="22"/>
          <w:szCs w:val="22"/>
        </w:rPr>
        <w:t>s</w:t>
      </w:r>
      <w:r w:rsidRPr="007C517B">
        <w:rPr>
          <w:rFonts w:asciiTheme="minorHAnsi" w:hAnsiTheme="minorHAnsi" w:cstheme="minorBidi"/>
          <w:sz w:val="22"/>
          <w:szCs w:val="22"/>
        </w:rPr>
        <w:t xml:space="preserve">mlouvě je pořízen ve dvou stejnopisech </w:t>
      </w:r>
      <w:r w:rsidR="00FB15B0">
        <w:rPr>
          <w:rFonts w:asciiTheme="minorHAnsi" w:hAnsiTheme="minorHAnsi" w:cstheme="minorBidi"/>
          <w:sz w:val="22"/>
          <w:szCs w:val="22"/>
        </w:rPr>
        <w:t xml:space="preserve">v písemné podobě </w:t>
      </w:r>
      <w:r w:rsidRPr="41E788CD">
        <w:rPr>
          <w:rFonts w:asciiTheme="minorHAnsi" w:hAnsiTheme="minorHAnsi" w:cstheme="minorBidi"/>
          <w:sz w:val="22"/>
          <w:szCs w:val="22"/>
        </w:rPr>
        <w:t xml:space="preserve">s platností originálu, z nichž každá ze smluvních stran </w:t>
      </w:r>
      <w:proofErr w:type="gramStart"/>
      <w:r w:rsidRPr="41E788CD">
        <w:rPr>
          <w:rFonts w:asciiTheme="minorHAnsi" w:hAnsiTheme="minorHAnsi" w:cstheme="minorBidi"/>
          <w:sz w:val="22"/>
          <w:szCs w:val="22"/>
        </w:rPr>
        <w:t>obdrží</w:t>
      </w:r>
      <w:proofErr w:type="gramEnd"/>
      <w:r w:rsidRPr="41E788CD">
        <w:rPr>
          <w:rFonts w:asciiTheme="minorHAnsi" w:hAnsiTheme="minorHAnsi" w:cstheme="minorBidi"/>
          <w:sz w:val="22"/>
          <w:szCs w:val="22"/>
        </w:rPr>
        <w:t xml:space="preserve"> </w:t>
      </w:r>
      <w:r w:rsidR="004E26AF">
        <w:rPr>
          <w:rFonts w:asciiTheme="minorHAnsi" w:hAnsiTheme="minorHAnsi" w:cstheme="minorBidi"/>
          <w:sz w:val="22"/>
          <w:szCs w:val="22"/>
        </w:rPr>
        <w:t xml:space="preserve">po </w:t>
      </w:r>
      <w:r w:rsidRPr="41E788CD">
        <w:rPr>
          <w:rFonts w:asciiTheme="minorHAnsi" w:hAnsiTheme="minorHAnsi" w:cstheme="minorBidi"/>
          <w:sz w:val="22"/>
          <w:szCs w:val="22"/>
        </w:rPr>
        <w:t>jednom vyhotovení.</w:t>
      </w:r>
    </w:p>
    <w:p w14:paraId="2E63CF3E" w14:textId="77777777" w:rsidR="00B976E1" w:rsidRPr="004B6EDE" w:rsidRDefault="00B976E1" w:rsidP="47D603D8">
      <w:pPr>
        <w:pStyle w:val="Odstavecseseznamem"/>
        <w:snapToGrid w:val="0"/>
        <w:spacing w:before="120"/>
        <w:ind w:left="426"/>
        <w:contextualSpacing w:val="0"/>
        <w:rPr>
          <w:rFonts w:asciiTheme="minorHAnsi" w:hAnsiTheme="minorHAnsi" w:cstheme="minorBidi"/>
          <w:sz w:val="22"/>
          <w:szCs w:val="22"/>
        </w:rPr>
      </w:pPr>
    </w:p>
    <w:p w14:paraId="115FDF68" w14:textId="04A75EAD" w:rsidR="00753CB8" w:rsidRPr="00753CB8" w:rsidRDefault="00753CB8" w:rsidP="47D603D8">
      <w:pPr>
        <w:tabs>
          <w:tab w:val="left" w:pos="5670"/>
        </w:tabs>
        <w:rPr>
          <w:rFonts w:asciiTheme="minorHAnsi" w:hAnsiTheme="minorHAnsi" w:cstheme="minorBidi"/>
          <w:sz w:val="22"/>
          <w:szCs w:val="22"/>
        </w:rPr>
      </w:pPr>
      <w:r w:rsidRPr="47D603D8">
        <w:rPr>
          <w:rFonts w:asciiTheme="minorHAnsi" w:hAnsiTheme="minorHAnsi" w:cstheme="minorBidi"/>
          <w:sz w:val="22"/>
          <w:szCs w:val="22"/>
        </w:rPr>
        <w:t>V Praze dne:</w:t>
      </w:r>
      <w:r w:rsidR="00E85612">
        <w:rPr>
          <w:rFonts w:asciiTheme="minorHAnsi" w:hAnsiTheme="minorHAnsi" w:cstheme="minorBidi"/>
          <w:sz w:val="22"/>
          <w:szCs w:val="22"/>
        </w:rPr>
        <w:t xml:space="preserve"> 9.1.2024</w:t>
      </w:r>
      <w:r>
        <w:rPr>
          <w:rFonts w:asciiTheme="minorHAnsi" w:hAnsiTheme="minorHAnsi" w:cstheme="minorHAnsi"/>
          <w:sz w:val="22"/>
          <w:szCs w:val="22"/>
        </w:rPr>
        <w:tab/>
      </w:r>
      <w:r w:rsidRPr="47D603D8">
        <w:rPr>
          <w:rFonts w:asciiTheme="minorHAnsi" w:hAnsiTheme="minorHAnsi" w:cstheme="minorBidi"/>
          <w:sz w:val="22"/>
          <w:szCs w:val="22"/>
        </w:rPr>
        <w:t>V Praze dne:</w:t>
      </w:r>
    </w:p>
    <w:p w14:paraId="260A42BE" w14:textId="091E4408" w:rsidR="00753CB8" w:rsidRPr="00753CB8" w:rsidRDefault="00C50B47" w:rsidP="47D603D8">
      <w:pPr>
        <w:tabs>
          <w:tab w:val="left" w:pos="5670"/>
        </w:tabs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Od</w:t>
      </w:r>
      <w:r w:rsidR="00A67B7A">
        <w:rPr>
          <w:rFonts w:asciiTheme="minorHAnsi" w:hAnsiTheme="minorHAnsi" w:cstheme="minorBidi"/>
          <w:sz w:val="22"/>
          <w:szCs w:val="22"/>
        </w:rPr>
        <w:t>b</w:t>
      </w:r>
      <w:r>
        <w:rPr>
          <w:rFonts w:asciiTheme="minorHAnsi" w:hAnsiTheme="minorHAnsi" w:cstheme="minorBidi"/>
          <w:sz w:val="22"/>
          <w:szCs w:val="22"/>
        </w:rPr>
        <w:t>ěratel</w:t>
      </w:r>
      <w:r w:rsidR="00753CB8" w:rsidRPr="47D603D8">
        <w:rPr>
          <w:rFonts w:asciiTheme="minorHAnsi" w:hAnsiTheme="minorHAnsi" w:cstheme="minorBidi"/>
          <w:sz w:val="22"/>
          <w:szCs w:val="22"/>
        </w:rPr>
        <w:t>:</w:t>
      </w:r>
      <w:r w:rsidR="00DD2A67"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>Dodavatel</w:t>
      </w:r>
      <w:r w:rsidR="00753CB8" w:rsidRPr="47D603D8">
        <w:rPr>
          <w:rFonts w:asciiTheme="minorHAnsi" w:hAnsiTheme="minorHAnsi" w:cstheme="minorBidi"/>
          <w:sz w:val="22"/>
          <w:szCs w:val="22"/>
        </w:rPr>
        <w:t>:</w:t>
      </w:r>
    </w:p>
    <w:p w14:paraId="72AF4212" w14:textId="77777777" w:rsidR="00753CB8" w:rsidRDefault="00753CB8" w:rsidP="00753CB8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48869E94" w14:textId="77777777" w:rsidR="00753CB8" w:rsidRDefault="00753CB8" w:rsidP="00753CB8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24559FF7" w14:textId="77777777" w:rsidR="00370BB1" w:rsidRDefault="00370BB1" w:rsidP="00753CB8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03CE8AE3" w14:textId="47E1010A" w:rsidR="00370BB1" w:rsidRDefault="00370BB1" w:rsidP="00753CB8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>-------------------------------------------</w:t>
      </w:r>
      <w:r>
        <w:rPr>
          <w:rStyle w:val="normaltextrun"/>
          <w:rFonts w:asciiTheme="minorHAnsi" w:hAnsiTheme="minorHAnsi" w:cstheme="minorHAnsi"/>
          <w:b/>
          <w:sz w:val="22"/>
          <w:szCs w:val="22"/>
        </w:rPr>
        <w:tab/>
      </w:r>
      <w:r w:rsidR="00ED725E">
        <w:rPr>
          <w:rStyle w:val="normaltextrun"/>
          <w:rFonts w:asciiTheme="minorHAnsi" w:hAnsiTheme="minorHAnsi" w:cstheme="minorHAnsi"/>
          <w:b/>
          <w:sz w:val="22"/>
          <w:szCs w:val="22"/>
        </w:rPr>
        <w:t>--------------------------------------------</w:t>
      </w:r>
    </w:p>
    <w:p w14:paraId="6F7E7F49" w14:textId="6B8841C4" w:rsidR="00753CB8" w:rsidRPr="00753CB8" w:rsidRDefault="00753CB8" w:rsidP="00753CB8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753CB8">
        <w:rPr>
          <w:rStyle w:val="normaltextrun"/>
          <w:rFonts w:asciiTheme="minorHAnsi" w:hAnsiTheme="minorHAnsi" w:cstheme="minorHAnsi"/>
          <w:b/>
          <w:sz w:val="22"/>
          <w:szCs w:val="22"/>
        </w:rPr>
        <w:t>Muzeum hlavního města Prahy</w:t>
      </w:r>
      <w:r>
        <w:rPr>
          <w:rFonts w:ascii="Calibri" w:eastAsiaTheme="minorHAnsi" w:hAnsi="Calibri" w:cs="Calibri"/>
          <w:b/>
          <w:bCs/>
          <w:color w:val="00000A"/>
          <w:sz w:val="29"/>
          <w:szCs w:val="29"/>
          <w:lang w:eastAsia="en-US"/>
        </w:rPr>
        <w:t> </w:t>
      </w:r>
      <w:r>
        <w:rPr>
          <w:rFonts w:ascii="Calibri" w:eastAsiaTheme="minorHAnsi" w:hAnsi="Calibri" w:cs="Calibri"/>
          <w:b/>
          <w:bCs/>
          <w:color w:val="00000A"/>
          <w:sz w:val="29"/>
          <w:szCs w:val="29"/>
          <w:lang w:eastAsia="en-US"/>
        </w:rPr>
        <w:tab/>
      </w:r>
      <w:r w:rsidR="00106FC5" w:rsidRPr="00106FC5">
        <w:rPr>
          <w:rFonts w:ascii="Calibri" w:eastAsiaTheme="minorHAnsi" w:hAnsi="Calibri" w:cs="Calibri"/>
          <w:b/>
          <w:bCs/>
          <w:color w:val="00000A"/>
          <w:sz w:val="22"/>
          <w:szCs w:val="22"/>
          <w:lang w:eastAsia="en-US"/>
        </w:rPr>
        <w:t>INDUS Praha</w:t>
      </w:r>
      <w:r w:rsidR="009150A6">
        <w:rPr>
          <w:rFonts w:ascii="Calibri" w:eastAsiaTheme="minorHAnsi" w:hAnsi="Calibri" w:cs="Calibri"/>
          <w:b/>
          <w:bCs/>
          <w:color w:val="00000A"/>
          <w:sz w:val="22"/>
          <w:szCs w:val="22"/>
          <w:lang w:eastAsia="en-US"/>
        </w:rPr>
        <w:t>, spol. s.r.o.</w:t>
      </w:r>
    </w:p>
    <w:p w14:paraId="62E60675" w14:textId="057D75D2" w:rsidR="00753CB8" w:rsidRPr="00753CB8" w:rsidRDefault="00426F91" w:rsidP="00753CB8">
      <w:pPr>
        <w:tabs>
          <w:tab w:val="left" w:pos="5670"/>
        </w:tabs>
        <w:rPr>
          <w:rStyle w:val="normaltextrun"/>
          <w:rFonts w:ascii="Calibri" w:hAnsi="Calibri" w:cs="Calibri"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RNDr</w:t>
      </w:r>
      <w:r w:rsidR="00753CB8" w:rsidRPr="00753CB8"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Ing. Ivo Macek</w:t>
      </w:r>
      <w:r w:rsidR="00753CB8">
        <w:rPr>
          <w:rStyle w:val="normaltextrun"/>
          <w:rFonts w:ascii="Calibri" w:hAnsi="Calibri" w:cs="Calibri"/>
          <w:color w:val="00000A"/>
          <w:sz w:val="22"/>
          <w:szCs w:val="22"/>
        </w:rPr>
        <w:tab/>
      </w:r>
      <w:r w:rsidR="009B53E0">
        <w:rPr>
          <w:rStyle w:val="normaltextrun"/>
          <w:rFonts w:ascii="Calibri" w:hAnsi="Calibri" w:cs="Calibri"/>
          <w:color w:val="00000A"/>
          <w:sz w:val="22"/>
          <w:szCs w:val="22"/>
        </w:rPr>
        <w:t>Ing. Pavel Kudrna</w:t>
      </w:r>
    </w:p>
    <w:p w14:paraId="2D92A8EC" w14:textId="6F825605" w:rsidR="00773CFE" w:rsidRPr="00753CB8" w:rsidRDefault="00A82FA3" w:rsidP="00753CB8">
      <w:pPr>
        <w:tabs>
          <w:tab w:val="left" w:pos="5670"/>
        </w:tabs>
        <w:rPr>
          <w:rFonts w:ascii="Calibri" w:hAnsi="Calibri" w:cs="Calibri"/>
          <w:color w:val="00000A"/>
          <w:sz w:val="22"/>
          <w:szCs w:val="22"/>
        </w:rPr>
      </w:pPr>
      <w:r w:rsidRPr="00753CB8">
        <w:rPr>
          <w:rStyle w:val="normaltextrun"/>
          <w:rFonts w:ascii="Calibri" w:hAnsi="Calibri" w:cs="Calibri"/>
          <w:color w:val="00000A"/>
          <w:sz w:val="22"/>
          <w:szCs w:val="22"/>
        </w:rPr>
        <w:t>Ř</w:t>
      </w:r>
      <w:r w:rsidR="00753CB8" w:rsidRPr="00753CB8">
        <w:rPr>
          <w:rStyle w:val="normaltextrun"/>
          <w:rFonts w:ascii="Calibri" w:hAnsi="Calibri" w:cs="Calibri"/>
          <w:color w:val="00000A"/>
          <w:sz w:val="22"/>
          <w:szCs w:val="22"/>
        </w:rPr>
        <w:t>editel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Muzea hl. m. Prahy</w:t>
      </w:r>
      <w:r w:rsidR="00753CB8" w:rsidRPr="00753CB8"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 w:rsidR="00753CB8">
        <w:rPr>
          <w:rStyle w:val="normaltextrun"/>
          <w:rFonts w:ascii="Calibri" w:hAnsi="Calibri" w:cs="Calibri"/>
          <w:color w:val="00000A"/>
          <w:sz w:val="22"/>
          <w:szCs w:val="22"/>
        </w:rPr>
        <w:tab/>
      </w:r>
      <w:r w:rsidR="009B53E0">
        <w:rPr>
          <w:rStyle w:val="normaltextrun"/>
          <w:rFonts w:ascii="Calibri" w:hAnsi="Calibri" w:cs="Calibri"/>
          <w:color w:val="00000A"/>
          <w:sz w:val="22"/>
          <w:szCs w:val="22"/>
        </w:rPr>
        <w:t>jednatel</w:t>
      </w:r>
    </w:p>
    <w:sectPr w:rsidR="00773CFE" w:rsidRPr="00753CB8" w:rsidSect="00A80FDE">
      <w:pgSz w:w="11900" w:h="16840"/>
      <w:pgMar w:top="1417" w:right="1417" w:bottom="94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CE5"/>
    <w:multiLevelType w:val="multilevel"/>
    <w:tmpl w:val="8DA67F9C"/>
    <w:lvl w:ilvl="0">
      <w:start w:val="1"/>
      <w:numFmt w:val="decimal"/>
      <w:lvlText w:val="%1."/>
      <w:lvlJc w:val="left"/>
      <w:pPr>
        <w:ind w:left="1134" w:firstLine="1134"/>
      </w:pPr>
      <w:rPr>
        <w:b/>
        <w:sz w:val="22"/>
        <w:szCs w:val="22"/>
      </w:rPr>
    </w:lvl>
    <w:lvl w:ilvl="1">
      <w:start w:val="1"/>
      <w:numFmt w:val="decimal"/>
      <w:pStyle w:val="Styl1"/>
      <w:lvlText w:val="%1.%2."/>
      <w:lvlJc w:val="left"/>
      <w:pPr>
        <w:ind w:left="1134" w:firstLine="1134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141" w:firstLine="1134"/>
      </w:pPr>
      <w:rPr>
        <w:b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ind w:left="1134" w:firstLine="1134"/>
      </w:pPr>
    </w:lvl>
    <w:lvl w:ilvl="4">
      <w:start w:val="1"/>
      <w:numFmt w:val="bullet"/>
      <w:lvlText w:val="●"/>
      <w:lvlJc w:val="left"/>
      <w:pPr>
        <w:ind w:left="1985" w:firstLine="3119"/>
      </w:pPr>
      <w:rPr>
        <w:rFonts w:ascii="Arial" w:eastAsia="Arial" w:hAnsi="Arial" w:cs="Arial"/>
      </w:rPr>
    </w:lvl>
    <w:lvl w:ilvl="5">
      <w:start w:val="1"/>
      <w:numFmt w:val="lowerRoman"/>
      <w:lvlText w:val="(%6)"/>
      <w:lvlJc w:val="left"/>
      <w:pPr>
        <w:ind w:left="2160" w:firstLine="3960"/>
      </w:pPr>
    </w:lvl>
    <w:lvl w:ilvl="6">
      <w:start w:val="1"/>
      <w:numFmt w:val="decimal"/>
      <w:lvlText w:val="%7."/>
      <w:lvlJc w:val="left"/>
      <w:pPr>
        <w:ind w:left="2520" w:firstLine="4680"/>
      </w:pPr>
    </w:lvl>
    <w:lvl w:ilvl="7">
      <w:start w:val="1"/>
      <w:numFmt w:val="lowerLetter"/>
      <w:lvlText w:val="%8."/>
      <w:lvlJc w:val="left"/>
      <w:pPr>
        <w:ind w:left="2880" w:firstLine="5400"/>
      </w:pPr>
    </w:lvl>
    <w:lvl w:ilvl="8">
      <w:start w:val="1"/>
      <w:numFmt w:val="lowerRoman"/>
      <w:lvlText w:val="%9."/>
      <w:lvlJc w:val="left"/>
      <w:pPr>
        <w:ind w:left="3240" w:firstLine="6120"/>
      </w:pPr>
    </w:lvl>
  </w:abstractNum>
  <w:abstractNum w:abstractNumId="1" w15:restartNumberingAfterBreak="0">
    <w:nsid w:val="2CCB277B"/>
    <w:multiLevelType w:val="hybridMultilevel"/>
    <w:tmpl w:val="82D6DFFE"/>
    <w:lvl w:ilvl="0" w:tplc="924860CE">
      <w:start w:val="1"/>
      <w:numFmt w:val="decimal"/>
      <w:lvlText w:val="%1."/>
      <w:lvlJc w:val="left"/>
      <w:pPr>
        <w:ind w:left="-106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345" w:hanging="360"/>
      </w:pPr>
    </w:lvl>
    <w:lvl w:ilvl="2" w:tplc="0405001B" w:tentative="1">
      <w:start w:val="1"/>
      <w:numFmt w:val="lowerRoman"/>
      <w:lvlText w:val="%3."/>
      <w:lvlJc w:val="right"/>
      <w:pPr>
        <w:ind w:left="375" w:hanging="180"/>
      </w:pPr>
    </w:lvl>
    <w:lvl w:ilvl="3" w:tplc="0405000F" w:tentative="1">
      <w:start w:val="1"/>
      <w:numFmt w:val="decimal"/>
      <w:lvlText w:val="%4."/>
      <w:lvlJc w:val="left"/>
      <w:pPr>
        <w:ind w:left="1095" w:hanging="360"/>
      </w:pPr>
    </w:lvl>
    <w:lvl w:ilvl="4" w:tplc="04050019" w:tentative="1">
      <w:start w:val="1"/>
      <w:numFmt w:val="lowerLetter"/>
      <w:lvlText w:val="%5."/>
      <w:lvlJc w:val="left"/>
      <w:pPr>
        <w:ind w:left="1815" w:hanging="360"/>
      </w:pPr>
    </w:lvl>
    <w:lvl w:ilvl="5" w:tplc="0405001B" w:tentative="1">
      <w:start w:val="1"/>
      <w:numFmt w:val="lowerRoman"/>
      <w:lvlText w:val="%6."/>
      <w:lvlJc w:val="right"/>
      <w:pPr>
        <w:ind w:left="2535" w:hanging="180"/>
      </w:pPr>
    </w:lvl>
    <w:lvl w:ilvl="6" w:tplc="0405000F" w:tentative="1">
      <w:start w:val="1"/>
      <w:numFmt w:val="decimal"/>
      <w:lvlText w:val="%7."/>
      <w:lvlJc w:val="left"/>
      <w:pPr>
        <w:ind w:left="3255" w:hanging="360"/>
      </w:pPr>
    </w:lvl>
    <w:lvl w:ilvl="7" w:tplc="04050019" w:tentative="1">
      <w:start w:val="1"/>
      <w:numFmt w:val="lowerLetter"/>
      <w:lvlText w:val="%8."/>
      <w:lvlJc w:val="left"/>
      <w:pPr>
        <w:ind w:left="3975" w:hanging="360"/>
      </w:pPr>
    </w:lvl>
    <w:lvl w:ilvl="8" w:tplc="040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" w15:restartNumberingAfterBreak="0">
    <w:nsid w:val="5D945075"/>
    <w:multiLevelType w:val="hybridMultilevel"/>
    <w:tmpl w:val="67AEDCB4"/>
    <w:lvl w:ilvl="0" w:tplc="9AAE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560526">
    <w:abstractNumId w:val="0"/>
  </w:num>
  <w:num w:numId="2" w16cid:durableId="1351102438">
    <w:abstractNumId w:val="1"/>
  </w:num>
  <w:num w:numId="3" w16cid:durableId="2605319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A"/>
    <w:rsid w:val="00011356"/>
    <w:rsid w:val="00055FFD"/>
    <w:rsid w:val="00075A7B"/>
    <w:rsid w:val="00084BCC"/>
    <w:rsid w:val="00096F07"/>
    <w:rsid w:val="00096F11"/>
    <w:rsid w:val="000D2579"/>
    <w:rsid w:val="000E3413"/>
    <w:rsid w:val="00106FC5"/>
    <w:rsid w:val="00145EB6"/>
    <w:rsid w:val="00156FE4"/>
    <w:rsid w:val="001578B0"/>
    <w:rsid w:val="0019493D"/>
    <w:rsid w:val="0021000A"/>
    <w:rsid w:val="00250731"/>
    <w:rsid w:val="00270805"/>
    <w:rsid w:val="0027411A"/>
    <w:rsid w:val="00296A1F"/>
    <w:rsid w:val="002A2F59"/>
    <w:rsid w:val="002B03FC"/>
    <w:rsid w:val="002B1F82"/>
    <w:rsid w:val="002D0D7D"/>
    <w:rsid w:val="002F0182"/>
    <w:rsid w:val="002F358F"/>
    <w:rsid w:val="00320C15"/>
    <w:rsid w:val="0033055A"/>
    <w:rsid w:val="003430F4"/>
    <w:rsid w:val="00347E0A"/>
    <w:rsid w:val="003609AC"/>
    <w:rsid w:val="00370BB1"/>
    <w:rsid w:val="003844E7"/>
    <w:rsid w:val="00384FFE"/>
    <w:rsid w:val="00387F1E"/>
    <w:rsid w:val="003916C9"/>
    <w:rsid w:val="003B131A"/>
    <w:rsid w:val="003F6404"/>
    <w:rsid w:val="00426F91"/>
    <w:rsid w:val="00465AAA"/>
    <w:rsid w:val="00472E9D"/>
    <w:rsid w:val="004A3B6B"/>
    <w:rsid w:val="004A40E5"/>
    <w:rsid w:val="004A6ADE"/>
    <w:rsid w:val="004B6EDE"/>
    <w:rsid w:val="004C1DFA"/>
    <w:rsid w:val="004C4816"/>
    <w:rsid w:val="004D51B1"/>
    <w:rsid w:val="004E26AF"/>
    <w:rsid w:val="004F7133"/>
    <w:rsid w:val="005166FB"/>
    <w:rsid w:val="00534B78"/>
    <w:rsid w:val="00546D33"/>
    <w:rsid w:val="0055101A"/>
    <w:rsid w:val="00583AD2"/>
    <w:rsid w:val="005B2A01"/>
    <w:rsid w:val="005C0D4B"/>
    <w:rsid w:val="005E76D2"/>
    <w:rsid w:val="005F1512"/>
    <w:rsid w:val="00622572"/>
    <w:rsid w:val="00652214"/>
    <w:rsid w:val="0066000C"/>
    <w:rsid w:val="00660658"/>
    <w:rsid w:val="00662687"/>
    <w:rsid w:val="006B2083"/>
    <w:rsid w:val="006B45EE"/>
    <w:rsid w:val="006D0BD1"/>
    <w:rsid w:val="00710E43"/>
    <w:rsid w:val="00716D7F"/>
    <w:rsid w:val="00746418"/>
    <w:rsid w:val="00753CB8"/>
    <w:rsid w:val="0075452B"/>
    <w:rsid w:val="00771D1E"/>
    <w:rsid w:val="00773CFE"/>
    <w:rsid w:val="00776A48"/>
    <w:rsid w:val="00787D17"/>
    <w:rsid w:val="00791679"/>
    <w:rsid w:val="007970C6"/>
    <w:rsid w:val="007C4B0A"/>
    <w:rsid w:val="007C517B"/>
    <w:rsid w:val="007D0BB8"/>
    <w:rsid w:val="00816A73"/>
    <w:rsid w:val="00852878"/>
    <w:rsid w:val="0087726D"/>
    <w:rsid w:val="00887876"/>
    <w:rsid w:val="008A0980"/>
    <w:rsid w:val="008A3DCD"/>
    <w:rsid w:val="008B3569"/>
    <w:rsid w:val="008C441E"/>
    <w:rsid w:val="009150A6"/>
    <w:rsid w:val="009443C1"/>
    <w:rsid w:val="00972647"/>
    <w:rsid w:val="009748EA"/>
    <w:rsid w:val="00991467"/>
    <w:rsid w:val="00991CD1"/>
    <w:rsid w:val="00991FE9"/>
    <w:rsid w:val="009B53E0"/>
    <w:rsid w:val="009C5675"/>
    <w:rsid w:val="009D18EB"/>
    <w:rsid w:val="00A03F8E"/>
    <w:rsid w:val="00A2042E"/>
    <w:rsid w:val="00A21AB7"/>
    <w:rsid w:val="00A556AA"/>
    <w:rsid w:val="00A64802"/>
    <w:rsid w:val="00A67B7A"/>
    <w:rsid w:val="00A73EA5"/>
    <w:rsid w:val="00A77F09"/>
    <w:rsid w:val="00A80FDE"/>
    <w:rsid w:val="00A82FA3"/>
    <w:rsid w:val="00A856EF"/>
    <w:rsid w:val="00A85A86"/>
    <w:rsid w:val="00A96203"/>
    <w:rsid w:val="00AD25E5"/>
    <w:rsid w:val="00AE1BC1"/>
    <w:rsid w:val="00B22B28"/>
    <w:rsid w:val="00B36B71"/>
    <w:rsid w:val="00B874A4"/>
    <w:rsid w:val="00B976E1"/>
    <w:rsid w:val="00BA6CF9"/>
    <w:rsid w:val="00BB4B6D"/>
    <w:rsid w:val="00BC6C1B"/>
    <w:rsid w:val="00C21E61"/>
    <w:rsid w:val="00C232B2"/>
    <w:rsid w:val="00C24984"/>
    <w:rsid w:val="00C4191C"/>
    <w:rsid w:val="00C50B47"/>
    <w:rsid w:val="00CC3264"/>
    <w:rsid w:val="00CE627D"/>
    <w:rsid w:val="00D05A0D"/>
    <w:rsid w:val="00D1096B"/>
    <w:rsid w:val="00D13B0C"/>
    <w:rsid w:val="00D34423"/>
    <w:rsid w:val="00D41883"/>
    <w:rsid w:val="00D63F0F"/>
    <w:rsid w:val="00D726E5"/>
    <w:rsid w:val="00D72870"/>
    <w:rsid w:val="00DD2A67"/>
    <w:rsid w:val="00DE6E36"/>
    <w:rsid w:val="00DF4FF5"/>
    <w:rsid w:val="00E00A36"/>
    <w:rsid w:val="00E62F83"/>
    <w:rsid w:val="00E85612"/>
    <w:rsid w:val="00EA1D1F"/>
    <w:rsid w:val="00EA5E5F"/>
    <w:rsid w:val="00ED725E"/>
    <w:rsid w:val="00F10DBE"/>
    <w:rsid w:val="00F26271"/>
    <w:rsid w:val="00F35A9D"/>
    <w:rsid w:val="00F512B3"/>
    <w:rsid w:val="00F51C79"/>
    <w:rsid w:val="00F63AB7"/>
    <w:rsid w:val="00FB0FC6"/>
    <w:rsid w:val="00FB15B0"/>
    <w:rsid w:val="00FD4877"/>
    <w:rsid w:val="00FD7F41"/>
    <w:rsid w:val="00FE48FE"/>
    <w:rsid w:val="29B324C0"/>
    <w:rsid w:val="41E788CD"/>
    <w:rsid w:val="47D603D8"/>
    <w:rsid w:val="680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BFBF"/>
  <w15:chartTrackingRefBased/>
  <w15:docId w15:val="{694D4893-3412-CD40-B8F5-8BFC1723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E0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22B28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52" w:lineRule="auto"/>
      <w:ind w:left="709" w:hanging="708"/>
      <w:jc w:val="both"/>
    </w:pPr>
    <w:rPr>
      <w:rFonts w:ascii="Calibri" w:hAnsi="Calibri" w:cs="Calibri"/>
      <w:color w:val="000000"/>
      <w:sz w:val="20"/>
      <w:szCs w:val="20"/>
      <w:lang w:eastAsia="en-GB"/>
    </w:rPr>
  </w:style>
  <w:style w:type="paragraph" w:customStyle="1" w:styleId="paragraph">
    <w:name w:val="paragraph"/>
    <w:basedOn w:val="Normln"/>
    <w:rsid w:val="00347E0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47E0A"/>
  </w:style>
  <w:style w:type="character" w:customStyle="1" w:styleId="eop">
    <w:name w:val="eop"/>
    <w:basedOn w:val="Standardnpsmoodstavce"/>
    <w:rsid w:val="00347E0A"/>
  </w:style>
  <w:style w:type="character" w:customStyle="1" w:styleId="spellingerror">
    <w:name w:val="spellingerror"/>
    <w:basedOn w:val="Standardnpsmoodstavce"/>
    <w:rsid w:val="00347E0A"/>
  </w:style>
  <w:style w:type="paragraph" w:styleId="Odstavecseseznamem">
    <w:name w:val="List Paragraph"/>
    <w:basedOn w:val="Normln"/>
    <w:uiPriority w:val="34"/>
    <w:qFormat/>
    <w:rsid w:val="0077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Kryl</dc:creator>
  <cp:keywords/>
  <dc:description/>
  <cp:lastModifiedBy>Vychodilová Gabriela</cp:lastModifiedBy>
  <cp:revision>105</cp:revision>
  <dcterms:created xsi:type="dcterms:W3CDTF">2024-01-10T10:23:00Z</dcterms:created>
  <dcterms:modified xsi:type="dcterms:W3CDTF">2024-01-26T11:33:00Z</dcterms:modified>
</cp:coreProperties>
</file>