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CA9" w:rsidRDefault="00CD427E">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p>
    <w:p w:rsidR="00486CA9" w:rsidRDefault="00CD427E">
      <w:pPr>
        <w:rPr>
          <w:rFonts w:ascii="Arial" w:hAnsi="Arial" w:cs="Arial"/>
        </w:rPr>
      </w:pPr>
      <w:r>
        <w:rPr>
          <w:rFonts w:ascii="Arial" w:hAnsi="Arial" w:cs="Arial"/>
          <w:sz w:val="18"/>
          <w:szCs w:val="18"/>
        </w:rPr>
        <w:t xml:space="preserve">Č. </w:t>
      </w:r>
      <w:proofErr w:type="spellStart"/>
      <w:r>
        <w:rPr>
          <w:rFonts w:ascii="Arial" w:hAnsi="Arial" w:cs="Arial"/>
          <w:sz w:val="18"/>
          <w:szCs w:val="18"/>
        </w:rPr>
        <w:t>sml</w:t>
      </w:r>
      <w:proofErr w:type="spellEnd"/>
      <w:r>
        <w:rPr>
          <w:rFonts w:ascii="Arial" w:hAnsi="Arial" w:cs="Arial"/>
          <w:sz w:val="18"/>
          <w:szCs w:val="18"/>
        </w:rPr>
        <w:t xml:space="preserve">. </w:t>
      </w:r>
      <w:proofErr w:type="gramStart"/>
      <w:r>
        <w:rPr>
          <w:rFonts w:ascii="Arial" w:hAnsi="Arial" w:cs="Arial"/>
          <w:sz w:val="18"/>
          <w:szCs w:val="18"/>
        </w:rPr>
        <w:t xml:space="preserve">objednatele:   </w:t>
      </w:r>
      <w:proofErr w:type="gramEnd"/>
      <w:r>
        <w:rPr>
          <w:rFonts w:ascii="Arial" w:hAnsi="Arial" w:cs="Arial"/>
          <w:sz w:val="18"/>
          <w:szCs w:val="18"/>
        </w:rPr>
        <w:t xml:space="preserve">    </w:t>
      </w:r>
      <w:r w:rsidR="00FE332A">
        <w:rPr>
          <w:rFonts w:ascii="Arial" w:hAnsi="Arial" w:cs="Arial"/>
          <w:sz w:val="18"/>
          <w:szCs w:val="18"/>
        </w:rPr>
        <w:t>S-0010</w:t>
      </w:r>
      <w:r>
        <w:rPr>
          <w:rFonts w:ascii="Arial" w:hAnsi="Arial" w:cs="Arial"/>
          <w:sz w:val="18"/>
          <w:szCs w:val="18"/>
        </w:rPr>
        <w:t>/18620442/2024,</w:t>
      </w:r>
    </w:p>
    <w:p w:rsidR="00486CA9" w:rsidRDefault="00CD427E">
      <w:pPr>
        <w:spacing w:after="0"/>
        <w:rPr>
          <w:rFonts w:ascii="Arial" w:hAnsi="Arial" w:cs="Arial"/>
          <w:b/>
        </w:rPr>
      </w:pPr>
      <w:r>
        <w:rPr>
          <w:rFonts w:ascii="Arial" w:hAnsi="Arial" w:cs="Arial"/>
          <w:b/>
        </w:rPr>
        <w:t xml:space="preserve">Integrovaná střední škola technická, Benešov, </w:t>
      </w:r>
      <w:proofErr w:type="spellStart"/>
      <w:r>
        <w:rPr>
          <w:rFonts w:ascii="Arial" w:hAnsi="Arial" w:cs="Arial"/>
          <w:b/>
        </w:rPr>
        <w:t>Černoleská</w:t>
      </w:r>
      <w:proofErr w:type="spellEnd"/>
      <w:r>
        <w:rPr>
          <w:rFonts w:ascii="Arial" w:hAnsi="Arial" w:cs="Arial"/>
          <w:b/>
        </w:rPr>
        <w:t xml:space="preserve"> 1997</w:t>
      </w:r>
    </w:p>
    <w:p w:rsidR="00486CA9" w:rsidRDefault="00486CA9">
      <w:pPr>
        <w:spacing w:after="0"/>
        <w:rPr>
          <w:rFonts w:ascii="Arial" w:hAnsi="Arial" w:cs="Arial"/>
          <w:b/>
        </w:rPr>
      </w:pPr>
    </w:p>
    <w:p w:rsidR="00486CA9" w:rsidRDefault="00CD427E">
      <w:pPr>
        <w:spacing w:after="0"/>
        <w:rPr>
          <w:rFonts w:ascii="Arial" w:hAnsi="Arial" w:cs="Arial"/>
        </w:rPr>
      </w:pPr>
      <w:r>
        <w:rPr>
          <w:rFonts w:ascii="Arial" w:hAnsi="Arial" w:cs="Arial"/>
        </w:rPr>
        <w:t xml:space="preserve">se sídlem: </w:t>
      </w:r>
      <w:proofErr w:type="spellStart"/>
      <w:r>
        <w:rPr>
          <w:rFonts w:ascii="Arial" w:hAnsi="Arial" w:cs="Arial"/>
        </w:rPr>
        <w:t>Černoleská</w:t>
      </w:r>
      <w:proofErr w:type="spellEnd"/>
      <w:r>
        <w:rPr>
          <w:rFonts w:ascii="Arial" w:hAnsi="Arial" w:cs="Arial"/>
        </w:rPr>
        <w:t xml:space="preserve"> 1997, 256 01 Benešov</w:t>
      </w:r>
    </w:p>
    <w:p w:rsidR="00486CA9" w:rsidRDefault="00CD427E">
      <w:pPr>
        <w:spacing w:after="0"/>
        <w:rPr>
          <w:rFonts w:ascii="Arial" w:hAnsi="Arial" w:cs="Arial"/>
        </w:rPr>
      </w:pPr>
      <w:r>
        <w:rPr>
          <w:rFonts w:ascii="Arial" w:hAnsi="Arial" w:cs="Arial"/>
        </w:rPr>
        <w:t>zastoupená Mgr. Janou Fialovou, ředitelkou</w:t>
      </w:r>
    </w:p>
    <w:p w:rsidR="00486CA9" w:rsidRDefault="00CD427E">
      <w:pPr>
        <w:spacing w:after="0"/>
        <w:rPr>
          <w:rFonts w:ascii="Arial" w:hAnsi="Arial" w:cs="Arial"/>
        </w:rPr>
      </w:pPr>
      <w:r>
        <w:rPr>
          <w:rFonts w:ascii="Arial" w:hAnsi="Arial" w:cs="Arial"/>
        </w:rPr>
        <w:t>tel. 317724575, 727854307</w:t>
      </w:r>
    </w:p>
    <w:p w:rsidR="00486CA9" w:rsidRDefault="00CD427E">
      <w:pPr>
        <w:spacing w:after="0"/>
        <w:rPr>
          <w:rFonts w:ascii="Arial" w:hAnsi="Arial" w:cs="Arial"/>
        </w:rPr>
      </w:pPr>
      <w:r>
        <w:rPr>
          <w:rFonts w:ascii="Arial" w:hAnsi="Arial" w:cs="Arial"/>
        </w:rPr>
        <w:t>IČO 18620442</w:t>
      </w:r>
    </w:p>
    <w:p w:rsidR="00486CA9" w:rsidRDefault="00CD427E">
      <w:pPr>
        <w:spacing w:after="0"/>
        <w:rPr>
          <w:rFonts w:ascii="Arial" w:hAnsi="Arial" w:cs="Arial"/>
        </w:rPr>
      </w:pPr>
      <w:r>
        <w:rPr>
          <w:rFonts w:ascii="Arial" w:hAnsi="Arial" w:cs="Arial"/>
        </w:rPr>
        <w:t>DIČ ---</w:t>
      </w:r>
    </w:p>
    <w:p w:rsidR="00486CA9" w:rsidRDefault="00CD427E">
      <w:pPr>
        <w:spacing w:after="0"/>
        <w:rPr>
          <w:rFonts w:ascii="Arial" w:hAnsi="Arial" w:cs="Arial"/>
        </w:rPr>
      </w:pPr>
      <w:r>
        <w:rPr>
          <w:rFonts w:ascii="Arial" w:hAnsi="Arial" w:cs="Arial"/>
        </w:rPr>
        <w:t>Bankovní spojení: 13939121/0100</w:t>
      </w:r>
    </w:p>
    <w:p w:rsidR="00486CA9" w:rsidRDefault="00CD427E">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(dále jen „Objednatel“)</w:t>
      </w:r>
    </w:p>
    <w:p w:rsidR="00486CA9" w:rsidRDefault="00CD427E">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w:t>
      </w:r>
    </w:p>
    <w:p w:rsidR="00486CA9" w:rsidRDefault="00CD427E">
      <w:pPr>
        <w:spacing w:after="0"/>
        <w:rPr>
          <w:shd w:val="clear" w:color="auto" w:fill="FFFFFF"/>
        </w:rPr>
      </w:pPr>
      <w:r>
        <w:rPr>
          <w:rFonts w:ascii="Arial" w:hAnsi="Arial" w:cs="Arial"/>
          <w:b/>
          <w:shd w:val="clear" w:color="auto" w:fill="FFFFFF"/>
        </w:rPr>
        <w:t xml:space="preserve">Obchodní firma: LKQ CZ s.r.o. </w:t>
      </w:r>
    </w:p>
    <w:p w:rsidR="00486CA9" w:rsidRDefault="00CD427E">
      <w:pPr>
        <w:spacing w:after="0"/>
        <w:rPr>
          <w:shd w:val="clear" w:color="auto" w:fill="FFFFFF"/>
        </w:rPr>
      </w:pPr>
      <w:r>
        <w:rPr>
          <w:rFonts w:ascii="Arial" w:hAnsi="Arial" w:cs="Arial"/>
          <w:shd w:val="clear" w:color="auto" w:fill="FFFFFF"/>
        </w:rPr>
        <w:t xml:space="preserve">se sídlem: Ocelářská 891/16, Vysočany, 19000 Praha 9 </w:t>
      </w:r>
    </w:p>
    <w:p w:rsidR="00486CA9" w:rsidRDefault="00CD427E">
      <w:pPr>
        <w:spacing w:after="0"/>
        <w:rPr>
          <w:shd w:val="clear" w:color="auto" w:fill="FFFFFF"/>
        </w:rPr>
      </w:pPr>
      <w:r>
        <w:rPr>
          <w:rFonts w:ascii="Arial" w:hAnsi="Arial" w:cs="Arial"/>
          <w:shd w:val="clear" w:color="auto" w:fill="FFFFFF"/>
        </w:rPr>
        <w:t xml:space="preserve">zastoupená: </w:t>
      </w:r>
      <w:r>
        <w:rPr>
          <w:rFonts w:ascii="Arial" w:hAnsi="Arial" w:cs="Arial"/>
          <w:shd w:val="clear" w:color="auto" w:fill="FFFFFF"/>
        </w:rPr>
        <w:tab/>
        <w:t xml:space="preserve">Petr </w:t>
      </w:r>
      <w:proofErr w:type="spellStart"/>
      <w:r>
        <w:rPr>
          <w:rFonts w:ascii="Arial" w:hAnsi="Arial" w:cs="Arial"/>
          <w:shd w:val="clear" w:color="auto" w:fill="FFFFFF"/>
        </w:rPr>
        <w:t>Wehrenberg</w:t>
      </w:r>
      <w:proofErr w:type="spellEnd"/>
      <w:r>
        <w:rPr>
          <w:rFonts w:ascii="Arial" w:hAnsi="Arial" w:cs="Arial"/>
          <w:shd w:val="clear" w:color="auto" w:fill="FFFFFF"/>
        </w:rPr>
        <w:t xml:space="preserve"> </w:t>
      </w:r>
      <w:r>
        <w:rPr>
          <w:rFonts w:ascii="Arial" w:hAnsi="Arial" w:cs="Arial"/>
          <w:shd w:val="clear" w:color="auto" w:fill="FFFFFF"/>
        </w:rPr>
        <w:br/>
        <w:t>tel.: +420 317 700 740</w:t>
      </w:r>
    </w:p>
    <w:p w:rsidR="00486CA9" w:rsidRDefault="00CD427E">
      <w:pPr>
        <w:spacing w:after="0"/>
        <w:rPr>
          <w:shd w:val="clear" w:color="auto" w:fill="FFFFFF"/>
        </w:rPr>
      </w:pPr>
      <w:r>
        <w:rPr>
          <w:rFonts w:ascii="Arial" w:hAnsi="Arial" w:cs="Arial"/>
          <w:shd w:val="clear" w:color="auto" w:fill="FFFFFF"/>
        </w:rPr>
        <w:t>IČO: 24787426</w:t>
      </w:r>
    </w:p>
    <w:p w:rsidR="00486CA9" w:rsidRDefault="00CD427E">
      <w:pPr>
        <w:spacing w:after="0"/>
        <w:rPr>
          <w:shd w:val="clear" w:color="auto" w:fill="FFFFFF"/>
        </w:rPr>
      </w:pPr>
      <w:r>
        <w:rPr>
          <w:rFonts w:ascii="Arial" w:hAnsi="Arial" w:cs="Arial"/>
          <w:shd w:val="clear" w:color="auto" w:fill="FFFFFF"/>
        </w:rPr>
        <w:t xml:space="preserve">DIČ: CZ24787426 </w:t>
      </w:r>
    </w:p>
    <w:p w:rsidR="00486CA9" w:rsidRDefault="00CD427E">
      <w:pPr>
        <w:spacing w:after="0"/>
        <w:rPr>
          <w:shd w:val="clear" w:color="auto" w:fill="FFFFFF"/>
        </w:rPr>
      </w:pPr>
      <w:r>
        <w:rPr>
          <w:rFonts w:ascii="Arial" w:hAnsi="Arial" w:cs="Arial"/>
          <w:shd w:val="clear" w:color="auto" w:fill="FFFFFF"/>
        </w:rPr>
        <w:t xml:space="preserve">bankovní spojení: </w:t>
      </w:r>
      <w:proofErr w:type="spellStart"/>
      <w:r>
        <w:rPr>
          <w:rFonts w:ascii="Arial" w:hAnsi="Arial" w:cs="Arial"/>
          <w:shd w:val="clear" w:color="auto" w:fill="FFFFFF"/>
        </w:rPr>
        <w:t>UniCredit</w:t>
      </w:r>
      <w:proofErr w:type="spellEnd"/>
    </w:p>
    <w:p w:rsidR="00486CA9" w:rsidRDefault="00CD427E">
      <w:pPr>
        <w:spacing w:after="0"/>
        <w:rPr>
          <w:shd w:val="clear" w:color="auto" w:fill="FFFFFF"/>
        </w:rPr>
      </w:pPr>
      <w:proofErr w:type="spellStart"/>
      <w:proofErr w:type="gramStart"/>
      <w:r>
        <w:rPr>
          <w:rFonts w:ascii="Arial" w:hAnsi="Arial" w:cs="Arial"/>
          <w:shd w:val="clear" w:color="auto" w:fill="FFFFFF"/>
        </w:rPr>
        <w:t>č.účtu</w:t>
      </w:r>
      <w:proofErr w:type="spellEnd"/>
      <w:proofErr w:type="gramEnd"/>
      <w:r>
        <w:rPr>
          <w:rFonts w:ascii="Arial" w:hAnsi="Arial" w:cs="Arial"/>
          <w:shd w:val="clear" w:color="auto" w:fill="FFFFFF"/>
        </w:rPr>
        <w:t xml:space="preserve">: 2105708047/2700 </w:t>
      </w:r>
    </w:p>
    <w:p w:rsidR="00486CA9" w:rsidRDefault="00CD427E">
      <w:pPr>
        <w:spacing w:after="0"/>
        <w:rPr>
          <w:shd w:val="clear" w:color="auto" w:fill="FFFFFF"/>
        </w:rPr>
      </w:pPr>
      <w:r>
        <w:rPr>
          <w:rFonts w:ascii="Arial" w:hAnsi="Arial" w:cs="Arial"/>
          <w:shd w:val="clear" w:color="auto" w:fill="FFFFFF"/>
        </w:rPr>
        <w:t>zapsaná Vedená u Městského soudu v Praze, oddíl C, složka 339418</w:t>
      </w:r>
    </w:p>
    <w:p w:rsidR="00486CA9" w:rsidRDefault="00CD427E">
      <w:pPr>
        <w:spacing w:after="0"/>
        <w:rPr>
          <w:rFonts w:ascii="Arial" w:hAnsi="Arial" w:cs="Arial"/>
        </w:rPr>
      </w:pPr>
      <w:r>
        <w:rPr>
          <w:rFonts w:ascii="Arial" w:hAnsi="Arial" w:cs="Arial"/>
        </w:rPr>
        <w:t>(dále jen „Dodavatel“)</w:t>
      </w:r>
    </w:p>
    <w:p w:rsidR="00486CA9" w:rsidRDefault="00486CA9">
      <w:pPr>
        <w:widowControl w:val="0"/>
        <w:jc w:val="both"/>
        <w:rPr>
          <w:rFonts w:ascii="Arial" w:hAnsi="Arial" w:cs="Arial"/>
          <w:b/>
        </w:rPr>
      </w:pPr>
    </w:p>
    <w:p w:rsidR="00486CA9" w:rsidRDefault="00CD427E">
      <w:pPr>
        <w:widowControl w:val="0"/>
        <w:rPr>
          <w:rFonts w:ascii="Arial" w:hAnsi="Arial" w:cs="Arial"/>
        </w:rPr>
      </w:pPr>
      <w:r>
        <w:rPr>
          <w:rFonts w:ascii="Arial" w:hAnsi="Arial" w:cs="Arial"/>
        </w:rPr>
        <w:t xml:space="preserve">uzavírají podle ustanovení § 21 a § 1746 zákona č. 89/2012 Sb., občanský zákoník, ve znění pozdějších předpisů, tuto </w:t>
      </w:r>
    </w:p>
    <w:p w:rsidR="00486CA9" w:rsidRDefault="00486CA9">
      <w:pPr>
        <w:widowControl w:val="0"/>
        <w:rPr>
          <w:rFonts w:ascii="Arial" w:hAnsi="Arial" w:cs="Arial"/>
        </w:rPr>
      </w:pPr>
    </w:p>
    <w:p w:rsidR="00486CA9" w:rsidRDefault="00CD427E">
      <w:pPr>
        <w:widowControl w:val="0"/>
        <w:jc w:val="center"/>
        <w:rPr>
          <w:rFonts w:ascii="Arial" w:hAnsi="Arial" w:cs="Arial"/>
          <w:b/>
        </w:rPr>
      </w:pPr>
      <w:r>
        <w:rPr>
          <w:rFonts w:ascii="Arial" w:hAnsi="Arial" w:cs="Arial"/>
          <w:b/>
        </w:rPr>
        <w:t>rámcovou smlouvu</w:t>
      </w:r>
    </w:p>
    <w:p w:rsidR="00486CA9" w:rsidRDefault="00CD427E">
      <w:pPr>
        <w:widowControl w:val="0"/>
        <w:jc w:val="center"/>
        <w:rPr>
          <w:rFonts w:ascii="Arial" w:hAnsi="Arial" w:cs="Arial"/>
          <w:b/>
        </w:rPr>
      </w:pPr>
      <w:r>
        <w:rPr>
          <w:rFonts w:ascii="Arial" w:hAnsi="Arial" w:cs="Arial"/>
          <w:b/>
        </w:rPr>
        <w:t xml:space="preserve">o opakovaných dodávkách automobilových náhradních dílů pro potřeby výuky a zajištění provozu na Integrované střední škole technické, Benešov, </w:t>
      </w:r>
      <w:proofErr w:type="spellStart"/>
      <w:r>
        <w:rPr>
          <w:rFonts w:ascii="Arial" w:hAnsi="Arial" w:cs="Arial"/>
          <w:b/>
        </w:rPr>
        <w:t>Černoleská</w:t>
      </w:r>
      <w:proofErr w:type="spellEnd"/>
      <w:r>
        <w:rPr>
          <w:rFonts w:ascii="Arial" w:hAnsi="Arial" w:cs="Arial"/>
          <w:b/>
        </w:rPr>
        <w:t xml:space="preserve"> 1997</w:t>
      </w:r>
    </w:p>
    <w:p w:rsidR="00486CA9" w:rsidRDefault="00486CA9">
      <w:pPr>
        <w:widowControl w:val="0"/>
        <w:jc w:val="center"/>
        <w:rPr>
          <w:rFonts w:ascii="Arial" w:hAnsi="Arial" w:cs="Arial"/>
          <w:b/>
        </w:rPr>
      </w:pPr>
    </w:p>
    <w:p w:rsidR="00486CA9" w:rsidRDefault="00486CA9">
      <w:pPr>
        <w:widowControl w:val="0"/>
        <w:rPr>
          <w:rFonts w:ascii="Arial" w:hAnsi="Arial" w:cs="Arial"/>
        </w:rPr>
      </w:pPr>
    </w:p>
    <w:p w:rsidR="00486CA9" w:rsidRDefault="00CD427E">
      <w:pPr>
        <w:widowControl w:val="0"/>
        <w:jc w:val="center"/>
        <w:rPr>
          <w:rFonts w:ascii="Arial" w:hAnsi="Arial" w:cs="Arial"/>
          <w:b/>
          <w:u w:val="single"/>
        </w:rPr>
      </w:pPr>
      <w:r>
        <w:rPr>
          <w:rFonts w:ascii="Arial" w:hAnsi="Arial" w:cs="Arial"/>
          <w:b/>
          <w:u w:val="single"/>
        </w:rPr>
        <w:t>I. Předmět díla</w:t>
      </w:r>
    </w:p>
    <w:p w:rsidR="00486CA9" w:rsidRDefault="00CD427E">
      <w:pPr>
        <w:widowControl w:val="0"/>
        <w:contextualSpacing/>
        <w:jc w:val="both"/>
        <w:rPr>
          <w:rFonts w:ascii="Arial" w:hAnsi="Arial" w:cs="Arial"/>
        </w:rPr>
      </w:pPr>
      <w:r>
        <w:rPr>
          <w:rFonts w:ascii="Arial" w:hAnsi="Arial" w:cs="Arial"/>
        </w:rPr>
        <w:t xml:space="preserve">Předmětem smlouvy jsou dodávky automobilových náhradních dílů ze sortimentu dodavatele pro potřeby výuky a zajištění provozu na Integrované střední škole technické, Benešov, </w:t>
      </w:r>
      <w:proofErr w:type="spellStart"/>
      <w:r>
        <w:rPr>
          <w:rFonts w:ascii="Arial" w:hAnsi="Arial" w:cs="Arial"/>
        </w:rPr>
        <w:t>Černoleská</w:t>
      </w:r>
      <w:proofErr w:type="spellEnd"/>
      <w:r>
        <w:rPr>
          <w:rFonts w:ascii="Arial" w:hAnsi="Arial" w:cs="Arial"/>
        </w:rPr>
        <w:t xml:space="preserve"> 1997 dle požadavků objednatele. </w:t>
      </w:r>
    </w:p>
    <w:p w:rsidR="00486CA9" w:rsidRDefault="00486CA9">
      <w:pPr>
        <w:widowControl w:val="0"/>
        <w:contextualSpacing/>
        <w:jc w:val="both"/>
        <w:rPr>
          <w:rFonts w:ascii="Arial" w:hAnsi="Arial" w:cs="Arial"/>
        </w:rPr>
      </w:pPr>
    </w:p>
    <w:p w:rsidR="00486CA9" w:rsidRDefault="00CD427E">
      <w:pPr>
        <w:widowControl w:val="0"/>
        <w:contextualSpacing/>
        <w:jc w:val="center"/>
        <w:rPr>
          <w:rFonts w:ascii="Arial" w:hAnsi="Arial" w:cs="Arial"/>
          <w:b/>
          <w:u w:val="single"/>
        </w:rPr>
      </w:pPr>
      <w:r>
        <w:rPr>
          <w:rFonts w:ascii="Arial" w:hAnsi="Arial" w:cs="Arial"/>
          <w:b/>
          <w:u w:val="single"/>
        </w:rPr>
        <w:t>II. Místo a čas plnění</w:t>
      </w:r>
    </w:p>
    <w:p w:rsidR="00486CA9" w:rsidRDefault="00486CA9">
      <w:pPr>
        <w:widowControl w:val="0"/>
        <w:contextualSpacing/>
        <w:jc w:val="center"/>
        <w:rPr>
          <w:rFonts w:ascii="Arial" w:hAnsi="Arial" w:cs="Arial"/>
          <w:b/>
        </w:rPr>
      </w:pPr>
    </w:p>
    <w:p w:rsidR="00486CA9" w:rsidRDefault="00CD427E">
      <w:pPr>
        <w:widowControl w:val="0"/>
        <w:contextualSpacing/>
        <w:jc w:val="both"/>
        <w:rPr>
          <w:rFonts w:ascii="Arial" w:hAnsi="Arial" w:cs="Arial"/>
        </w:rPr>
      </w:pPr>
      <w:r>
        <w:rPr>
          <w:rFonts w:ascii="Arial" w:hAnsi="Arial" w:cs="Arial"/>
        </w:rPr>
        <w:t>Materiál dodavatel dodá na adresu školy, tj. Černoleská1997, Benešov nebo na adresu své provozovny v Benešově, a to do 48 hodin od objednání zboží (soboty a neděle nepočítaje) s výjimkou zboží, které nespadá do běžného sortimentu dodavatele.</w:t>
      </w:r>
    </w:p>
    <w:p w:rsidR="00486CA9" w:rsidRDefault="00486CA9">
      <w:pPr>
        <w:widowControl w:val="0"/>
        <w:contextualSpacing/>
        <w:jc w:val="both"/>
        <w:rPr>
          <w:rFonts w:ascii="Arial" w:hAnsi="Arial" w:cs="Arial"/>
        </w:rPr>
      </w:pPr>
    </w:p>
    <w:p w:rsidR="00486CA9" w:rsidRDefault="00486CA9">
      <w:pPr>
        <w:widowControl w:val="0"/>
        <w:contextualSpacing/>
        <w:jc w:val="both"/>
        <w:rPr>
          <w:rFonts w:ascii="Arial" w:hAnsi="Arial" w:cs="Arial"/>
        </w:rPr>
      </w:pPr>
    </w:p>
    <w:p w:rsidR="00486CA9" w:rsidRDefault="00CD427E">
      <w:pPr>
        <w:widowControl w:val="0"/>
        <w:contextualSpacing/>
        <w:jc w:val="center"/>
        <w:rPr>
          <w:rFonts w:ascii="Arial" w:hAnsi="Arial" w:cs="Arial"/>
          <w:b/>
          <w:u w:val="single"/>
        </w:rPr>
      </w:pPr>
      <w:r>
        <w:rPr>
          <w:rFonts w:ascii="Arial" w:hAnsi="Arial" w:cs="Arial"/>
          <w:b/>
          <w:u w:val="single"/>
        </w:rPr>
        <w:t>III. Doba plnění</w:t>
      </w:r>
    </w:p>
    <w:p w:rsidR="00486CA9" w:rsidRDefault="00486CA9">
      <w:pPr>
        <w:widowControl w:val="0"/>
        <w:contextualSpacing/>
        <w:jc w:val="center"/>
        <w:rPr>
          <w:rFonts w:ascii="Arial" w:hAnsi="Arial" w:cs="Arial"/>
          <w:b/>
          <w:u w:val="single"/>
        </w:rPr>
      </w:pPr>
    </w:p>
    <w:p w:rsidR="00486CA9" w:rsidRDefault="00CD427E">
      <w:pPr>
        <w:widowControl w:val="0"/>
        <w:jc w:val="both"/>
        <w:rPr>
          <w:rFonts w:ascii="Arial" w:hAnsi="Arial" w:cs="Arial"/>
        </w:rPr>
      </w:pPr>
      <w:r>
        <w:rPr>
          <w:rFonts w:ascii="Arial" w:hAnsi="Arial" w:cs="Arial"/>
        </w:rPr>
        <w:t xml:space="preserve">Tato smlouva se uzavírá na dobu určitou, a to od 22. 01. 2024 do 30. 06. 2025 nebo do vyčerpání finančního limitu ve výši 480.000,- Kč bez DPH, a to podle toho, která z těchto skutečností nastane dříve. </w:t>
      </w:r>
    </w:p>
    <w:p w:rsidR="00486CA9" w:rsidRDefault="00CD427E">
      <w:pPr>
        <w:widowControl w:val="0"/>
        <w:jc w:val="center"/>
        <w:rPr>
          <w:rFonts w:ascii="Arial" w:hAnsi="Arial" w:cs="Arial"/>
          <w:b/>
          <w:u w:val="single"/>
        </w:rPr>
      </w:pPr>
      <w:r>
        <w:rPr>
          <w:rFonts w:ascii="Arial" w:hAnsi="Arial" w:cs="Arial"/>
          <w:b/>
          <w:u w:val="single"/>
        </w:rPr>
        <w:t xml:space="preserve">IV. Cena </w:t>
      </w:r>
    </w:p>
    <w:p w:rsidR="00486CA9" w:rsidRDefault="00CD427E">
      <w:pPr>
        <w:widowControl w:val="0"/>
        <w:numPr>
          <w:ilvl w:val="0"/>
          <w:numId w:val="7"/>
        </w:numPr>
        <w:spacing w:after="0" w:line="240" w:lineRule="auto"/>
        <w:ind w:left="426" w:hanging="426"/>
        <w:contextualSpacing/>
        <w:jc w:val="both"/>
        <w:rPr>
          <w:rFonts w:ascii="Arial" w:hAnsi="Arial" w:cs="Arial"/>
        </w:rPr>
      </w:pPr>
      <w:r>
        <w:rPr>
          <w:rFonts w:ascii="Arial" w:hAnsi="Arial" w:cs="Arial"/>
        </w:rPr>
        <w:t>Ceny za jednotlivé druhy zboží ze sortimentu dodavatele jsou stanoveny cenovou nabídkou ze dne 29. 12.  2023,</w:t>
      </w:r>
      <w:r>
        <w:rPr>
          <w:rFonts w:ascii="Arial" w:hAnsi="Arial" w:cs="Arial"/>
          <w:color w:val="000000" w:themeColor="text1"/>
        </w:rPr>
        <w:t xml:space="preserve"> </w:t>
      </w:r>
      <w:r>
        <w:rPr>
          <w:rFonts w:ascii="Arial" w:hAnsi="Arial" w:cs="Arial"/>
        </w:rPr>
        <w:t xml:space="preserve">která je přílohou této smlouvy. Ostatní zboží ze sortimentu dodavatele, které bude objednáno a není součástí nabídkového listu, musí být doloženo aktuálním platným ceníkem dodavatele. Tato cena se považuje za cenu v místě a čase obvyklou a zahrnuje veškeré další náklady dodavatele za plnění předmětu smlouvy. </w:t>
      </w:r>
    </w:p>
    <w:p w:rsidR="00486CA9" w:rsidRDefault="00486CA9">
      <w:pPr>
        <w:widowControl w:val="0"/>
        <w:ind w:left="426"/>
        <w:contextualSpacing/>
        <w:jc w:val="both"/>
        <w:rPr>
          <w:rFonts w:ascii="Arial" w:hAnsi="Arial" w:cs="Arial"/>
        </w:rPr>
      </w:pPr>
    </w:p>
    <w:p w:rsidR="00486CA9" w:rsidRDefault="00CD427E">
      <w:pPr>
        <w:widowControl w:val="0"/>
        <w:numPr>
          <w:ilvl w:val="0"/>
          <w:numId w:val="1"/>
        </w:numPr>
        <w:spacing w:after="0" w:line="240" w:lineRule="auto"/>
        <w:ind w:left="426" w:hanging="426"/>
        <w:contextualSpacing/>
        <w:jc w:val="both"/>
        <w:rPr>
          <w:rFonts w:ascii="Arial" w:hAnsi="Arial" w:cs="Arial"/>
        </w:rPr>
      </w:pPr>
      <w:r>
        <w:rPr>
          <w:rFonts w:ascii="Arial" w:hAnsi="Arial" w:cs="Arial"/>
        </w:rPr>
        <w:t xml:space="preserve">Celková cena jednotlivých dodávek za dobu platnosti rámcové smlouvy činí maximálně </w:t>
      </w:r>
      <w:r>
        <w:rPr>
          <w:rFonts w:ascii="Arial" w:hAnsi="Arial" w:cs="Arial"/>
          <w:b/>
        </w:rPr>
        <w:t>480.000,-</w:t>
      </w:r>
      <w:r>
        <w:rPr>
          <w:rFonts w:ascii="Arial" w:hAnsi="Arial" w:cs="Arial"/>
        </w:rPr>
        <w:t xml:space="preserve"> </w:t>
      </w:r>
      <w:r>
        <w:rPr>
          <w:rFonts w:ascii="Arial" w:hAnsi="Arial" w:cs="Arial"/>
          <w:b/>
        </w:rPr>
        <w:t>bez DPH</w:t>
      </w:r>
      <w:r>
        <w:rPr>
          <w:rFonts w:ascii="Arial" w:hAnsi="Arial" w:cs="Arial"/>
        </w:rPr>
        <w:t>. Tuto cenu nelze překročit. Smluvní strany prohlašují, že objednatel je oprávněn podávat dílčí objednávky v menším finančním rozsahu.</w:t>
      </w:r>
    </w:p>
    <w:p w:rsidR="00486CA9" w:rsidRDefault="00486CA9">
      <w:pPr>
        <w:widowControl w:val="0"/>
        <w:ind w:left="426"/>
        <w:contextualSpacing/>
        <w:jc w:val="both"/>
        <w:rPr>
          <w:rFonts w:ascii="Arial" w:hAnsi="Arial" w:cs="Arial"/>
        </w:rPr>
      </w:pPr>
    </w:p>
    <w:p w:rsidR="00486CA9" w:rsidRDefault="00CD427E">
      <w:pPr>
        <w:widowControl w:val="0"/>
        <w:numPr>
          <w:ilvl w:val="0"/>
          <w:numId w:val="1"/>
        </w:numPr>
        <w:spacing w:after="0" w:line="240" w:lineRule="auto"/>
        <w:ind w:left="426" w:hanging="426"/>
        <w:contextualSpacing/>
        <w:jc w:val="both"/>
        <w:rPr>
          <w:rFonts w:ascii="Arial" w:hAnsi="Arial" w:cs="Arial"/>
        </w:rPr>
      </w:pPr>
      <w:r>
        <w:rPr>
          <w:rFonts w:ascii="Arial" w:hAnsi="Arial" w:cs="Arial"/>
        </w:rPr>
        <w:t>Ceny uvedené v nabídkovém listu jsou maximální a platné po celou dobu platnosti smlouvy.</w:t>
      </w:r>
    </w:p>
    <w:p w:rsidR="00486CA9" w:rsidRDefault="00486CA9">
      <w:pPr>
        <w:widowControl w:val="0"/>
        <w:spacing w:after="0" w:line="240" w:lineRule="auto"/>
        <w:ind w:left="426"/>
        <w:contextualSpacing/>
        <w:jc w:val="both"/>
        <w:rPr>
          <w:rFonts w:ascii="Arial" w:hAnsi="Arial" w:cs="Arial"/>
        </w:rPr>
      </w:pPr>
    </w:p>
    <w:p w:rsidR="00486CA9" w:rsidRDefault="00CD427E">
      <w:pPr>
        <w:widowControl w:val="0"/>
        <w:numPr>
          <w:ilvl w:val="0"/>
          <w:numId w:val="1"/>
        </w:numPr>
        <w:spacing w:after="0" w:line="240" w:lineRule="auto"/>
        <w:ind w:left="426" w:hanging="426"/>
        <w:contextualSpacing/>
        <w:jc w:val="both"/>
        <w:rPr>
          <w:rFonts w:ascii="Arial" w:hAnsi="Arial" w:cs="Arial"/>
        </w:rPr>
      </w:pPr>
      <w:r>
        <w:rPr>
          <w:rFonts w:ascii="Arial" w:hAnsi="Arial" w:cs="Arial"/>
        </w:rPr>
        <w:t>Dodavatel bude průběžně vystavovat faktury za jednotlivé dodávky na základě dílčích objednávek objednatele dle potřeb objednatele.  Objednávat dodávky zboží jsou oprávněni učitelé odborného výcviku. Dodavatel provede vyúčtování ceny za provedené dodávky formou faktury bez poskytnutí zálohy. Faktura bude mít požadované náležitosti daňového dokladu dle právní úpravy.</w:t>
      </w:r>
    </w:p>
    <w:p w:rsidR="00486CA9" w:rsidRDefault="00486CA9">
      <w:pPr>
        <w:widowControl w:val="0"/>
        <w:ind w:left="426"/>
        <w:contextualSpacing/>
        <w:jc w:val="both"/>
        <w:rPr>
          <w:rFonts w:ascii="Arial" w:hAnsi="Arial" w:cs="Arial"/>
        </w:rPr>
      </w:pPr>
    </w:p>
    <w:p w:rsidR="00486CA9" w:rsidRDefault="00CD427E">
      <w:pPr>
        <w:widowControl w:val="0"/>
        <w:numPr>
          <w:ilvl w:val="0"/>
          <w:numId w:val="1"/>
        </w:numPr>
        <w:spacing w:after="0" w:line="240" w:lineRule="auto"/>
        <w:ind w:left="426" w:hanging="426"/>
        <w:contextualSpacing/>
        <w:jc w:val="both"/>
        <w:rPr>
          <w:rFonts w:ascii="Arial" w:hAnsi="Arial" w:cs="Arial"/>
        </w:rPr>
      </w:pPr>
      <w:r>
        <w:rPr>
          <w:rFonts w:ascii="Arial" w:hAnsi="Arial" w:cs="Arial"/>
        </w:rPr>
        <w:t>Splatnost jednotlivých faktur činí 30 kalendářních dnů od prokazatelného doručení faktury objednateli.</w:t>
      </w:r>
    </w:p>
    <w:p w:rsidR="00486CA9" w:rsidRDefault="00486CA9">
      <w:pPr>
        <w:widowControl w:val="0"/>
        <w:ind w:left="426"/>
        <w:contextualSpacing/>
        <w:jc w:val="both"/>
        <w:rPr>
          <w:rFonts w:ascii="Arial" w:hAnsi="Arial" w:cs="Arial"/>
        </w:rPr>
      </w:pPr>
    </w:p>
    <w:p w:rsidR="00486CA9" w:rsidRDefault="00CD427E">
      <w:pPr>
        <w:widowControl w:val="0"/>
        <w:numPr>
          <w:ilvl w:val="0"/>
          <w:numId w:val="1"/>
        </w:numPr>
        <w:spacing w:after="0" w:line="240" w:lineRule="auto"/>
        <w:ind w:left="426" w:hanging="426"/>
        <w:contextualSpacing/>
        <w:jc w:val="both"/>
        <w:rPr>
          <w:rFonts w:ascii="Arial" w:hAnsi="Arial" w:cs="Arial"/>
        </w:rPr>
      </w:pPr>
      <w:r>
        <w:rPr>
          <w:rFonts w:ascii="Arial" w:hAnsi="Arial" w:cs="Arial"/>
        </w:rPr>
        <w:t>Podkladem pro vystavení faktury je objednávka učiněná objednatelem prostřednictvím učitele odborného výcviku.</w:t>
      </w:r>
    </w:p>
    <w:p w:rsidR="00486CA9" w:rsidRDefault="00486CA9">
      <w:pPr>
        <w:widowControl w:val="0"/>
        <w:jc w:val="center"/>
        <w:rPr>
          <w:rFonts w:ascii="Arial" w:hAnsi="Arial" w:cs="Arial"/>
          <w:b/>
          <w:u w:val="single"/>
        </w:rPr>
      </w:pPr>
    </w:p>
    <w:p w:rsidR="00486CA9" w:rsidRDefault="00CD427E">
      <w:pPr>
        <w:widowControl w:val="0"/>
        <w:jc w:val="center"/>
        <w:rPr>
          <w:rFonts w:ascii="Arial" w:hAnsi="Arial" w:cs="Arial"/>
          <w:b/>
          <w:u w:val="single"/>
        </w:rPr>
      </w:pPr>
      <w:r>
        <w:rPr>
          <w:rFonts w:ascii="Arial" w:hAnsi="Arial" w:cs="Arial"/>
          <w:b/>
          <w:u w:val="single"/>
        </w:rPr>
        <w:t>V. Trvání a platnost smlouvy</w:t>
      </w:r>
    </w:p>
    <w:p w:rsidR="00486CA9" w:rsidRDefault="00CD427E">
      <w:pPr>
        <w:widowControl w:val="0"/>
        <w:numPr>
          <w:ilvl w:val="0"/>
          <w:numId w:val="8"/>
        </w:numPr>
        <w:spacing w:after="0" w:line="240" w:lineRule="auto"/>
        <w:ind w:left="426" w:hanging="426"/>
        <w:contextualSpacing/>
        <w:jc w:val="both"/>
        <w:rPr>
          <w:rFonts w:ascii="Arial" w:hAnsi="Arial" w:cs="Arial"/>
        </w:rPr>
      </w:pPr>
      <w:r>
        <w:rPr>
          <w:rFonts w:ascii="Arial" w:hAnsi="Arial" w:cs="Arial"/>
        </w:rPr>
        <w:t>Smluvní strany mohou tuto smlouvu vypovědět i bez udání důvodů v jednoměsíční výpovědní lhůtě, která začíná běžet prvním dnem měsíce následujícího po doručení písemné výpovědi druhé smluvní straně.</w:t>
      </w:r>
    </w:p>
    <w:p w:rsidR="00486CA9" w:rsidRDefault="00486CA9">
      <w:pPr>
        <w:widowControl w:val="0"/>
        <w:ind w:left="426"/>
        <w:contextualSpacing/>
        <w:jc w:val="both"/>
        <w:rPr>
          <w:rFonts w:ascii="Arial" w:hAnsi="Arial" w:cs="Arial"/>
        </w:rPr>
      </w:pPr>
    </w:p>
    <w:p w:rsidR="00486CA9" w:rsidRDefault="00CD427E">
      <w:pPr>
        <w:widowControl w:val="0"/>
        <w:numPr>
          <w:ilvl w:val="0"/>
          <w:numId w:val="2"/>
        </w:numPr>
        <w:spacing w:after="0" w:line="240" w:lineRule="auto"/>
        <w:ind w:left="426" w:hanging="426"/>
        <w:contextualSpacing/>
        <w:jc w:val="both"/>
        <w:rPr>
          <w:rFonts w:ascii="Arial" w:hAnsi="Arial" w:cs="Arial"/>
        </w:rPr>
      </w:pPr>
      <w:r>
        <w:rPr>
          <w:rFonts w:ascii="Arial" w:hAnsi="Arial" w:cs="Arial"/>
        </w:rPr>
        <w:t>Objednatel může od smlouvy odstoupit, pokud dodavatel závažným způsobem poruší některé ustanovení této smlouvy. Odstoupení musí objednatel učinit písemně a jeho účinky nastávají okamžikem doručení zhotoviteli.</w:t>
      </w:r>
    </w:p>
    <w:p w:rsidR="00486CA9" w:rsidRDefault="00486CA9">
      <w:pPr>
        <w:widowControl w:val="0"/>
        <w:spacing w:after="0" w:line="240" w:lineRule="auto"/>
        <w:ind w:left="426"/>
        <w:contextualSpacing/>
        <w:jc w:val="both"/>
        <w:rPr>
          <w:rFonts w:ascii="Arial" w:hAnsi="Arial" w:cs="Arial"/>
        </w:rPr>
      </w:pPr>
    </w:p>
    <w:p w:rsidR="00486CA9" w:rsidRDefault="00CD427E">
      <w:pPr>
        <w:widowControl w:val="0"/>
        <w:jc w:val="center"/>
        <w:rPr>
          <w:rFonts w:ascii="Arial" w:hAnsi="Arial" w:cs="Arial"/>
          <w:b/>
          <w:u w:val="single"/>
        </w:rPr>
      </w:pPr>
      <w:r>
        <w:rPr>
          <w:rFonts w:ascii="Arial" w:hAnsi="Arial" w:cs="Arial"/>
          <w:b/>
          <w:u w:val="single"/>
        </w:rPr>
        <w:t>VI. Povinnosti dodavatele</w:t>
      </w:r>
    </w:p>
    <w:p w:rsidR="00486CA9" w:rsidRDefault="00CD427E">
      <w:pPr>
        <w:widowControl w:val="0"/>
        <w:numPr>
          <w:ilvl w:val="0"/>
          <w:numId w:val="9"/>
        </w:numPr>
        <w:spacing w:after="0" w:line="240" w:lineRule="auto"/>
        <w:ind w:left="426" w:hanging="426"/>
        <w:contextualSpacing/>
        <w:jc w:val="both"/>
        <w:rPr>
          <w:rFonts w:ascii="Arial" w:hAnsi="Arial" w:cs="Arial"/>
        </w:rPr>
      </w:pPr>
      <w:r>
        <w:rPr>
          <w:rFonts w:ascii="Arial" w:hAnsi="Arial" w:cs="Arial"/>
        </w:rPr>
        <w:t xml:space="preserve">Všechny dodávky musí být poskytnuty objednateli v požadovaném rozsahu, a to bez jakéhokoliv omezení; dodavatel nebude oprávněn doúčtovat objednateli jakékoli dodatečné práce, služby či dodávky, které budou nezbytné pro řádné splnění dílčího nebo celého předmětu smlouvy, a to např. i z důvodu, že dodavatel chybně odhadl nabídkovou (smluvní) cenu. </w:t>
      </w:r>
    </w:p>
    <w:p w:rsidR="00486CA9" w:rsidRDefault="00486CA9">
      <w:pPr>
        <w:widowControl w:val="0"/>
        <w:ind w:left="426"/>
        <w:contextualSpacing/>
        <w:jc w:val="both"/>
        <w:rPr>
          <w:rFonts w:ascii="Arial" w:hAnsi="Arial" w:cs="Arial"/>
        </w:rPr>
      </w:pPr>
    </w:p>
    <w:p w:rsidR="00486CA9" w:rsidRDefault="00CD427E">
      <w:pPr>
        <w:widowControl w:val="0"/>
        <w:numPr>
          <w:ilvl w:val="0"/>
          <w:numId w:val="3"/>
        </w:numPr>
        <w:spacing w:after="0" w:line="240" w:lineRule="auto"/>
        <w:ind w:left="426" w:hanging="426"/>
        <w:contextualSpacing/>
        <w:jc w:val="both"/>
        <w:rPr>
          <w:rFonts w:ascii="Arial" w:hAnsi="Arial" w:cs="Arial"/>
        </w:rPr>
      </w:pPr>
      <w:r>
        <w:rPr>
          <w:rFonts w:ascii="Arial" w:hAnsi="Arial" w:cs="Arial"/>
        </w:rPr>
        <w:t>Veškeré činnosti je dodavatel povinen provádět s náležitou péčí a odbornou způsobilostí. Všechny služby musí být poskytnuty v požadovaném rozsahu, a to bez jakéhokoliv omezení.</w:t>
      </w:r>
    </w:p>
    <w:p w:rsidR="00486CA9" w:rsidRDefault="00486CA9">
      <w:pPr>
        <w:widowControl w:val="0"/>
        <w:jc w:val="center"/>
        <w:rPr>
          <w:rFonts w:ascii="Arial" w:hAnsi="Arial" w:cs="Arial"/>
          <w:b/>
          <w:u w:val="single"/>
        </w:rPr>
      </w:pPr>
    </w:p>
    <w:p w:rsidR="00486CA9" w:rsidRDefault="00CD427E">
      <w:pPr>
        <w:widowControl w:val="0"/>
        <w:jc w:val="center"/>
        <w:rPr>
          <w:rFonts w:ascii="Arial" w:hAnsi="Arial" w:cs="Arial"/>
          <w:b/>
          <w:u w:val="single"/>
        </w:rPr>
      </w:pPr>
      <w:r>
        <w:rPr>
          <w:rFonts w:ascii="Arial" w:hAnsi="Arial" w:cs="Arial"/>
          <w:b/>
          <w:u w:val="single"/>
        </w:rPr>
        <w:lastRenderedPageBreak/>
        <w:t>VII. Ostatní ujednání</w:t>
      </w:r>
    </w:p>
    <w:p w:rsidR="00486CA9" w:rsidRDefault="00CD427E">
      <w:pPr>
        <w:numPr>
          <w:ilvl w:val="0"/>
          <w:numId w:val="10"/>
        </w:numPr>
        <w:spacing w:after="0" w:line="240" w:lineRule="auto"/>
        <w:jc w:val="both"/>
        <w:rPr>
          <w:rFonts w:ascii="Arial" w:hAnsi="Arial" w:cs="Arial"/>
        </w:rPr>
      </w:pPr>
      <w:r>
        <w:rPr>
          <w:rFonts w:ascii="Arial" w:hAnsi="Arial" w:cs="Arial"/>
        </w:rPr>
        <w:t>V souvislosti s možnými úpravami rozpočtu si objednatel vyhrazuje právo zastavit průběh plnění smlouvy, a rovněž jednostranně smlouvu ukončit, a to bez jakékoliv sankce či náhrady za nedokončené plnění. Objednatel se zavazuje, že dílčí plnění objednané před termínem ukončení smlouvy uhradí podle podmínek smlouvy.</w:t>
      </w:r>
    </w:p>
    <w:p w:rsidR="00486CA9" w:rsidRDefault="00486CA9">
      <w:pPr>
        <w:ind w:left="360"/>
        <w:jc w:val="both"/>
        <w:rPr>
          <w:rFonts w:ascii="Arial" w:hAnsi="Arial" w:cs="Arial"/>
        </w:rPr>
      </w:pPr>
    </w:p>
    <w:p w:rsidR="00486CA9" w:rsidRDefault="00CD427E">
      <w:pPr>
        <w:numPr>
          <w:ilvl w:val="0"/>
          <w:numId w:val="4"/>
        </w:numPr>
        <w:spacing w:after="0" w:line="240" w:lineRule="auto"/>
        <w:jc w:val="both"/>
        <w:rPr>
          <w:rFonts w:ascii="Arial" w:hAnsi="Arial" w:cs="Arial"/>
        </w:rPr>
      </w:pPr>
      <w:r>
        <w:rPr>
          <w:rFonts w:ascii="Arial" w:hAnsi="Arial" w:cs="Arial"/>
        </w:rPr>
        <w:t>Prodlení dodavatele se splněním povinnosti dodání zboží, a to o více jak 2 pracovní dny, bude považováno za podstatné porušení smlouvy ze strany dodavatele a v takovém případě je objednatel oprávněn od této smlouvy odstoupit. Odstoupení od smlouvy je účinné okamžikem doručení písemného odstoupení od smlouvy dodavateli.</w:t>
      </w:r>
    </w:p>
    <w:p w:rsidR="00486CA9" w:rsidRDefault="00486CA9">
      <w:pPr>
        <w:ind w:left="360"/>
        <w:jc w:val="both"/>
        <w:rPr>
          <w:rFonts w:ascii="Arial" w:hAnsi="Arial" w:cs="Arial"/>
        </w:rPr>
      </w:pPr>
    </w:p>
    <w:p w:rsidR="00486CA9" w:rsidRDefault="00CD427E">
      <w:pPr>
        <w:numPr>
          <w:ilvl w:val="0"/>
          <w:numId w:val="4"/>
        </w:numPr>
        <w:spacing w:after="0" w:line="240" w:lineRule="auto"/>
        <w:jc w:val="both"/>
        <w:rPr>
          <w:rFonts w:ascii="Arial" w:hAnsi="Arial" w:cs="Arial"/>
        </w:rPr>
      </w:pPr>
      <w:r>
        <w:rPr>
          <w:rFonts w:ascii="Arial" w:hAnsi="Arial" w:cs="Arial"/>
        </w:rPr>
        <w:t xml:space="preserve">V případě, že dodavatel </w:t>
      </w:r>
      <w:proofErr w:type="gramStart"/>
      <w:r>
        <w:rPr>
          <w:rFonts w:ascii="Arial" w:hAnsi="Arial" w:cs="Arial"/>
        </w:rPr>
        <w:t>použije</w:t>
      </w:r>
      <w:proofErr w:type="gramEnd"/>
      <w:r>
        <w:rPr>
          <w:rFonts w:ascii="Arial" w:hAnsi="Arial" w:cs="Arial"/>
        </w:rPr>
        <w:t xml:space="preserve"> byť i jen k plnění určité části předmětu smlouvy subdodavatele, odpovídá objednateli za plnění poskytnuté subdodavatelem, jako by toto plnění poskytoval dodavatel sám.</w:t>
      </w:r>
    </w:p>
    <w:p w:rsidR="00486CA9" w:rsidRDefault="00486CA9">
      <w:pPr>
        <w:ind w:left="360"/>
        <w:jc w:val="both"/>
        <w:rPr>
          <w:rFonts w:ascii="Arial" w:hAnsi="Arial" w:cs="Arial"/>
        </w:rPr>
      </w:pPr>
    </w:p>
    <w:p w:rsidR="00486CA9" w:rsidRDefault="00CD427E">
      <w:pPr>
        <w:numPr>
          <w:ilvl w:val="0"/>
          <w:numId w:val="4"/>
        </w:numPr>
        <w:spacing w:after="0" w:line="240" w:lineRule="auto"/>
        <w:ind w:left="357"/>
        <w:jc w:val="both"/>
        <w:rPr>
          <w:rFonts w:ascii="Arial" w:hAnsi="Arial" w:cs="Arial"/>
        </w:rPr>
      </w:pPr>
      <w:r>
        <w:rPr>
          <w:rFonts w:ascii="Arial" w:hAnsi="Arial" w:cs="Arial"/>
        </w:rPr>
        <w:t>Dodavatel vyslovuje souhlas s tím, že objednatel v rámci transparentnosti zveřejní smlouvu (včetně případných dodatků) v registru smluv.</w:t>
      </w:r>
    </w:p>
    <w:p w:rsidR="00486CA9" w:rsidRDefault="00486CA9">
      <w:pPr>
        <w:widowControl w:val="0"/>
        <w:jc w:val="center"/>
        <w:rPr>
          <w:rFonts w:ascii="Arial" w:hAnsi="Arial" w:cs="Arial"/>
          <w:b/>
          <w:u w:val="single"/>
        </w:rPr>
      </w:pPr>
    </w:p>
    <w:p w:rsidR="00486CA9" w:rsidRDefault="00CD427E">
      <w:pPr>
        <w:widowControl w:val="0"/>
        <w:jc w:val="center"/>
        <w:rPr>
          <w:rFonts w:ascii="Arial" w:hAnsi="Arial" w:cs="Arial"/>
          <w:b/>
        </w:rPr>
      </w:pPr>
      <w:r>
        <w:rPr>
          <w:rFonts w:ascii="Arial" w:hAnsi="Arial" w:cs="Arial"/>
          <w:b/>
          <w:u w:val="single"/>
        </w:rPr>
        <w:t>VIII. Ukončení smlouvy</w:t>
      </w:r>
    </w:p>
    <w:p w:rsidR="00486CA9" w:rsidRDefault="00CD427E">
      <w:pPr>
        <w:widowControl w:val="0"/>
        <w:spacing w:after="0" w:line="240" w:lineRule="auto"/>
        <w:contextualSpacing/>
        <w:jc w:val="both"/>
        <w:rPr>
          <w:rFonts w:ascii="Arial" w:hAnsi="Arial" w:cs="Arial"/>
        </w:rPr>
      </w:pPr>
      <w:r>
        <w:rPr>
          <w:rFonts w:ascii="Arial" w:hAnsi="Arial" w:cs="Arial"/>
        </w:rPr>
        <w:t xml:space="preserve">Tato smlouva se uzavírá na dobu určitou od 22. 01. 2024 do 30. 06. 2025, s možností nevyčerpání celkového objemu finančních prostředků uvedeného v čl. </w:t>
      </w:r>
      <w:r>
        <w:rPr>
          <w:rFonts w:ascii="Arial" w:hAnsi="Arial" w:cs="Arial"/>
          <w:lang w:val="en-US"/>
        </w:rPr>
        <w:t xml:space="preserve">III. </w:t>
      </w:r>
      <w:r>
        <w:rPr>
          <w:rFonts w:ascii="Arial" w:hAnsi="Arial" w:cs="Arial"/>
        </w:rPr>
        <w:t>této smlouvy. Smlouvu lze před uplynutím této doby ukončit písemnou oboustranně podepsanou dohodou stran nebo výpovědí bez uvedení důvodu s jednoměsíční výpovědní lhůtou, která začíná běžet dnem doručení výpovědi druhé straně.</w:t>
      </w:r>
    </w:p>
    <w:p w:rsidR="00486CA9" w:rsidRDefault="00486CA9">
      <w:pPr>
        <w:widowControl w:val="0"/>
        <w:spacing w:after="0" w:line="240" w:lineRule="auto"/>
        <w:ind w:left="426"/>
        <w:contextualSpacing/>
        <w:jc w:val="both"/>
        <w:rPr>
          <w:rFonts w:ascii="Arial" w:hAnsi="Arial" w:cs="Arial"/>
        </w:rPr>
      </w:pPr>
    </w:p>
    <w:p w:rsidR="00486CA9" w:rsidRDefault="00486CA9">
      <w:pPr>
        <w:widowControl w:val="0"/>
        <w:spacing w:after="0" w:line="240" w:lineRule="auto"/>
        <w:contextualSpacing/>
        <w:jc w:val="both"/>
        <w:rPr>
          <w:rFonts w:ascii="Arial" w:hAnsi="Arial" w:cs="Arial"/>
        </w:rPr>
      </w:pPr>
    </w:p>
    <w:p w:rsidR="00486CA9" w:rsidRDefault="00CD427E">
      <w:pPr>
        <w:widowControl w:val="0"/>
        <w:jc w:val="center"/>
        <w:rPr>
          <w:rFonts w:ascii="Arial" w:hAnsi="Arial" w:cs="Arial"/>
          <w:b/>
          <w:u w:val="single"/>
        </w:rPr>
      </w:pPr>
      <w:r>
        <w:rPr>
          <w:rFonts w:ascii="Arial" w:hAnsi="Arial" w:cs="Arial"/>
          <w:b/>
          <w:u w:val="single"/>
        </w:rPr>
        <w:t>IX. Závěrečná ustanovení</w:t>
      </w:r>
    </w:p>
    <w:p w:rsidR="00486CA9" w:rsidRDefault="00CD427E">
      <w:pPr>
        <w:widowControl w:val="0"/>
        <w:numPr>
          <w:ilvl w:val="0"/>
          <w:numId w:val="11"/>
        </w:numPr>
        <w:spacing w:after="0" w:line="240" w:lineRule="auto"/>
        <w:ind w:left="426" w:hanging="426"/>
        <w:contextualSpacing/>
        <w:jc w:val="both"/>
        <w:rPr>
          <w:rFonts w:ascii="Arial" w:hAnsi="Arial" w:cs="Arial"/>
        </w:rPr>
      </w:pPr>
      <w:r>
        <w:rPr>
          <w:rFonts w:ascii="Arial" w:hAnsi="Arial" w:cs="Arial"/>
        </w:rPr>
        <w:t>Smluvní strany shodně prohlašují, že si tuto smlouvu před jejím podpisem přečetly, že byla uzavřena po vzájemném projednání podle jejich pravé a svobodné vůle, určitě, vážně a srozumitelně.</w:t>
      </w:r>
    </w:p>
    <w:p w:rsidR="00486CA9" w:rsidRDefault="00486CA9">
      <w:pPr>
        <w:widowControl w:val="0"/>
        <w:ind w:left="426"/>
        <w:contextualSpacing/>
        <w:jc w:val="both"/>
        <w:rPr>
          <w:rFonts w:ascii="Arial" w:hAnsi="Arial" w:cs="Arial"/>
        </w:rPr>
      </w:pPr>
    </w:p>
    <w:p w:rsidR="00486CA9" w:rsidRDefault="00CD427E">
      <w:pPr>
        <w:widowControl w:val="0"/>
        <w:numPr>
          <w:ilvl w:val="0"/>
          <w:numId w:val="5"/>
        </w:numPr>
        <w:spacing w:after="0" w:line="240" w:lineRule="auto"/>
        <w:ind w:left="426" w:hanging="426"/>
        <w:contextualSpacing/>
        <w:jc w:val="both"/>
        <w:rPr>
          <w:rFonts w:ascii="Arial" w:hAnsi="Arial" w:cs="Arial"/>
        </w:rPr>
      </w:pPr>
      <w:r>
        <w:rPr>
          <w:rFonts w:ascii="Arial" w:hAnsi="Arial" w:cs="Arial"/>
        </w:rPr>
        <w:t>Tato smlouva je vyhotovena ve dvou stejnopisech s platností originálu, z nichž každá ze smluvních stran obdrží jedno vyhotovení. Přílohou a nedílnou součástí této smlouvy je cenová nabídka dodavatele.</w:t>
      </w:r>
    </w:p>
    <w:p w:rsidR="00486CA9" w:rsidRDefault="00486CA9">
      <w:pPr>
        <w:widowControl w:val="0"/>
        <w:spacing w:after="0" w:line="240" w:lineRule="auto"/>
        <w:ind w:left="426"/>
        <w:contextualSpacing/>
        <w:jc w:val="both"/>
        <w:rPr>
          <w:rFonts w:ascii="Arial" w:hAnsi="Arial" w:cs="Arial"/>
        </w:rPr>
      </w:pPr>
    </w:p>
    <w:p w:rsidR="00486CA9" w:rsidRDefault="00CD427E">
      <w:pPr>
        <w:widowControl w:val="0"/>
        <w:numPr>
          <w:ilvl w:val="0"/>
          <w:numId w:val="5"/>
        </w:numPr>
        <w:spacing w:after="0" w:line="240" w:lineRule="auto"/>
        <w:ind w:left="426" w:hanging="426"/>
        <w:contextualSpacing/>
        <w:jc w:val="both"/>
        <w:rPr>
          <w:rFonts w:ascii="Arial" w:hAnsi="Arial" w:cs="Arial"/>
        </w:rPr>
      </w:pPr>
      <w:r>
        <w:rPr>
          <w:rFonts w:ascii="Arial" w:hAnsi="Arial" w:cs="Arial"/>
        </w:rPr>
        <w:t>Tuto smlouvu lze měnit a doplňovat pouze písemnými dodatky podepsanými oběma stranami.</w:t>
      </w:r>
    </w:p>
    <w:p w:rsidR="00486CA9" w:rsidRDefault="00486CA9">
      <w:pPr>
        <w:widowControl w:val="0"/>
        <w:ind w:left="426"/>
        <w:contextualSpacing/>
        <w:jc w:val="both"/>
        <w:rPr>
          <w:rFonts w:ascii="Arial" w:hAnsi="Arial" w:cs="Arial"/>
        </w:rPr>
      </w:pPr>
    </w:p>
    <w:p w:rsidR="00486CA9" w:rsidRDefault="00CD427E">
      <w:pPr>
        <w:widowControl w:val="0"/>
        <w:numPr>
          <w:ilvl w:val="0"/>
          <w:numId w:val="5"/>
        </w:numPr>
        <w:spacing w:after="0" w:line="240" w:lineRule="auto"/>
        <w:ind w:left="426" w:hanging="426"/>
        <w:contextualSpacing/>
        <w:jc w:val="both"/>
        <w:rPr>
          <w:rFonts w:ascii="Arial" w:hAnsi="Arial" w:cs="Arial"/>
        </w:rPr>
      </w:pPr>
      <w:r>
        <w:rPr>
          <w:rFonts w:ascii="Arial" w:hAnsi="Arial" w:cs="Arial"/>
        </w:rPr>
        <w:t>Smlouva nabývá platnosti dnem podpisu smluvních stran.</w:t>
      </w:r>
    </w:p>
    <w:p w:rsidR="00486CA9" w:rsidRDefault="00486CA9">
      <w:pPr>
        <w:pStyle w:val="Odstavecseseznamem"/>
        <w:rPr>
          <w:rFonts w:ascii="Arial" w:hAnsi="Arial" w:cs="Arial"/>
        </w:rPr>
      </w:pPr>
    </w:p>
    <w:p w:rsidR="00486CA9" w:rsidRDefault="00CD427E">
      <w:pPr>
        <w:widowControl w:val="0"/>
        <w:rPr>
          <w:rFonts w:ascii="Arial" w:hAnsi="Arial" w:cs="Arial"/>
          <w:color w:val="FF0000"/>
        </w:rPr>
      </w:pPr>
      <w:r>
        <w:rPr>
          <w:rFonts w:ascii="Arial" w:hAnsi="Arial" w:cs="Arial"/>
        </w:rPr>
        <w:t>Příloha č. 1: Cenová nabídka</w:t>
      </w:r>
    </w:p>
    <w:p w:rsidR="00486CA9" w:rsidRDefault="00CD427E">
      <w:pPr>
        <w:widowControl w:val="0"/>
        <w:rPr>
          <w:rFonts w:ascii="Arial" w:hAnsi="Arial" w:cs="Arial"/>
        </w:rPr>
      </w:pPr>
      <w:r>
        <w:rPr>
          <w:rFonts w:ascii="Arial" w:hAnsi="Arial" w:cs="Arial"/>
        </w:rPr>
        <w:t>V Benešově dne</w:t>
      </w:r>
      <w:r>
        <w:rPr>
          <w:rFonts w:ascii="Arial" w:hAnsi="Arial" w:cs="Arial"/>
        </w:rPr>
        <w:tab/>
      </w:r>
      <w:r>
        <w:rPr>
          <w:rFonts w:ascii="Arial" w:hAnsi="Arial" w:cs="Arial"/>
        </w:rPr>
        <w:tab/>
      </w:r>
      <w:r>
        <w:rPr>
          <w:rFonts w:ascii="Arial" w:hAnsi="Arial" w:cs="Arial"/>
        </w:rPr>
        <w:tab/>
      </w:r>
      <w:r>
        <w:rPr>
          <w:rFonts w:ascii="Arial" w:hAnsi="Arial" w:cs="Arial"/>
        </w:rPr>
        <w:tab/>
        <w:t xml:space="preserve">V </w:t>
      </w:r>
      <w:r>
        <w:t xml:space="preserve">Benešově </w:t>
      </w:r>
      <w:r>
        <w:rPr>
          <w:rFonts w:ascii="Arial" w:hAnsi="Arial" w:cs="Arial"/>
        </w:rPr>
        <w:t xml:space="preserve">dne </w:t>
      </w:r>
    </w:p>
    <w:p w:rsidR="00486CA9" w:rsidRDefault="00486CA9">
      <w:pPr>
        <w:widowControl w:val="0"/>
        <w:rPr>
          <w:rFonts w:ascii="Arial" w:hAnsi="Arial" w:cs="Arial"/>
        </w:rPr>
      </w:pPr>
    </w:p>
    <w:p w:rsidR="00486CA9" w:rsidRDefault="00CD427E">
      <w:pPr>
        <w:widowControl w:val="0"/>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t xml:space="preserve">Za dodavatele:                    </w:t>
      </w:r>
      <w:r>
        <w:rPr>
          <w:rFonts w:ascii="Arial" w:hAnsi="Arial" w:cs="Arial"/>
        </w:rPr>
        <w:tab/>
      </w:r>
    </w:p>
    <w:p w:rsidR="00486CA9" w:rsidRDefault="00CD427E">
      <w:pPr>
        <w:pStyle w:val="Bezmezer"/>
      </w:pPr>
      <w:r>
        <w:t>Mgr. Jana Fialová, ředitelka</w:t>
      </w:r>
      <w:r>
        <w:tab/>
      </w:r>
      <w:r>
        <w:tab/>
      </w:r>
      <w:r>
        <w:tab/>
        <w:t>František Fuksa</w:t>
      </w:r>
    </w:p>
    <w:p w:rsidR="00486CA9" w:rsidRDefault="00CD427E">
      <w:pPr>
        <w:pStyle w:val="Bezmezer"/>
      </w:pPr>
      <w:r>
        <w:t xml:space="preserve">                                                                                      Area sales </w:t>
      </w:r>
      <w:proofErr w:type="spellStart"/>
      <w:r>
        <w:t>manager</w:t>
      </w:r>
      <w:proofErr w:type="spellEnd"/>
      <w:r>
        <w:t xml:space="preserve"> </w:t>
      </w:r>
    </w:p>
    <w:p w:rsidR="00FE332A" w:rsidRDefault="00FE332A">
      <w:pPr>
        <w:pStyle w:val="Bezmezer"/>
      </w:pPr>
      <w:r>
        <w:lastRenderedPageBreak/>
        <w:t>Příloha č. 1</w:t>
      </w:r>
    </w:p>
    <w:p w:rsidR="00FE332A" w:rsidRDefault="00FE332A">
      <w:pPr>
        <w:pStyle w:val="Bezmezer"/>
      </w:pPr>
    </w:p>
    <w:tbl>
      <w:tblPr>
        <w:tblW w:w="11260" w:type="dxa"/>
        <w:tblCellMar>
          <w:left w:w="70" w:type="dxa"/>
          <w:right w:w="70" w:type="dxa"/>
        </w:tblCellMar>
        <w:tblLook w:val="04A0" w:firstRow="1" w:lastRow="0" w:firstColumn="1" w:lastColumn="0" w:noHBand="0" w:noVBand="1"/>
      </w:tblPr>
      <w:tblGrid>
        <w:gridCol w:w="2640"/>
        <w:gridCol w:w="1360"/>
        <w:gridCol w:w="920"/>
        <w:gridCol w:w="1460"/>
        <w:gridCol w:w="1140"/>
        <w:gridCol w:w="1360"/>
        <w:gridCol w:w="1300"/>
        <w:gridCol w:w="1080"/>
      </w:tblGrid>
      <w:tr w:rsidR="00FE332A" w:rsidRPr="00FE332A" w:rsidTr="00FE332A">
        <w:trPr>
          <w:trHeight w:val="432"/>
        </w:trPr>
        <w:tc>
          <w:tcPr>
            <w:tcW w:w="264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b/>
                <w:bCs/>
                <w:color w:val="000000"/>
                <w:sz w:val="26"/>
                <w:szCs w:val="26"/>
                <w:lang w:eastAsia="cs-CZ"/>
              </w:rPr>
            </w:pPr>
            <w:r w:rsidRPr="00FE332A">
              <w:rPr>
                <w:rFonts w:ascii="Arial" w:eastAsia="Times New Roman" w:hAnsi="Arial" w:cs="Arial"/>
                <w:b/>
                <w:bCs/>
                <w:color w:val="000000"/>
                <w:sz w:val="26"/>
                <w:szCs w:val="26"/>
                <w:lang w:eastAsia="cs-CZ"/>
              </w:rPr>
              <w:t>Průzkum cen autodílů</w:t>
            </w:r>
          </w:p>
        </w:tc>
        <w:tc>
          <w:tcPr>
            <w:tcW w:w="136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b/>
                <w:bCs/>
                <w:color w:val="000000"/>
                <w:sz w:val="26"/>
                <w:szCs w:val="26"/>
                <w:lang w:eastAsia="cs-CZ"/>
              </w:rPr>
            </w:pPr>
          </w:p>
        </w:tc>
        <w:tc>
          <w:tcPr>
            <w:tcW w:w="92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r>
      <w:tr w:rsidR="00FE332A" w:rsidRPr="00FE332A" w:rsidTr="00FE332A">
        <w:trPr>
          <w:trHeight w:val="424"/>
        </w:trPr>
        <w:tc>
          <w:tcPr>
            <w:tcW w:w="2640" w:type="dxa"/>
            <w:tcBorders>
              <w:top w:val="single" w:sz="4" w:space="0" w:color="000000"/>
              <w:left w:val="single" w:sz="4" w:space="0" w:color="000000"/>
              <w:bottom w:val="single" w:sz="4" w:space="0" w:color="000000"/>
              <w:right w:val="nil"/>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Škoda</w:t>
            </w:r>
          </w:p>
        </w:tc>
        <w:tc>
          <w:tcPr>
            <w:tcW w:w="37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b/>
                <w:bCs/>
                <w:color w:val="000000"/>
                <w:lang w:eastAsia="cs-CZ"/>
              </w:rPr>
            </w:pPr>
            <w:r w:rsidRPr="00FE332A">
              <w:rPr>
                <w:rFonts w:ascii="Arial" w:eastAsia="Times New Roman" w:hAnsi="Arial" w:cs="Arial"/>
                <w:b/>
                <w:bCs/>
                <w:color w:val="000000"/>
                <w:lang w:eastAsia="cs-CZ"/>
              </w:rPr>
              <w:t>Octavia II 1.9TDI/77</w:t>
            </w:r>
          </w:p>
        </w:tc>
        <w:tc>
          <w:tcPr>
            <w:tcW w:w="380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b/>
                <w:bCs/>
                <w:color w:val="000000"/>
                <w:lang w:eastAsia="cs-CZ"/>
              </w:rPr>
            </w:pPr>
            <w:r w:rsidRPr="00FE332A">
              <w:rPr>
                <w:rFonts w:ascii="Arial" w:eastAsia="Times New Roman" w:hAnsi="Arial" w:cs="Arial"/>
                <w:b/>
                <w:bCs/>
                <w:color w:val="000000"/>
                <w:lang w:eastAsia="cs-CZ"/>
              </w:rPr>
              <w:t>Fabia II 1.2/51htp</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b/>
                <w:bCs/>
                <w:color w:val="000000"/>
                <w:lang w:eastAsia="cs-CZ"/>
              </w:rPr>
            </w:pPr>
          </w:p>
        </w:tc>
      </w:tr>
      <w:tr w:rsidR="00FE332A" w:rsidRPr="00FE332A" w:rsidTr="00FE332A">
        <w:trPr>
          <w:trHeight w:val="432"/>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cena/ks</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počet</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cena celkem</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cena/ks</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počet</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cena celkem</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p>
        </w:tc>
      </w:tr>
      <w:tr w:rsidR="00FE332A" w:rsidRPr="00FE332A" w:rsidTr="00FE332A">
        <w:trPr>
          <w:trHeight w:val="383"/>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čelisti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330,00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6600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190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3 800,00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válečky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110,00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2200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116</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2 320,00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kotouče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249,00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2490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210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2 100,00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13"/>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destičky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220,00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2200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199</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1 990,00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Brzdový set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718,00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3590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609</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3 030,00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13"/>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 xml:space="preserve">Brzdové lanovody </w:t>
            </w:r>
            <w:proofErr w:type="spellStart"/>
            <w:r w:rsidRPr="00FE332A">
              <w:rPr>
                <w:rFonts w:ascii="Arial" w:eastAsia="Times New Roman" w:hAnsi="Arial" w:cs="Arial"/>
                <w:b/>
                <w:bCs/>
                <w:color w:val="000000"/>
                <w:lang w:eastAsia="cs-CZ"/>
              </w:rPr>
              <w:t>kot</w:t>
            </w:r>
            <w:proofErr w:type="spellEnd"/>
            <w:r w:rsidRPr="00FE332A">
              <w:rPr>
                <w:rFonts w:ascii="Arial" w:eastAsia="Times New Roman" w:hAnsi="Arial" w:cs="Arial"/>
                <w:b/>
                <w:bCs/>
                <w:color w:val="000000"/>
                <w:lang w:eastAsia="cs-CZ"/>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89,00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890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155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1 550,00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13"/>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lanovody bub.</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89,00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890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850,00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13"/>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kotouče přední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385,00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9625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300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bookmarkStart w:id="0" w:name="_GoBack"/>
            <w:bookmarkEnd w:id="0"/>
            <w:r w:rsidRPr="00FE332A">
              <w:rPr>
                <w:rFonts w:ascii="Arial" w:eastAsia="Times New Roman" w:hAnsi="Arial" w:cs="Arial"/>
                <w:color w:val="000000"/>
                <w:lang w:eastAsia="cs-CZ"/>
              </w:rPr>
              <w:t>25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7 500,00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Brzdové destičky přední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265,00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6625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265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6 625,00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Brzdový set přední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1 035,00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7245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865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6 055,00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Tlumič pérování přední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465,00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6975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450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6 750,00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Tlumič pérování zadní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305,00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6100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260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5 200,00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Kulový čep řízení</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120,00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1 800,00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Kulový čep ramene</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120,00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1 800,00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Filtr vzduchový</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1500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1 500,00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Filtr palivový</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175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875,00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Filtr olejový</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960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24</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960,00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Olej motorový 10W40-5L</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335,00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1005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335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1 005,00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Olej motorový 5W40-6L</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460,00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1380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460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1 380,00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Olej motorový 5W30-5L</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450,00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4500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450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4 500,00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Zámek dveří LP</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585,00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2925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550</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2 750,00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Stahovačka okna</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450,00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2025</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399</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30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1 975,00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Spojkový set</w:t>
            </w:r>
          </w:p>
        </w:tc>
        <w:tc>
          <w:tcPr>
            <w:tcW w:w="136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1 490,00 Kč</w:t>
            </w:r>
          </w:p>
        </w:tc>
        <w:tc>
          <w:tcPr>
            <w:tcW w:w="92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4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14900</w:t>
            </w:r>
          </w:p>
        </w:tc>
        <w:tc>
          <w:tcPr>
            <w:tcW w:w="114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735</w:t>
            </w:r>
          </w:p>
        </w:tc>
        <w:tc>
          <w:tcPr>
            <w:tcW w:w="1360" w:type="dxa"/>
            <w:tcBorders>
              <w:top w:val="nil"/>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10</w:t>
            </w:r>
          </w:p>
        </w:tc>
        <w:tc>
          <w:tcPr>
            <w:tcW w:w="130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7 350,00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24"/>
        </w:trPr>
        <w:tc>
          <w:tcPr>
            <w:tcW w:w="2640" w:type="dxa"/>
            <w:tcBorders>
              <w:top w:val="nil"/>
              <w:left w:val="single" w:sz="4" w:space="0" w:color="000000"/>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lastRenderedPageBreak/>
              <w:t>Rozvodový set</w:t>
            </w:r>
          </w:p>
        </w:tc>
        <w:tc>
          <w:tcPr>
            <w:tcW w:w="1360" w:type="dxa"/>
            <w:tcBorders>
              <w:top w:val="single" w:sz="4" w:space="0" w:color="000000"/>
              <w:left w:val="single" w:sz="4" w:space="0" w:color="000000"/>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right"/>
              <w:rPr>
                <w:rFonts w:ascii="Arial" w:eastAsia="Times New Roman" w:hAnsi="Arial" w:cs="Arial"/>
                <w:color w:val="000000"/>
                <w:lang w:eastAsia="cs-CZ"/>
              </w:rPr>
            </w:pPr>
            <w:r w:rsidRPr="00FE332A">
              <w:rPr>
                <w:rFonts w:ascii="Arial" w:eastAsia="Times New Roman" w:hAnsi="Arial" w:cs="Arial"/>
                <w:color w:val="000000"/>
                <w:lang w:eastAsia="cs-CZ"/>
              </w:rPr>
              <w:t>1886</w:t>
            </w:r>
          </w:p>
        </w:tc>
        <w:tc>
          <w:tcPr>
            <w:tcW w:w="92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46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9 430,00 Kč</w:t>
            </w:r>
          </w:p>
        </w:tc>
        <w:tc>
          <w:tcPr>
            <w:tcW w:w="114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1385</w:t>
            </w:r>
          </w:p>
        </w:tc>
        <w:tc>
          <w:tcPr>
            <w:tcW w:w="1360" w:type="dxa"/>
            <w:tcBorders>
              <w:top w:val="nil"/>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5</w:t>
            </w:r>
          </w:p>
        </w:tc>
        <w:tc>
          <w:tcPr>
            <w:tcW w:w="1300" w:type="dxa"/>
            <w:tcBorders>
              <w:top w:val="single" w:sz="4" w:space="0" w:color="000000"/>
              <w:left w:val="nil"/>
              <w:bottom w:val="nil"/>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r w:rsidRPr="00FE332A">
              <w:rPr>
                <w:rFonts w:ascii="Arial" w:eastAsia="Times New Roman" w:hAnsi="Arial" w:cs="Arial"/>
                <w:color w:val="000000"/>
                <w:lang w:eastAsia="cs-CZ"/>
              </w:rPr>
              <w:t>6 925,00 Kč</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center"/>
              <w:rPr>
                <w:rFonts w:ascii="Arial" w:eastAsia="Times New Roman" w:hAnsi="Arial" w:cs="Arial"/>
                <w:color w:val="000000"/>
                <w:lang w:eastAsia="cs-CZ"/>
              </w:rPr>
            </w:pPr>
          </w:p>
        </w:tc>
      </w:tr>
      <w:tr w:rsidR="00FE332A" w:rsidRPr="00FE332A" w:rsidTr="00FE332A">
        <w:trPr>
          <w:trHeight w:val="417"/>
        </w:trPr>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lang w:eastAsia="cs-CZ"/>
              </w:rPr>
            </w:pPr>
            <w:r w:rsidRPr="00FE332A">
              <w:rPr>
                <w:rFonts w:ascii="Arial" w:eastAsia="Times New Roman" w:hAnsi="Arial" w:cs="Arial"/>
                <w:b/>
                <w:bCs/>
                <w:color w:val="000000"/>
                <w:lang w:eastAsia="cs-CZ"/>
              </w:rPr>
              <w:t>Celkem</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10 316</w:t>
            </w:r>
          </w:p>
        </w:tc>
        <w:tc>
          <w:tcPr>
            <w:tcW w:w="92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 </w:t>
            </w:r>
          </w:p>
        </w:tc>
        <w:tc>
          <w:tcPr>
            <w:tcW w:w="146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right"/>
              <w:rPr>
                <w:rFonts w:ascii="Arial" w:eastAsia="Times New Roman" w:hAnsi="Arial" w:cs="Arial"/>
                <w:color w:val="000000"/>
                <w:lang w:eastAsia="cs-CZ"/>
              </w:rPr>
            </w:pPr>
            <w:r w:rsidRPr="00FE332A">
              <w:rPr>
                <w:rFonts w:ascii="Arial" w:eastAsia="Times New Roman" w:hAnsi="Arial" w:cs="Arial"/>
                <w:color w:val="000000"/>
                <w:lang w:eastAsia="cs-CZ"/>
              </w:rPr>
              <w:t>99255</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right"/>
              <w:rPr>
                <w:rFonts w:ascii="Arial" w:eastAsia="Times New Roman" w:hAnsi="Arial" w:cs="Arial"/>
                <w:color w:val="000000"/>
                <w:lang w:eastAsia="cs-CZ"/>
              </w:rPr>
            </w:pPr>
            <w:r w:rsidRPr="00FE332A">
              <w:rPr>
                <w:rFonts w:ascii="Arial" w:eastAsia="Times New Roman" w:hAnsi="Arial" w:cs="Arial"/>
                <w:color w:val="000000"/>
                <w:lang w:eastAsia="cs-CZ"/>
              </w:rPr>
              <w:t>8473</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color w:val="000000"/>
                <w:lang w:eastAsia="cs-CZ"/>
              </w:rPr>
            </w:pPr>
            <w:r w:rsidRPr="00FE332A">
              <w:rPr>
                <w:rFonts w:ascii="Arial" w:eastAsia="Times New Roman" w:hAnsi="Arial" w:cs="Arial"/>
                <w:color w:val="000000"/>
                <w:lang w:eastAsia="cs-CZ"/>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FE332A" w:rsidRPr="00FE332A" w:rsidRDefault="00FE332A" w:rsidP="00FE332A">
            <w:pPr>
              <w:suppressAutoHyphens w:val="0"/>
              <w:spacing w:after="0" w:line="240" w:lineRule="auto"/>
              <w:jc w:val="right"/>
              <w:rPr>
                <w:rFonts w:ascii="Arial" w:eastAsia="Times New Roman" w:hAnsi="Arial" w:cs="Arial"/>
                <w:color w:val="000000"/>
                <w:lang w:eastAsia="cs-CZ"/>
              </w:rPr>
            </w:pPr>
            <w:r w:rsidRPr="00FE332A">
              <w:rPr>
                <w:rFonts w:ascii="Arial" w:eastAsia="Times New Roman" w:hAnsi="Arial" w:cs="Arial"/>
                <w:color w:val="000000"/>
                <w:lang w:eastAsia="cs-CZ"/>
              </w:rPr>
              <w:t>80590</w:t>
            </w: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jc w:val="right"/>
              <w:rPr>
                <w:rFonts w:ascii="Arial" w:eastAsia="Times New Roman" w:hAnsi="Arial" w:cs="Arial"/>
                <w:color w:val="000000"/>
                <w:lang w:eastAsia="cs-CZ"/>
              </w:rPr>
            </w:pPr>
          </w:p>
        </w:tc>
      </w:tr>
      <w:tr w:rsidR="00FE332A" w:rsidRPr="00FE332A" w:rsidTr="00FE332A">
        <w:trPr>
          <w:trHeight w:val="417"/>
        </w:trPr>
        <w:tc>
          <w:tcPr>
            <w:tcW w:w="4000" w:type="dxa"/>
            <w:gridSpan w:val="2"/>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sz w:val="24"/>
                <w:szCs w:val="24"/>
                <w:lang w:eastAsia="cs-CZ"/>
              </w:rPr>
            </w:pPr>
            <w:r w:rsidRPr="00FE332A">
              <w:rPr>
                <w:rFonts w:ascii="Arial" w:eastAsia="Times New Roman" w:hAnsi="Arial" w:cs="Arial"/>
                <w:b/>
                <w:bCs/>
                <w:color w:val="000000"/>
                <w:sz w:val="24"/>
                <w:szCs w:val="24"/>
                <w:lang w:eastAsia="cs-CZ"/>
              </w:rPr>
              <w:t>Veškeré ceny uvádějte bez DPH.</w:t>
            </w:r>
          </w:p>
        </w:tc>
        <w:tc>
          <w:tcPr>
            <w:tcW w:w="92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Arial" w:eastAsia="Times New Roman" w:hAnsi="Arial" w:cs="Arial"/>
                <w:b/>
                <w:bCs/>
                <w:color w:val="000000"/>
                <w:sz w:val="24"/>
                <w:szCs w:val="24"/>
                <w:lang w:eastAsia="cs-CZ"/>
              </w:rPr>
            </w:pPr>
          </w:p>
        </w:tc>
        <w:tc>
          <w:tcPr>
            <w:tcW w:w="146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rsidR="00FE332A" w:rsidRPr="00FE332A" w:rsidRDefault="00FE332A" w:rsidP="00FE332A">
            <w:pPr>
              <w:suppressAutoHyphens w:val="0"/>
              <w:spacing w:after="0" w:line="240" w:lineRule="auto"/>
              <w:rPr>
                <w:rFonts w:ascii="Times New Roman" w:eastAsia="Times New Roman" w:hAnsi="Times New Roman" w:cs="Times New Roman"/>
                <w:sz w:val="20"/>
                <w:szCs w:val="20"/>
                <w:lang w:eastAsia="cs-CZ"/>
              </w:rPr>
            </w:pPr>
          </w:p>
        </w:tc>
      </w:tr>
    </w:tbl>
    <w:p w:rsidR="00FE332A" w:rsidRDefault="00FE332A">
      <w:pPr>
        <w:pStyle w:val="Bezmezer"/>
      </w:pPr>
    </w:p>
    <w:sectPr w:rsidR="00FE332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F03"/>
    <w:multiLevelType w:val="multilevel"/>
    <w:tmpl w:val="C30AE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8E1A9D"/>
    <w:multiLevelType w:val="multilevel"/>
    <w:tmpl w:val="46BE73AE"/>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1E1E16"/>
    <w:multiLevelType w:val="multilevel"/>
    <w:tmpl w:val="E01A080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D02685"/>
    <w:multiLevelType w:val="multilevel"/>
    <w:tmpl w:val="C9A08C4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BC1F88"/>
    <w:multiLevelType w:val="multilevel"/>
    <w:tmpl w:val="CDAE31D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A175197"/>
    <w:multiLevelType w:val="multilevel"/>
    <w:tmpl w:val="9788D2D8"/>
    <w:lvl w:ilvl="0">
      <w:start w:val="1"/>
      <w:numFmt w:val="decimal"/>
      <w:lvlText w:val="%1."/>
      <w:lvlJc w:val="left"/>
      <w:pPr>
        <w:tabs>
          <w:tab w:val="num" w:pos="360"/>
        </w:tabs>
        <w:ind w:left="360" w:hanging="360"/>
      </w:pPr>
      <w:rPr>
        <w:b w:val="0"/>
        <w:i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1"/>
    <w:lvlOverride w:ilvl="0">
      <w:startOverride w:val="1"/>
    </w:lvlOverride>
  </w:num>
  <w:num w:numId="8">
    <w:abstractNumId w:val="3"/>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A9"/>
    <w:rsid w:val="00486CA9"/>
    <w:rsid w:val="00CD427E"/>
    <w:rsid w:val="00FE33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4916"/>
  <w15:docId w15:val="{16BF92C5-3797-46F0-B983-65547D43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D6780"/>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5D6780"/>
    <w:pPr>
      <w:spacing w:after="0" w:line="240" w:lineRule="auto"/>
    </w:pPr>
    <w:rPr>
      <w:rFonts w:ascii="Segoe UI" w:hAnsi="Segoe UI" w:cs="Segoe UI"/>
      <w:sz w:val="18"/>
      <w:szCs w:val="18"/>
    </w:rPr>
  </w:style>
  <w:style w:type="paragraph" w:customStyle="1" w:styleId="Default">
    <w:name w:val="Default"/>
    <w:qFormat/>
    <w:rsid w:val="003E413E"/>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4A54B5"/>
    <w:pPr>
      <w:ind w:left="720"/>
      <w:contextualSpacing/>
    </w:pPr>
  </w:style>
  <w:style w:type="paragraph" w:styleId="Bezmezer">
    <w:name w:val="No Spacing"/>
    <w:uiPriority w:val="1"/>
    <w:qFormat/>
    <w:rsid w:val="00BB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2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EE38-6CD0-4D7A-8737-6E99037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1132</Words>
  <Characters>6684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Foubíková Soňa</cp:lastModifiedBy>
  <cp:revision>4</cp:revision>
  <cp:lastPrinted>2023-02-16T11:31:00Z</cp:lastPrinted>
  <dcterms:created xsi:type="dcterms:W3CDTF">2024-01-23T14:32:00Z</dcterms:created>
  <dcterms:modified xsi:type="dcterms:W3CDTF">2024-01-26T06:49:00Z</dcterms:modified>
  <dc:language>cs-CZ</dc:language>
</cp:coreProperties>
</file>