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4ECB46AA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 xml:space="preserve">č. </w:t>
      </w:r>
      <w:r w:rsidR="00C048C0" w:rsidRPr="00C048C0">
        <w:rPr>
          <w:rFonts w:cs="Arial"/>
          <w:b/>
        </w:rPr>
        <w:t>D/4814/2023/STR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4665706B" w14:textId="77777777" w:rsidR="00A059A0" w:rsidRDefault="00A059A0" w:rsidP="00E82920">
      <w:pPr>
        <w:pStyle w:val="Bezmezer"/>
        <w:spacing w:line="276" w:lineRule="auto"/>
        <w:jc w:val="center"/>
      </w:pPr>
    </w:p>
    <w:p w14:paraId="3351ED77" w14:textId="77777777" w:rsidR="00A059A0" w:rsidRDefault="00A059A0" w:rsidP="00E82920">
      <w:pPr>
        <w:pStyle w:val="Bezmezer"/>
        <w:spacing w:line="276" w:lineRule="auto"/>
        <w:jc w:val="center"/>
      </w:pP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5F130106" w14:textId="77777777" w:rsidTr="002321A0">
        <w:tc>
          <w:tcPr>
            <w:tcW w:w="2122" w:type="dxa"/>
          </w:tcPr>
          <w:p w14:paraId="4BF23ED6" w14:textId="33BD4E3B" w:rsidR="002321A0" w:rsidRDefault="002321A0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4817DBAC" w14:textId="77777777" w:rsidR="007665CC" w:rsidRDefault="007665CC" w:rsidP="007665CC">
            <w:pPr>
              <w:pStyle w:val="Bezmezer"/>
              <w:spacing w:line="276" w:lineRule="auto"/>
            </w:pPr>
            <w:r>
              <w:t>Zlínský kraj</w:t>
            </w:r>
          </w:p>
          <w:p w14:paraId="56533F0F" w14:textId="77777777" w:rsidR="007665CC" w:rsidRDefault="007665CC" w:rsidP="007665CC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52A6F9AA" w14:textId="77777777" w:rsidR="007665CC" w:rsidRDefault="007665CC" w:rsidP="007665CC">
            <w:pPr>
              <w:pStyle w:val="Bezmezer"/>
              <w:spacing w:line="276" w:lineRule="auto"/>
            </w:pPr>
            <w:r w:rsidRPr="00BC0BE0">
              <w:t>zastupuje:</w:t>
            </w:r>
            <w:r>
              <w:t> Ing. Radim Holiš,</w:t>
            </w:r>
            <w:r w:rsidRPr="00BC0BE0">
              <w:t xml:space="preserve"> hejtman</w:t>
            </w:r>
            <w:r>
              <w:t xml:space="preserve"> </w:t>
            </w:r>
          </w:p>
          <w:p w14:paraId="6AC4D914" w14:textId="77777777" w:rsidR="007665CC" w:rsidRDefault="007665CC" w:rsidP="007665CC">
            <w:pPr>
              <w:pStyle w:val="Bezmezer"/>
              <w:spacing w:line="276" w:lineRule="auto"/>
            </w:pPr>
            <w:r>
              <w:t>IČO: 70891320</w:t>
            </w:r>
          </w:p>
          <w:p w14:paraId="1CC8CACE" w14:textId="77777777" w:rsidR="007665CC" w:rsidRDefault="007665CC" w:rsidP="007665CC">
            <w:pPr>
              <w:pStyle w:val="Bezmezer"/>
              <w:spacing w:line="276" w:lineRule="auto"/>
            </w:pPr>
            <w:r w:rsidRPr="00BC0BE0">
              <w:t>bankovní spojení:</w:t>
            </w:r>
            <w:r>
              <w:t> </w:t>
            </w:r>
            <w:r>
              <w:rPr>
                <w:rFonts w:cs="Arial"/>
                <w:szCs w:val="20"/>
              </w:rPr>
              <w:t xml:space="preserve">Česká spořitelna, a.s. č. </w:t>
            </w:r>
            <w:proofErr w:type="spellStart"/>
            <w:r>
              <w:rPr>
                <w:rFonts w:cs="Arial"/>
                <w:szCs w:val="20"/>
              </w:rPr>
              <w:t>ú.</w:t>
            </w:r>
            <w:proofErr w:type="spellEnd"/>
            <w:r>
              <w:rPr>
                <w:rFonts w:cs="Arial"/>
                <w:szCs w:val="20"/>
              </w:rPr>
              <w:t xml:space="preserve"> 1827552/0800</w:t>
            </w:r>
          </w:p>
          <w:p w14:paraId="27616957" w14:textId="5E190219" w:rsidR="002321A0" w:rsidRDefault="007665CC" w:rsidP="007665CC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2727947E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116E2AE0" w14:textId="77777777" w:rsidTr="00347047">
        <w:tc>
          <w:tcPr>
            <w:tcW w:w="2122" w:type="dxa"/>
          </w:tcPr>
          <w:p w14:paraId="4A1B1AFE" w14:textId="77777777" w:rsidR="00A059A0" w:rsidRDefault="00A059A0" w:rsidP="00347047">
            <w:pPr>
              <w:pStyle w:val="Bezmezer"/>
              <w:spacing w:line="276" w:lineRule="auto"/>
            </w:pPr>
          </w:p>
          <w:p w14:paraId="1D18D164" w14:textId="7A487E1D" w:rsidR="002321A0" w:rsidRDefault="002321A0" w:rsidP="00347047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1EB7D3B1" w14:textId="77777777" w:rsidR="00A059A0" w:rsidRDefault="00A059A0" w:rsidP="007665CC">
            <w:pPr>
              <w:pStyle w:val="Bezmezer"/>
              <w:spacing w:line="276" w:lineRule="auto"/>
            </w:pPr>
          </w:p>
          <w:p w14:paraId="34A7C5C9" w14:textId="440213A1" w:rsidR="007665CC" w:rsidRDefault="007665CC" w:rsidP="007665CC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Region Bílé Karpaty</w:t>
            </w:r>
          </w:p>
          <w:p w14:paraId="235B6F69" w14:textId="77777777" w:rsidR="007665CC" w:rsidRPr="00BC0BE0" w:rsidRDefault="007665CC" w:rsidP="007665CC">
            <w:pPr>
              <w:pStyle w:val="Bezmezer"/>
              <w:spacing w:line="276" w:lineRule="auto"/>
            </w:pPr>
            <w:r w:rsidRPr="00BC0BE0">
              <w:t>sídlo/ adresa bydliště:</w:t>
            </w:r>
            <w:r>
              <w:t xml:space="preserve"> nám. </w:t>
            </w:r>
            <w:proofErr w:type="spellStart"/>
            <w:r>
              <w:t>T.G.Masaryka</w:t>
            </w:r>
            <w:proofErr w:type="spellEnd"/>
            <w:r>
              <w:t xml:space="preserve"> 2433, 760 01 Zlín</w:t>
            </w:r>
            <w:r w:rsidRPr="00BC0BE0">
              <w:t xml:space="preserve"> </w:t>
            </w:r>
          </w:p>
          <w:p w14:paraId="05CDDC40" w14:textId="77777777" w:rsidR="007665CC" w:rsidRPr="0077026D" w:rsidRDefault="007665CC" w:rsidP="007665CC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>
              <w:t> </w:t>
            </w:r>
            <w:r>
              <w:rPr>
                <w:rFonts w:cs="Arial"/>
                <w:szCs w:val="20"/>
              </w:rPr>
              <w:t>zájmové sdružení právnických osob</w:t>
            </w:r>
          </w:p>
          <w:p w14:paraId="45873334" w14:textId="77777777" w:rsidR="007665CC" w:rsidRPr="0077026D" w:rsidRDefault="007665CC" w:rsidP="007665CC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>
              <w:t> 70849153</w:t>
            </w:r>
          </w:p>
          <w:p w14:paraId="6EC43551" w14:textId="77777777" w:rsidR="007665CC" w:rsidRPr="00BC0BE0" w:rsidRDefault="007665CC" w:rsidP="007665CC">
            <w:pPr>
              <w:pStyle w:val="Bezmezer"/>
              <w:spacing w:line="276" w:lineRule="auto"/>
            </w:pPr>
            <w:r>
              <w:t xml:space="preserve">bankovní spojení: Československá obchodní banka, a.s. </w:t>
            </w:r>
            <w:proofErr w:type="spellStart"/>
            <w:r>
              <w:t>č.ú</w:t>
            </w:r>
            <w:proofErr w:type="spellEnd"/>
            <w:r>
              <w:t>.: 203049613/0300</w:t>
            </w:r>
          </w:p>
          <w:p w14:paraId="783E660C" w14:textId="77777777" w:rsidR="007665CC" w:rsidRDefault="007665CC" w:rsidP="007665CC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zapsaný u KS v</w:t>
            </w:r>
            <w:r>
              <w:t> Brně</w:t>
            </w:r>
            <w:r w:rsidRPr="00BC0BE0">
              <w:t>, oddíl</w:t>
            </w:r>
            <w:r>
              <w:t> L.</w:t>
            </w:r>
            <w:r w:rsidRPr="00BC0BE0">
              <w:t>, vložka</w:t>
            </w:r>
            <w:r>
              <w:t> 19522</w:t>
            </w:r>
          </w:p>
          <w:p w14:paraId="0CDDE3DB" w14:textId="77777777" w:rsidR="007665CC" w:rsidRPr="00E82920" w:rsidRDefault="007665CC" w:rsidP="007665CC">
            <w:pPr>
              <w:pStyle w:val="Bezmezer"/>
              <w:spacing w:line="276" w:lineRule="auto"/>
            </w:pPr>
            <w:r>
              <w:t>zastoupen: Ing. Daniel Šulák, předseda sdružení</w:t>
            </w:r>
          </w:p>
          <w:p w14:paraId="5E69A54A" w14:textId="77777777" w:rsidR="002321A0" w:rsidRDefault="007665CC" w:rsidP="007665CC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  <w:p w14:paraId="7764EB4C" w14:textId="77777777" w:rsidR="00A059A0" w:rsidRDefault="00A059A0" w:rsidP="007665CC">
            <w:pPr>
              <w:pStyle w:val="Bezmezer"/>
              <w:spacing w:line="276" w:lineRule="auto"/>
            </w:pPr>
          </w:p>
          <w:p w14:paraId="27F8DE20" w14:textId="377B0806" w:rsidR="00A059A0" w:rsidRDefault="00A059A0" w:rsidP="007665CC">
            <w:pPr>
              <w:pStyle w:val="Bezmezer"/>
              <w:spacing w:line="276" w:lineRule="auto"/>
            </w:pPr>
          </w:p>
        </w:tc>
      </w:tr>
    </w:tbl>
    <w:p w14:paraId="3CA0C8B2" w14:textId="77777777" w:rsidR="0077026D" w:rsidRPr="00C7203C" w:rsidRDefault="0077026D" w:rsidP="00C7203C">
      <w:pPr>
        <w:pStyle w:val="Nadpis1"/>
      </w:pPr>
      <w:r w:rsidRPr="00C7203C">
        <w:t>Předmět smlouvy</w:t>
      </w:r>
    </w:p>
    <w:p w14:paraId="7F4039BD" w14:textId="29D3F733" w:rsidR="0077026D" w:rsidRDefault="0077026D" w:rsidP="00C7203C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Pr="0013520D">
        <w:t xml:space="preserve"> 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2321A0">
        <w:t> </w:t>
      </w:r>
      <w:r w:rsidR="007665CC">
        <w:t>700.000,- Kč</w:t>
      </w:r>
      <w:r w:rsidRPr="0013520D">
        <w:t>, (slovy:</w:t>
      </w:r>
      <w:r w:rsidR="002321A0">
        <w:t> </w:t>
      </w:r>
      <w:proofErr w:type="spellStart"/>
      <w:r w:rsidR="007665CC">
        <w:t>sedmsettisíckorunčeských</w:t>
      </w:r>
      <w:proofErr w:type="spellEnd"/>
      <w:r w:rsidRPr="0013520D">
        <w:t xml:space="preserve">), současně však </w:t>
      </w:r>
      <w:r w:rsidRPr="003D6A1A">
        <w:rPr>
          <w:b/>
        </w:rPr>
        <w:t>maximálně</w:t>
      </w:r>
      <w:r w:rsidR="002321A0">
        <w:rPr>
          <w:b/>
        </w:rPr>
        <w:t> </w:t>
      </w:r>
      <w:r w:rsidR="007665CC">
        <w:rPr>
          <w:b/>
        </w:rPr>
        <w:t>70%</w:t>
      </w:r>
      <w:r w:rsidRPr="003D6A1A">
        <w:rPr>
          <w:b/>
        </w:rPr>
        <w:t xml:space="preserve"> celkových způsobilých výdajů</w:t>
      </w:r>
      <w:r w:rsidRPr="0013520D">
        <w:t xml:space="preserve"> projektu na realizaci projektu</w:t>
      </w:r>
      <w:r>
        <w:t>:</w:t>
      </w:r>
      <w:r w:rsidR="007665CC">
        <w:t xml:space="preserve"> Zajištění provozu sdružení Region Bílé Karpaty v roce 2024 </w:t>
      </w:r>
      <w:r w:rsidRPr="0013520D">
        <w:t>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 w:rsidR="002321A0">
        <w:t> </w:t>
      </w:r>
      <w:r w:rsidRPr="0013520D">
        <w:t>poskytnutí dotace</w:t>
      </w:r>
      <w:r w:rsidR="007665CC">
        <w:t xml:space="preserve"> IND/2024/007.</w:t>
      </w:r>
    </w:p>
    <w:p w14:paraId="60718E69" w14:textId="1BDF5D35" w:rsidR="00FE30D6" w:rsidRPr="002D44F1" w:rsidRDefault="00DB0265" w:rsidP="00FE30D6">
      <w:pPr>
        <w:pStyle w:val="2rove"/>
      </w:pPr>
      <w:r w:rsidRPr="002D44F1">
        <w:t>Dotace je poskytována na</w:t>
      </w:r>
      <w:r w:rsidR="002321A0">
        <w:t> </w:t>
      </w:r>
      <w:r w:rsidR="00FE30D6">
        <w:rPr>
          <w:rFonts w:cs="Arial"/>
        </w:rPr>
        <w:t>k</w:t>
      </w:r>
      <w:r w:rsidR="00FE30D6" w:rsidRPr="00603406">
        <w:rPr>
          <w:rFonts w:cs="Arial"/>
        </w:rPr>
        <w:t xml:space="preserve">rytí provozních výdajů </w:t>
      </w:r>
      <w:r w:rsidR="00FE30D6" w:rsidRPr="0074765A">
        <w:rPr>
          <w:rFonts w:cs="Arial"/>
        </w:rPr>
        <w:t xml:space="preserve">sdružení v době realizace projektu Fond malých projektů (dále jen FMP), které </w:t>
      </w:r>
      <w:r w:rsidR="00FE30D6">
        <w:rPr>
          <w:rFonts w:cs="Arial"/>
        </w:rPr>
        <w:t>nelze uplatnit v projektu FMP</w:t>
      </w:r>
      <w:r w:rsidR="007A1DF7">
        <w:rPr>
          <w:rFonts w:cs="Arial"/>
        </w:rPr>
        <w:t xml:space="preserve">, </w:t>
      </w:r>
      <w:r w:rsidR="00FE30D6">
        <w:rPr>
          <w:rFonts w:cs="Arial"/>
        </w:rPr>
        <w:t>ke krytí nezpůsobilých výdajů a ke krytí dalších provozní</w:t>
      </w:r>
      <w:r w:rsidR="00503743">
        <w:rPr>
          <w:rFonts w:cs="Arial"/>
        </w:rPr>
        <w:t>c</w:t>
      </w:r>
      <w:r w:rsidR="00FE30D6">
        <w:rPr>
          <w:rFonts w:cs="Arial"/>
        </w:rPr>
        <w:t>h výdajů</w:t>
      </w:r>
      <w:r w:rsidR="007A1DF7" w:rsidRPr="007A1DF7">
        <w:rPr>
          <w:rFonts w:cs="Arial"/>
        </w:rPr>
        <w:t xml:space="preserve"> </w:t>
      </w:r>
      <w:r w:rsidR="007A1DF7">
        <w:rPr>
          <w:rFonts w:cs="Arial"/>
        </w:rPr>
        <w:t>souvisejících s činností RBK</w:t>
      </w:r>
      <w:r w:rsidR="00503743">
        <w:rPr>
          <w:rFonts w:cs="Arial"/>
        </w:rPr>
        <w:t xml:space="preserve">. </w:t>
      </w:r>
    </w:p>
    <w:p w14:paraId="45CCEA89" w14:textId="74161C8C" w:rsidR="00E14143" w:rsidRDefault="00DB0265" w:rsidP="00503743">
      <w:pPr>
        <w:pStyle w:val="2rove"/>
      </w:pPr>
      <w:r w:rsidRPr="00C7203C">
        <w:t>Příjemce</w:t>
      </w:r>
      <w:r w:rsidRPr="0013520D">
        <w:t xml:space="preserve"> se zavazuje zrealizovat projekt tak, jak je popsán v žádosti o poskytnutí dotace.</w:t>
      </w:r>
    </w:p>
    <w:p w14:paraId="67028B86" w14:textId="77777777" w:rsidR="00A059A0" w:rsidRDefault="00A059A0" w:rsidP="00A059A0">
      <w:pPr>
        <w:pStyle w:val="2rove"/>
        <w:numPr>
          <w:ilvl w:val="0"/>
          <w:numId w:val="0"/>
        </w:numPr>
        <w:ind w:left="567"/>
      </w:pPr>
    </w:p>
    <w:p w14:paraId="614E5E83" w14:textId="77777777" w:rsidR="00E14143" w:rsidRPr="00C7203C" w:rsidRDefault="008E7B6E" w:rsidP="00C7203C">
      <w:pPr>
        <w:pStyle w:val="Nadpis1"/>
      </w:pPr>
      <w:r w:rsidRPr="00C7203C">
        <w:t>Doba realizace</w:t>
      </w:r>
    </w:p>
    <w:p w14:paraId="168CB224" w14:textId="3BC9A822" w:rsidR="008E7B6E" w:rsidRDefault="00F575F2" w:rsidP="00C7203C">
      <w:pPr>
        <w:pStyle w:val="2rove"/>
      </w:pPr>
      <w:r>
        <w:t>Doba realizace</w:t>
      </w:r>
      <w:r w:rsidR="00FF0072" w:rsidRPr="00FF0072">
        <w:t xml:space="preserve"> </w:t>
      </w:r>
      <w:r w:rsidRPr="00C7203C">
        <w:t>začíná</w:t>
      </w:r>
      <w:r>
        <w:t xml:space="preserve"> dnem</w:t>
      </w:r>
      <w:r w:rsidR="003B2BC2">
        <w:t xml:space="preserve"> 1.1.2024</w:t>
      </w:r>
      <w:r w:rsidR="008414F3">
        <w:t>.</w:t>
      </w:r>
      <w:r w:rsidR="00B21DB2">
        <w:t xml:space="preserve"> </w:t>
      </w:r>
    </w:p>
    <w:p w14:paraId="4BA5A893" w14:textId="30434A30" w:rsidR="00D143CD" w:rsidRDefault="00F575F2" w:rsidP="00C7203C">
      <w:pPr>
        <w:pStyle w:val="2rove"/>
      </w:pPr>
      <w:r>
        <w:t>Doba realizace</w:t>
      </w:r>
      <w:r w:rsidR="008E7B6E">
        <w:t xml:space="preserve"> </w:t>
      </w:r>
      <w:proofErr w:type="gramStart"/>
      <w:r>
        <w:t>končí</w:t>
      </w:r>
      <w:proofErr w:type="gramEnd"/>
      <w:r>
        <w:t xml:space="preserve"> dnem</w:t>
      </w:r>
      <w:r w:rsidR="003B2BC2">
        <w:t> 31.12.2024.</w:t>
      </w:r>
    </w:p>
    <w:p w14:paraId="07DE0DEA" w14:textId="215D19F7" w:rsidR="00444289" w:rsidRDefault="002B4723" w:rsidP="00C7203C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C7203C">
      <w:pPr>
        <w:pStyle w:val="Nadpis1"/>
      </w:pPr>
      <w:r w:rsidRPr="00C7203C">
        <w:t>Monitorovací</w:t>
      </w:r>
      <w:r w:rsidRPr="0013520D">
        <w:t xml:space="preserve"> indikátory</w:t>
      </w:r>
    </w:p>
    <w:p w14:paraId="50F1FF48" w14:textId="35C91A55" w:rsidR="008E7B6E" w:rsidRPr="008E7B6E" w:rsidRDefault="008E7B6E" w:rsidP="00C7203C">
      <w:pPr>
        <w:pStyle w:val="2rove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C7203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lastRenderedPageBreak/>
              <w:t>Monitorovací indikátory – výstupy projektu</w:t>
            </w:r>
          </w:p>
        </w:tc>
      </w:tr>
      <w:tr w:rsidR="008E7B6E" w:rsidRPr="001426D2" w14:paraId="26E58FCE" w14:textId="77777777" w:rsidTr="00C7203C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 w:rsidRPr="001426D2">
              <w:rPr>
                <w:rFonts w:cs="Arial"/>
                <w:snapToGrid w:val="0"/>
                <w:sz w:val="16"/>
                <w:szCs w:val="16"/>
              </w:rPr>
              <w:t>poř</w:t>
            </w:r>
            <w:proofErr w:type="spellEnd"/>
            <w:r w:rsidRPr="001426D2">
              <w:rPr>
                <w:rFonts w:cs="Arial"/>
                <w:snapToGrid w:val="0"/>
                <w:sz w:val="16"/>
                <w:szCs w:val="16"/>
              </w:rPr>
              <w:t>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61D86D70" w14:textId="77777777" w:rsidTr="00C7203C">
        <w:trPr>
          <w:trHeight w:hRule="exact" w:val="291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CA8636" w14:textId="34810969" w:rsidR="008E7B6E" w:rsidRPr="001426D2" w:rsidRDefault="00D52EB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892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8B9E2F" w14:textId="63804551" w:rsidR="008E7B6E" w:rsidRPr="001426D2" w:rsidRDefault="00D52EB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Informační dotační seminář pro členy RBK a zájemce ze ZLK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403F60" w14:textId="31D837EB" w:rsidR="008E7B6E" w:rsidRPr="001426D2" w:rsidRDefault="00D52EB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Počet</w:t>
            </w:r>
          </w:p>
        </w:tc>
        <w:tc>
          <w:tcPr>
            <w:tcW w:w="839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65CC1898" w14:textId="6AAEDBCB" w:rsidR="008E7B6E" w:rsidRPr="001426D2" w:rsidRDefault="00D52EB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</w:tr>
      <w:tr w:rsidR="008E7B6E" w:rsidRPr="001426D2" w14:paraId="17E68272" w14:textId="77777777" w:rsidTr="006343DC">
        <w:trPr>
          <w:trHeight w:hRule="exact" w:val="590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6EB42F2" w14:textId="3CD79600" w:rsidR="008E7B6E" w:rsidRPr="001426D2" w:rsidRDefault="00D52EB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740EE9" w14:textId="2D604960" w:rsidR="008E7B6E" w:rsidRPr="001426D2" w:rsidRDefault="00D52EB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Jednání Správců FMP v rámci AEČR</w:t>
            </w:r>
            <w:r w:rsidR="006343DC">
              <w:rPr>
                <w:rFonts w:cs="Arial"/>
                <w:snapToGrid w:val="0"/>
                <w:sz w:val="18"/>
                <w:szCs w:val="18"/>
              </w:rPr>
              <w:t xml:space="preserve"> (Asociace euroregionů České republiky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16CE80B" w14:textId="7FDAB86B" w:rsidR="008E7B6E" w:rsidRPr="001426D2" w:rsidRDefault="00D52EB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Počet 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2A0EE150" w14:textId="3FE6BA2A" w:rsidR="008E7B6E" w:rsidRPr="001426D2" w:rsidRDefault="00D52EB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</w:t>
            </w:r>
          </w:p>
        </w:tc>
      </w:tr>
      <w:tr w:rsidR="008E7B6E" w:rsidRPr="001426D2" w14:paraId="1D176CE0" w14:textId="77777777" w:rsidTr="00C7203C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2714BA" w14:textId="39945DBF" w:rsidR="008E7B6E" w:rsidRPr="001426D2" w:rsidRDefault="00D52EB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3.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352D7B8" w14:textId="502C0031" w:rsidR="008E7B6E" w:rsidRPr="001426D2" w:rsidRDefault="00D52EB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Jednání Euroregionu Bílé – </w:t>
            </w:r>
            <w:proofErr w:type="spellStart"/>
            <w:r>
              <w:rPr>
                <w:rFonts w:cs="Arial"/>
                <w:snapToGrid w:val="0"/>
                <w:sz w:val="18"/>
                <w:szCs w:val="18"/>
              </w:rPr>
              <w:t>Biele</w:t>
            </w:r>
            <w:proofErr w:type="spellEnd"/>
            <w:r>
              <w:rPr>
                <w:rFonts w:cs="Arial"/>
                <w:snapToGrid w:val="0"/>
                <w:sz w:val="18"/>
                <w:szCs w:val="18"/>
              </w:rPr>
              <w:t xml:space="preserve"> Karpaty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2A97DF" w14:textId="15CB895F" w:rsidR="008E7B6E" w:rsidRPr="001426D2" w:rsidRDefault="00D52EB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Počet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791105C6" w14:textId="1B75AFF8" w:rsidR="008E7B6E" w:rsidRPr="001426D2" w:rsidRDefault="00D52EB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</w:tr>
    </w:tbl>
    <w:p w14:paraId="115BE40A" w14:textId="77777777" w:rsidR="00530D1A" w:rsidRDefault="00530D1A" w:rsidP="00C7203C">
      <w:pPr>
        <w:pStyle w:val="Nadpis1"/>
      </w:pPr>
      <w:r w:rsidRPr="00C7203C">
        <w:t>Financování</w:t>
      </w:r>
      <w:r>
        <w:t xml:space="preserve"> projektu</w:t>
      </w:r>
    </w:p>
    <w:p w14:paraId="1C097517" w14:textId="0A6E7DB4" w:rsidR="00313DE9" w:rsidRPr="0013520D" w:rsidRDefault="00530D1A" w:rsidP="00183871">
      <w:pPr>
        <w:pStyle w:val="2rove"/>
      </w:pPr>
      <w:r w:rsidRPr="0013520D">
        <w:t xml:space="preserve">Dotace bude příjemci poskytnuta na účet uvedený v záhlaví této smlouvy následujícím způsobem: </w:t>
      </w:r>
      <w:r w:rsidR="00A47B8D" w:rsidRPr="003D6A1A">
        <w:rPr>
          <w:b/>
        </w:rPr>
        <w:t>do 30 pracovních dnů po nabytí účinnosti této smlouvy</w:t>
      </w:r>
      <w:r w:rsidR="00A47B8D" w:rsidRPr="0013520D">
        <w:t xml:space="preserve"> bude vyplacena </w:t>
      </w:r>
      <w:r w:rsidR="00A47B8D" w:rsidRPr="003D6A1A">
        <w:rPr>
          <w:b/>
        </w:rPr>
        <w:t>první část</w:t>
      </w:r>
      <w:r w:rsidR="00A47B8D" w:rsidRPr="0013520D">
        <w:t xml:space="preserve"> dotace ve výši</w:t>
      </w:r>
      <w:r w:rsidR="00A47B8D">
        <w:t xml:space="preserve"> 630.000 </w:t>
      </w:r>
      <w:r w:rsidR="00A47B8D" w:rsidRPr="0013520D">
        <w:t>Kč (</w:t>
      </w:r>
      <w:proofErr w:type="spellStart"/>
      <w:r w:rsidR="00A47B8D" w:rsidRPr="0013520D">
        <w:t>slovy:</w:t>
      </w:r>
      <w:r w:rsidR="00A47B8D">
        <w:t>šestsettřicettisíckorunčeských</w:t>
      </w:r>
      <w:proofErr w:type="spellEnd"/>
      <w:r w:rsidR="00A47B8D">
        <w:t>).</w:t>
      </w:r>
      <w:r w:rsidR="00A47B8D" w:rsidRPr="00663A3B">
        <w:t>.</w:t>
      </w:r>
      <w:r w:rsidR="00A47B8D">
        <w:t xml:space="preserve"> </w:t>
      </w:r>
      <w:r w:rsidR="00A47B8D" w:rsidRPr="003D6A1A">
        <w:rPr>
          <w:b/>
        </w:rPr>
        <w:t>Zbylých 10 %</w:t>
      </w:r>
      <w:r w:rsidR="00A47B8D" w:rsidRPr="0013520D">
        <w:t xml:space="preserve"> z poskytované dotace, tj.</w:t>
      </w:r>
      <w:r w:rsidR="00A47B8D">
        <w:t xml:space="preserve"> maximálně 70.000,- </w:t>
      </w:r>
      <w:r w:rsidR="00A47B8D" w:rsidRPr="0013520D">
        <w:t>Kč (</w:t>
      </w:r>
      <w:proofErr w:type="spellStart"/>
      <w:r w:rsidR="00A47B8D" w:rsidRPr="0013520D">
        <w:t>slovy:</w:t>
      </w:r>
      <w:r w:rsidR="00A47B8D">
        <w:t>sedmdesáttisíckorunčeských</w:t>
      </w:r>
      <w:proofErr w:type="spellEnd"/>
      <w:r w:rsidR="00A47B8D" w:rsidRPr="0013520D">
        <w:t xml:space="preserve">), bude příjemci vyplaceno </w:t>
      </w:r>
      <w:r w:rsidR="00A47B8D" w:rsidRPr="003D6A1A">
        <w:rPr>
          <w:b/>
        </w:rPr>
        <w:t>do 20 pracovních dnů po schválení Závěrečné zprávy</w:t>
      </w:r>
      <w:r w:rsidR="00A47B8D" w:rsidRPr="0013520D">
        <w:t xml:space="preserve"> s vyúčtováním dotace předložené příjemcem dle </w:t>
      </w:r>
      <w:r w:rsidR="00A47B8D">
        <w:t>čl</w:t>
      </w:r>
      <w:r w:rsidR="00A47B8D" w:rsidRPr="0013520D">
        <w:t>. 4.</w:t>
      </w:r>
      <w:r w:rsidR="00A47B8D">
        <w:t>4</w:t>
      </w:r>
      <w:r w:rsidR="00A47B8D" w:rsidRPr="0013520D">
        <w:t>.</w:t>
      </w:r>
      <w:r w:rsidR="00313DE9" w:rsidRPr="003104C9">
        <w:rPr>
          <w:b/>
        </w:rPr>
        <w:t>.</w:t>
      </w:r>
    </w:p>
    <w:p w14:paraId="555ADB30" w14:textId="410C1CF3" w:rsidR="00CB78A2" w:rsidRDefault="00CB78A2" w:rsidP="00C7203C">
      <w:pPr>
        <w:pStyle w:val="2rove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2321A0">
        <w:t> </w:t>
      </w:r>
      <w:r w:rsidR="00AB7B42">
        <w:t>1.000.000,-</w:t>
      </w:r>
      <w:r w:rsidR="002C00E2">
        <w:t xml:space="preserve"> Kč.</w:t>
      </w:r>
      <w:r w:rsidRPr="0013520D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 xml:space="preserve">. </w:t>
      </w:r>
      <w:r w:rsidRPr="0013520D">
        <w:t>V případě poklesu celkových způsobilých výdajů projektu je příjemce povinen v termínu pro předložení Závěrečné zprávy s vyúčtováním dotace</w:t>
      </w:r>
      <w:r w:rsidR="009514A5">
        <w:t xml:space="preserve"> (dále jen „</w:t>
      </w:r>
      <w:r w:rsidR="009514A5" w:rsidRPr="000B7FE5">
        <w:rPr>
          <w:b/>
        </w:rPr>
        <w:t>závěrečná zpráva</w:t>
      </w:r>
      <w:r w:rsidR="009514A5">
        <w:t>“)</w:t>
      </w:r>
      <w:r w:rsidRPr="0013520D">
        <w:t xml:space="preserve"> vrátit část poskytnutých prostředků, která převyšuje procentní hranici celkových způsobilých výdajů projektu stanovenou v čl. 1.1. </w:t>
      </w:r>
    </w:p>
    <w:p w14:paraId="1997B69A" w14:textId="33FCC033" w:rsidR="00CB78A2" w:rsidRDefault="00CB78A2" w:rsidP="00C7203C">
      <w:pPr>
        <w:pStyle w:val="2rove"/>
      </w:pPr>
      <w:r w:rsidRPr="00CB78A2">
        <w:t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Příjemce je povinen tuto částku poskytovateli vrátit v</w:t>
      </w:r>
      <w:r w:rsidR="002321A0">
        <w:t> </w:t>
      </w:r>
      <w:r w:rsidRPr="00CB78A2">
        <w:t>termínu</w:t>
      </w:r>
      <w:r w:rsidR="009514A5">
        <w:t xml:space="preserve"> pro předložení Závěrečné zpráv</w:t>
      </w:r>
      <w:r w:rsidR="00E52928">
        <w:t>y</w:t>
      </w:r>
      <w:r w:rsidRPr="00CB78A2">
        <w:t xml:space="preserve">. </w:t>
      </w:r>
    </w:p>
    <w:p w14:paraId="6C44F694" w14:textId="3C5FA621" w:rsidR="00CB78A2" w:rsidRDefault="00CB78A2" w:rsidP="00C7203C">
      <w:pPr>
        <w:pStyle w:val="2rove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</w:t>
      </w:r>
      <w:r w:rsidR="006C420E" w:rsidRPr="00C557DB">
        <w:t>Odboru</w:t>
      </w:r>
      <w:r w:rsidR="006C420E">
        <w:t> strategického rozvoje kraje</w:t>
      </w:r>
      <w:r w:rsidR="006C420E" w:rsidRPr="00C557DB">
        <w:t xml:space="preserve"> </w:t>
      </w:r>
      <w:r w:rsidRPr="00C557DB">
        <w:t xml:space="preserve">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>zprávu, a to nejpozději do</w:t>
      </w:r>
      <w:r w:rsidR="002321A0">
        <w:rPr>
          <w:b/>
        </w:rPr>
        <w:t> </w:t>
      </w:r>
      <w:r w:rsidR="006C420E">
        <w:rPr>
          <w:b/>
        </w:rPr>
        <w:t>31.3.2025.</w:t>
      </w:r>
    </w:p>
    <w:p w14:paraId="21DE23B6" w14:textId="480B2E68" w:rsidR="00A439DD" w:rsidRDefault="00A439DD" w:rsidP="001037E9">
      <w:pPr>
        <w:pStyle w:val="2rove"/>
      </w:pPr>
      <w:r w:rsidRPr="00C557DB">
        <w:t xml:space="preserve">Závěrečnou zprávou se rozumí předložení formuláře s vyplněnou tabulkou s výčtem všech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C557DB">
        <w:t>dokladů</w:t>
      </w:r>
      <w:r>
        <w:t xml:space="preserve"> </w:t>
      </w:r>
      <w:r w:rsidR="00F575F2">
        <w:t xml:space="preserve">uvedených ve </w:t>
      </w:r>
      <w:r w:rsidR="00F575F2" w:rsidRPr="002D0504">
        <w:rPr>
          <w:b/>
        </w:rPr>
        <w:t>formuláři závěrečné zprávy</w:t>
      </w:r>
      <w:r>
        <w:t xml:space="preserve"> ve výši dotace a dokladů prokazujících jejich úhradu </w:t>
      </w:r>
      <w:r w:rsidRPr="00C557DB">
        <w:t>(tj. výpisy z bankovního účtu, výdajové a příjmové pokladní doklady)</w:t>
      </w:r>
      <w:r>
        <w:t>.</w:t>
      </w:r>
    </w:p>
    <w:p w14:paraId="6DCF458F" w14:textId="210D74C7" w:rsidR="00CD2022" w:rsidRDefault="00A439DD" w:rsidP="00F158CC">
      <w:pPr>
        <w:pStyle w:val="2rove"/>
        <w:numPr>
          <w:ilvl w:val="0"/>
          <w:numId w:val="0"/>
        </w:numPr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bude příjemci zaslán kontaktní osobou poskytovatele nejpozději na vyžádání</w:t>
      </w:r>
      <w:r w:rsidR="002D0504">
        <w:t xml:space="preserve">. </w:t>
      </w:r>
    </w:p>
    <w:p w14:paraId="5EB47DE6" w14:textId="24013737" w:rsidR="005B1088" w:rsidRDefault="00357941" w:rsidP="00C7203C">
      <w:pPr>
        <w:pStyle w:val="2rove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 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 xml:space="preserve">. </w:t>
      </w:r>
    </w:p>
    <w:p w14:paraId="4B4C1047" w14:textId="3506B331" w:rsidR="009514A5" w:rsidRPr="00A059A0" w:rsidRDefault="009514A5" w:rsidP="00C7203C">
      <w:pPr>
        <w:pStyle w:val="2rove"/>
      </w:pPr>
      <w:r>
        <w:t xml:space="preserve">V termínu pro předložení Závěrečné zprávy </w:t>
      </w:r>
      <w:r w:rsidRPr="003D6A1A">
        <w:rPr>
          <w:b/>
        </w:rPr>
        <w:t>dle čl. 4.4 vrátí příjemce nevyčerpané finanční prostředky</w:t>
      </w:r>
      <w:r>
        <w:t xml:space="preserve"> na účet poskytovatele</w:t>
      </w:r>
      <w:r w:rsidR="00415B41">
        <w:t>.</w:t>
      </w:r>
      <w:r w:rsidRPr="009514A5">
        <w:rPr>
          <w:i/>
          <w:color w:val="5B9BD5" w:themeColor="accent1"/>
          <w:sz w:val="16"/>
          <w:szCs w:val="16"/>
        </w:rPr>
        <w:t xml:space="preserve"> </w:t>
      </w:r>
    </w:p>
    <w:p w14:paraId="06C62B2D" w14:textId="77777777" w:rsidR="00A059A0" w:rsidRDefault="00A059A0" w:rsidP="00A059A0">
      <w:pPr>
        <w:pStyle w:val="2rove"/>
        <w:numPr>
          <w:ilvl w:val="0"/>
          <w:numId w:val="0"/>
        </w:numPr>
        <w:ind w:left="567"/>
      </w:pPr>
    </w:p>
    <w:p w14:paraId="258D73FC" w14:textId="77777777" w:rsidR="00CB78A2" w:rsidRDefault="00D64AB1" w:rsidP="00C7203C">
      <w:pPr>
        <w:pStyle w:val="Nadpis1"/>
      </w:pPr>
      <w:r>
        <w:t xml:space="preserve">Podmínky </w:t>
      </w:r>
      <w:r w:rsidRPr="00C7203C">
        <w:t>použití</w:t>
      </w:r>
      <w:r>
        <w:t xml:space="preserve"> dotace</w:t>
      </w:r>
    </w:p>
    <w:p w14:paraId="3EA73F26" w14:textId="77777777" w:rsidR="00D64AB1" w:rsidRDefault="00D64AB1" w:rsidP="00C7203C">
      <w:pPr>
        <w:pStyle w:val="2rove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24C77063" w14:textId="32E0C562" w:rsidR="00B007CA" w:rsidRDefault="00D64AB1" w:rsidP="00545093">
      <w:pPr>
        <w:pStyle w:val="2rove"/>
      </w:pPr>
      <w:r w:rsidRPr="0062045E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B007CA">
        <w:t xml:space="preserve"> </w:t>
      </w:r>
      <w:r w:rsidR="00D143CD" w:rsidRPr="00B007CA">
        <w:t>být jím uhrazeny do 30 dnů po ukončení doby realizace dle čl. 2.2.</w:t>
      </w:r>
      <w:r w:rsidR="00B007CA">
        <w:t xml:space="preserve"> </w:t>
      </w:r>
    </w:p>
    <w:p w14:paraId="56D64BAD" w14:textId="3F17A420" w:rsidR="00BD6C23" w:rsidRPr="00BD6C23" w:rsidRDefault="00430948" w:rsidP="00771A67">
      <w:pPr>
        <w:pStyle w:val="2rove"/>
      </w:pPr>
      <w:r w:rsidRPr="003D6A1A">
        <w:rPr>
          <w:b/>
        </w:rPr>
        <w:lastRenderedPageBreak/>
        <w:t>Nezpůsobilými výdaji</w:t>
      </w:r>
      <w:r>
        <w:t xml:space="preserve"> jsou zejména:</w:t>
      </w:r>
      <w:r w:rsidR="00C93792">
        <w:t xml:space="preserve"> </w:t>
      </w:r>
    </w:p>
    <w:p w14:paraId="15D05CE8" w14:textId="77777777" w:rsidR="0062045E" w:rsidRDefault="0062045E" w:rsidP="0062045E">
      <w:pPr>
        <w:pStyle w:val="3rove-trval"/>
        <w:tabs>
          <w:tab w:val="clear" w:pos="992"/>
          <w:tab w:val="num" w:pos="2269"/>
        </w:tabs>
        <w:ind w:left="1276" w:hanging="709"/>
      </w:pPr>
      <w:r>
        <w:t>v čase a místě neobvyklé mzdy a platy,</w:t>
      </w:r>
    </w:p>
    <w:p w14:paraId="7588EB3F" w14:textId="77777777" w:rsidR="0062045E" w:rsidRPr="002F6752" w:rsidRDefault="0062045E" w:rsidP="0062045E">
      <w:pPr>
        <w:pStyle w:val="3rove-trval"/>
        <w:tabs>
          <w:tab w:val="clear" w:pos="992"/>
          <w:tab w:val="num" w:pos="2269"/>
        </w:tabs>
        <w:ind w:left="1276" w:hanging="709"/>
      </w:pPr>
      <w:r w:rsidRPr="002F6752">
        <w:t>ostatní osobní výdaje (odměny poskytované podle zvláštních právních předpisů v případech, kdy nevzniká pracovní vztah k zaměstnavateli; odměny za využití vynálezů, průmyslových vzorů, aj.; odměny podle předpisů o autorském právu; odměny z veřejných a užších soutěží a veřejných příslibů; odchodné; odměny členům orgánů společnosti a družstva hrazené z nákladů i ze zisku; částky, které zaměstnavatel refunduje jiným zaměstnavatelům k úhradě plnění zahrnovaných do OON), s výjimkou odměn z dohod o pracích konaných mimo pracovní poměr dle zákona č. 262/2006 Sb. a odstupného poskytovaného při skončení pracovního poměru,</w:t>
      </w:r>
    </w:p>
    <w:p w14:paraId="20B5CE38" w14:textId="77777777" w:rsidR="0062045E" w:rsidRDefault="0062045E" w:rsidP="0062045E">
      <w:pPr>
        <w:pStyle w:val="3rove-trval"/>
        <w:tabs>
          <w:tab w:val="clear" w:pos="992"/>
          <w:tab w:val="num" w:pos="2269"/>
        </w:tabs>
        <w:ind w:left="1276" w:hanging="709"/>
      </w:pPr>
      <w:r w:rsidRPr="00BB690E">
        <w:t>výdaje na zaměstnance, ke kterým nejsou zaměstnavatelé povinni dle zvláštních právních předpisů (příspěvky na penzijní/životní pojištění, příspěvky na rekreaci, apod</w:t>
      </w:r>
      <w:r w:rsidRPr="00641673">
        <w:t>.),</w:t>
      </w:r>
      <w:r w:rsidRPr="002F5064">
        <w:rPr>
          <w:i/>
          <w:color w:val="5B9BD5" w:themeColor="accent1"/>
          <w:sz w:val="16"/>
          <w:szCs w:val="16"/>
        </w:rPr>
        <w:t xml:space="preserve"> </w:t>
      </w:r>
      <w:r w:rsidRPr="00253C48">
        <w:t>s výjimkou příspěvku na stravenky</w:t>
      </w:r>
      <w:r w:rsidRPr="00E517E8">
        <w:t>,</w:t>
      </w:r>
    </w:p>
    <w:p w14:paraId="79B4F768" w14:textId="77777777" w:rsidR="0062045E" w:rsidRDefault="0062045E" w:rsidP="0062045E">
      <w:pPr>
        <w:pStyle w:val="3rove-trval"/>
        <w:tabs>
          <w:tab w:val="clear" w:pos="992"/>
          <w:tab w:val="num" w:pos="2269"/>
        </w:tabs>
        <w:ind w:left="1276" w:hanging="709"/>
      </w:pPr>
      <w:r>
        <w:rPr>
          <w:rFonts w:cs="Arial"/>
          <w:szCs w:val="20"/>
        </w:rPr>
        <w:t>odměny členů statutárních či kontrolních orgánů příjemce, který je právnickou osobou,</w:t>
      </w:r>
    </w:p>
    <w:p w14:paraId="2E845269" w14:textId="57756D38" w:rsidR="0062045E" w:rsidRPr="002F6752" w:rsidRDefault="0062045E" w:rsidP="0062045E">
      <w:pPr>
        <w:pStyle w:val="3rove-trval"/>
        <w:tabs>
          <w:tab w:val="clear" w:pos="992"/>
          <w:tab w:val="num" w:pos="2269"/>
        </w:tabs>
        <w:ind w:left="1276" w:hanging="709"/>
      </w:pPr>
      <w:r w:rsidRPr="00BB690E">
        <w:t>výdaje na pořádání workshopů, teambuildingů, výjezdních zasedání, apod.</w:t>
      </w:r>
      <w:r>
        <w:t xml:space="preserve">, </w:t>
      </w:r>
      <w:r w:rsidRPr="002F6752">
        <w:t xml:space="preserve">s výjimkou informačního semináře pro členy RBK a zájemce ze ZLK, jednání ŘO a jednání Správců </w:t>
      </w:r>
      <w:r w:rsidR="007A1E22">
        <w:t>FMP</w:t>
      </w:r>
      <w:r>
        <w:t xml:space="preserve"> v rámci AEČR a jednání Euroregionu Bílé-</w:t>
      </w:r>
      <w:proofErr w:type="spellStart"/>
      <w:r>
        <w:t>Biele</w:t>
      </w:r>
      <w:proofErr w:type="spellEnd"/>
      <w:r>
        <w:t xml:space="preserve"> Karpaty,</w:t>
      </w:r>
    </w:p>
    <w:p w14:paraId="255A42EA" w14:textId="77777777" w:rsidR="0062045E" w:rsidRDefault="0062045E" w:rsidP="0062045E">
      <w:pPr>
        <w:pStyle w:val="3rove-trval"/>
        <w:tabs>
          <w:tab w:val="clear" w:pos="992"/>
          <w:tab w:val="num" w:pos="2269"/>
        </w:tabs>
        <w:ind w:left="1276" w:hanging="709"/>
      </w:pPr>
      <w:r w:rsidRPr="00BB690E">
        <w:t>výdaje na školení a kurzy</w:t>
      </w:r>
      <w:r>
        <w:t>, které nesouvisejí s účelem, na který je dotace poskytována,</w:t>
      </w:r>
    </w:p>
    <w:p w14:paraId="12C5CA66" w14:textId="77777777" w:rsidR="0062045E" w:rsidRDefault="0062045E" w:rsidP="0062045E">
      <w:pPr>
        <w:pStyle w:val="3rove-trval"/>
        <w:tabs>
          <w:tab w:val="clear" w:pos="992"/>
          <w:tab w:val="num" w:pos="2269"/>
        </w:tabs>
        <w:ind w:left="1276" w:hanging="709"/>
      </w:pPr>
      <w:r w:rsidRPr="00BB690E">
        <w:t>pokuty a finanční sankce</w:t>
      </w:r>
      <w:r>
        <w:t>,</w:t>
      </w:r>
    </w:p>
    <w:p w14:paraId="48F27828" w14:textId="77777777" w:rsidR="0062045E" w:rsidRDefault="0062045E" w:rsidP="0062045E">
      <w:pPr>
        <w:pStyle w:val="3rove-trval"/>
        <w:tabs>
          <w:tab w:val="clear" w:pos="992"/>
          <w:tab w:val="num" w:pos="2269"/>
        </w:tabs>
        <w:ind w:left="1276" w:hanging="709"/>
      </w:pPr>
      <w:r w:rsidRPr="00BB690E">
        <w:t>nákupy pozemků nebo budov</w:t>
      </w:r>
      <w:r>
        <w:t>,</w:t>
      </w:r>
    </w:p>
    <w:p w14:paraId="18F86CDA" w14:textId="77777777" w:rsidR="0062045E" w:rsidRDefault="0062045E" w:rsidP="0062045E">
      <w:pPr>
        <w:pStyle w:val="3rove-trval"/>
        <w:tabs>
          <w:tab w:val="clear" w:pos="992"/>
          <w:tab w:val="num" w:pos="2269"/>
        </w:tabs>
        <w:ind w:left="1276" w:hanging="709"/>
      </w:pPr>
      <w:r w:rsidRPr="00BB690E">
        <w:t>pořízení nebo technické zhodnocení dlouhodobého hmotného a nehmotného majetku</w:t>
      </w:r>
      <w:r>
        <w:t xml:space="preserve"> </w:t>
      </w:r>
      <w:r w:rsidRPr="003666F4">
        <w:t xml:space="preserve">(dlouhodobým hmotným majetkem se rozumí majetek, jehož doba použitelnosti je delší než 1 rok a jehož ocenění převyšuje částku </w:t>
      </w:r>
      <w:r w:rsidRPr="002F6752">
        <w:t>40 000 Kč; dlouhodobým nehmotným majetkem se rozumí majetek, jehož doba použitelnosti je delší než 1 rok a jehož ocenění převyšuje částku 60 000 Kč),</w:t>
      </w:r>
    </w:p>
    <w:p w14:paraId="0D74A444" w14:textId="77777777" w:rsidR="0062045E" w:rsidRDefault="0062045E" w:rsidP="0062045E">
      <w:pPr>
        <w:pStyle w:val="3rove-trval"/>
        <w:tabs>
          <w:tab w:val="clear" w:pos="992"/>
          <w:tab w:val="num" w:pos="2269"/>
        </w:tabs>
        <w:ind w:left="1276" w:hanging="709"/>
      </w:pPr>
      <w:r w:rsidRPr="00BB690E">
        <w:t>oprava majetku</w:t>
      </w:r>
      <w:r>
        <w:t>,</w:t>
      </w:r>
    </w:p>
    <w:p w14:paraId="4ECE799A" w14:textId="77777777" w:rsidR="0062045E" w:rsidRDefault="0062045E" w:rsidP="0062045E">
      <w:pPr>
        <w:pStyle w:val="3rove-trval"/>
        <w:tabs>
          <w:tab w:val="clear" w:pos="992"/>
          <w:tab w:val="num" w:pos="2552"/>
        </w:tabs>
        <w:ind w:left="1276" w:hanging="709"/>
      </w:pPr>
      <w:r w:rsidRPr="00BB690E">
        <w:t>výdaje na publicitu Zlínského kraje</w:t>
      </w:r>
      <w:r>
        <w:t>,</w:t>
      </w:r>
    </w:p>
    <w:p w14:paraId="621BEBED" w14:textId="77777777" w:rsidR="0062045E" w:rsidRDefault="0062045E" w:rsidP="0062045E">
      <w:pPr>
        <w:pStyle w:val="3rove-trval"/>
        <w:tabs>
          <w:tab w:val="clear" w:pos="992"/>
          <w:tab w:val="num" w:pos="2269"/>
        </w:tabs>
        <w:ind w:left="1276" w:hanging="709"/>
      </w:pPr>
      <w:r w:rsidRPr="00BB690E">
        <w:t>účetně nedoložitelné výdaje</w:t>
      </w:r>
      <w:r>
        <w:t>,</w:t>
      </w:r>
    </w:p>
    <w:p w14:paraId="6436BAE9" w14:textId="77777777" w:rsidR="0062045E" w:rsidRDefault="0062045E" w:rsidP="0062045E">
      <w:pPr>
        <w:pStyle w:val="3rove-trval"/>
        <w:tabs>
          <w:tab w:val="clear" w:pos="992"/>
          <w:tab w:val="num" w:pos="2269"/>
        </w:tabs>
        <w:ind w:left="1276" w:hanging="709"/>
      </w:pPr>
      <w:r w:rsidRPr="00BB690E">
        <w:t>daň silniční, daň z nemovitých věcí, poplatek za znečištění ovzduší, televizní a rozhlasový poplatek, atp.</w:t>
      </w:r>
      <w:r>
        <w:t>,</w:t>
      </w:r>
    </w:p>
    <w:p w14:paraId="22AD785A" w14:textId="77777777" w:rsidR="0062045E" w:rsidRDefault="0062045E" w:rsidP="0062045E">
      <w:pPr>
        <w:pStyle w:val="3rove-trval"/>
        <w:tabs>
          <w:tab w:val="clear" w:pos="992"/>
          <w:tab w:val="num" w:pos="2269"/>
        </w:tabs>
        <w:ind w:left="1276" w:hanging="709"/>
      </w:pPr>
      <w:r w:rsidRPr="00BB690E">
        <w:t>výdaje na pohoštění nad rámec pitného režimu a stravování účastníků akce konané v přímé souvislosti s účelem,</w:t>
      </w:r>
      <w:r>
        <w:t xml:space="preserve"> na který je dotace poskytována,</w:t>
      </w:r>
    </w:p>
    <w:p w14:paraId="73EEEA43" w14:textId="77777777" w:rsidR="0062045E" w:rsidRDefault="0062045E" w:rsidP="0062045E">
      <w:pPr>
        <w:pStyle w:val="3rove-trval"/>
        <w:tabs>
          <w:tab w:val="clear" w:pos="992"/>
          <w:tab w:val="num" w:pos="2269"/>
        </w:tabs>
        <w:ind w:left="1276" w:hanging="709"/>
      </w:pPr>
      <w:r>
        <w:t>uznatelné náklady projektu Fondu malých projektů.</w:t>
      </w:r>
    </w:p>
    <w:p w14:paraId="34A8F332" w14:textId="77777777" w:rsidR="00963551" w:rsidRDefault="00B24D28" w:rsidP="00963551">
      <w:pPr>
        <w:pStyle w:val="2rove"/>
      </w:pPr>
      <w:r w:rsidRPr="00A103DD">
        <w:t>Příjemce je povinen</w:t>
      </w:r>
      <w:r w:rsidR="00097AA1" w:rsidRPr="00A103DD">
        <w:t xml:space="preserve"> </w:t>
      </w:r>
      <w:r w:rsidR="00097AA1">
        <w:t>v době realizace</w:t>
      </w:r>
      <w:r w:rsidRPr="00A103DD">
        <w:t xml:space="preserve">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641673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64DD2">
        <w:t> </w:t>
      </w:r>
      <w:r w:rsidRPr="00A103DD">
        <w:t>320/2001 Sb., o finanční kontrole, ve znění pozdějších předpisů</w:t>
      </w:r>
      <w:r>
        <w:t>.</w:t>
      </w:r>
    </w:p>
    <w:p w14:paraId="646D8E6C" w14:textId="0E2B780B" w:rsidR="00B24D28" w:rsidRDefault="00B24D28" w:rsidP="00963551">
      <w:pPr>
        <w:pStyle w:val="2rove"/>
      </w:pPr>
      <w:r w:rsidRPr="00A103DD">
        <w:t>Ustanovení o dani z přidané hodnoty</w:t>
      </w:r>
      <w:r>
        <w:t xml:space="preserve"> (dále jen „</w:t>
      </w:r>
      <w:r w:rsidRPr="00641673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2321A0">
        <w:t> </w:t>
      </w:r>
      <w:r w:rsidR="004B6331">
        <w:t>přidané hodnoty, ve znění pozdějších předpisů (dále jen „</w:t>
      </w:r>
      <w:r w:rsidR="004B6331" w:rsidRPr="00641673">
        <w:rPr>
          <w:b/>
        </w:rPr>
        <w:t>zákon o DPH</w:t>
      </w:r>
      <w:r w:rsidR="004B6331">
        <w:t>“)</w:t>
      </w:r>
      <w:r>
        <w:t>:</w:t>
      </w:r>
    </w:p>
    <w:p w14:paraId="59FDC343" w14:textId="50F6C802" w:rsidR="00B24D28" w:rsidRDefault="00B24D28" w:rsidP="00C37053">
      <w:pPr>
        <w:pStyle w:val="3rove-trval"/>
      </w:pPr>
      <w:r w:rsidRPr="00A103DD">
        <w:t>DPH je pro příjemce způsobilým výdajem, pokud příjemce není plátcem DPH nebo příjemci nevzniká nárok na odpočet DPH</w:t>
      </w:r>
      <w:r>
        <w:t>;</w:t>
      </w:r>
    </w:p>
    <w:p w14:paraId="7738CF1B" w14:textId="77777777" w:rsidR="00B24D28" w:rsidRDefault="00B24D28" w:rsidP="00C37053">
      <w:pPr>
        <w:pStyle w:val="3rove-trval"/>
      </w:pPr>
      <w:r>
        <w:t>v</w:t>
      </w:r>
      <w:r w:rsidRPr="00A103DD">
        <w:t> případě, že výdaje projektu jsou způsobilými výdaji pouze z části, pak je DPH způsobilým výdajem ze stejné části</w:t>
      </w:r>
      <w:r>
        <w:t>;</w:t>
      </w:r>
    </w:p>
    <w:p w14:paraId="596E42FB" w14:textId="77777777" w:rsidR="00B24D28" w:rsidRDefault="00B24D28" w:rsidP="00C37053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C37053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605E1541" w:rsidR="00B24D28" w:rsidRDefault="00B24D28" w:rsidP="00C37053">
      <w:pPr>
        <w:pStyle w:val="3rove-trval"/>
      </w:pPr>
      <w:r>
        <w:lastRenderedPageBreak/>
        <w:t>p</w:t>
      </w:r>
      <w:r w:rsidRPr="00A103DD">
        <w:t>okud příjemce není plátcem DPH, ale stane se jím po předložení Závěrečné zprávy, a</w:t>
      </w:r>
      <w:r w:rsidR="002321A0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1DBED47F" w:rsidR="00B24D28" w:rsidRDefault="00B24D28" w:rsidP="00C37053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4B876FB0" w14:textId="77777777" w:rsidR="00963551" w:rsidRDefault="00B24D28" w:rsidP="00963551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3ABEF9F1" w:rsidR="00B64E1E" w:rsidRDefault="00CD2C76" w:rsidP="00963551">
      <w:pPr>
        <w:pStyle w:val="2rove"/>
      </w:pPr>
      <w:r w:rsidRPr="00AC7A82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257CFAC1" w:rsidR="00FC2E44" w:rsidRDefault="00610168" w:rsidP="00C37053">
      <w:pPr>
        <w:pStyle w:val="2rove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 w:rsidR="00B555F6">
        <w:t xml:space="preserve">. </w:t>
      </w:r>
      <w:r w:rsidR="00FC2E44">
        <w:t xml:space="preserve">Příjemce je povinen oznámit poskytovateli přeměnu právnické osoby do 15 dnů ode dne rozhodnutí příslušného orgánu. </w:t>
      </w:r>
    </w:p>
    <w:p w14:paraId="1936A6D1" w14:textId="77777777" w:rsidR="00FC2E44" w:rsidRDefault="00FC2E44" w:rsidP="00C37053">
      <w:pPr>
        <w:pStyle w:val="2rove"/>
      </w:pPr>
      <w:r>
        <w:t xml:space="preserve"> </w:t>
      </w:r>
      <w:r w:rsidR="00A233FD">
        <w:t>Příjemce je dále povinen:</w:t>
      </w:r>
    </w:p>
    <w:p w14:paraId="60AA6562" w14:textId="77777777" w:rsidR="00A233FD" w:rsidRDefault="00A233FD" w:rsidP="00C37053">
      <w:pPr>
        <w:pStyle w:val="3rove-trval"/>
      </w:pPr>
      <w:r>
        <w:t>zajistit, aby všechny údaje, které uvádí poskytovateli, byly vždy úplné a pravdivé,</w:t>
      </w:r>
    </w:p>
    <w:p w14:paraId="0400490E" w14:textId="5F962050" w:rsidR="00A233FD" w:rsidRDefault="00BD6C23" w:rsidP="00C37053">
      <w:pPr>
        <w:pStyle w:val="3rove-trval"/>
      </w:pPr>
      <w:r>
        <w:t xml:space="preserve">zabezpečit archivaci veškeré dokumentace k projektu včetně účetnictví o projektu po dobu 10 let </w:t>
      </w:r>
      <w:r w:rsidR="00F82245">
        <w:t xml:space="preserve">ode dne </w:t>
      </w:r>
      <w:r w:rsidR="00F82245" w:rsidRPr="00B007CA">
        <w:t>ukončení doby realizace dle čl. 2.2</w:t>
      </w:r>
    </w:p>
    <w:p w14:paraId="19FF5982" w14:textId="130FA823" w:rsidR="00A233FD" w:rsidRDefault="00A233FD" w:rsidP="00C37053">
      <w:pPr>
        <w:pStyle w:val="3rove-trval"/>
      </w:pPr>
      <w:r>
        <w:t>dohodnout s dodavateli v rámci projektu fakturační podmínky tak, aby byla doložena účelovost faktur včetně specifikace jednotlivých výdajů,</w:t>
      </w:r>
    </w:p>
    <w:p w14:paraId="4D2447AE" w14:textId="77777777" w:rsidR="0046330C" w:rsidRDefault="0046330C" w:rsidP="0046330C">
      <w:pPr>
        <w:pStyle w:val="2rove"/>
      </w:pPr>
      <w:r>
        <w:t xml:space="preserve">Příjemce prohlašuje, že není účastníkem soudního řízení, jehož jedním z dalších účastníků je poskytovatel, případně právnická osoba zřízená nebo založená poskytovatelem </w:t>
      </w:r>
      <w:r>
        <w:rPr>
          <w:rFonts w:cs="Arial"/>
          <w:szCs w:val="20"/>
        </w:rPr>
        <w:t xml:space="preserve">(tyto osoby jsou uvedené na adrese: </w:t>
      </w:r>
      <w:hyperlink r:id="rId12" w:history="1">
        <w:r>
          <w:rPr>
            <w:rStyle w:val="Hypertextovodkaz"/>
            <w:rFonts w:cs="Arial"/>
            <w:szCs w:val="20"/>
          </w:rPr>
          <w:t>https://zlinskykraj.cz/seznam-zrizovanych-a-zalozenych-organizaci-zlinskym-krajem</w:t>
        </w:r>
      </w:hyperlink>
      <w:r>
        <w:rPr>
          <w:rFonts w:cs="Arial"/>
          <w:szCs w:val="20"/>
        </w:rPr>
        <w:t>)</w:t>
      </w:r>
      <w:r>
        <w:t xml:space="preserve"> </w:t>
      </w:r>
    </w:p>
    <w:p w14:paraId="1499AC8D" w14:textId="666E4758" w:rsidR="0046330C" w:rsidRDefault="0046330C" w:rsidP="00A059A0">
      <w:pPr>
        <w:pStyle w:val="3rove-trval"/>
        <w:numPr>
          <w:ilvl w:val="0"/>
          <w:numId w:val="0"/>
        </w:numPr>
        <w:ind w:left="567"/>
      </w:pPr>
    </w:p>
    <w:p w14:paraId="55A2530B" w14:textId="77777777" w:rsidR="00A059A0" w:rsidRDefault="00A059A0" w:rsidP="00A059A0">
      <w:pPr>
        <w:pStyle w:val="3rove-trval"/>
        <w:numPr>
          <w:ilvl w:val="0"/>
          <w:numId w:val="0"/>
        </w:numPr>
        <w:ind w:left="567"/>
      </w:pPr>
    </w:p>
    <w:p w14:paraId="41BADFE2" w14:textId="77777777" w:rsidR="00CB78A2" w:rsidRDefault="00703656" w:rsidP="00C37053">
      <w:pPr>
        <w:pStyle w:val="Nadpis1"/>
      </w:pPr>
      <w:r>
        <w:t>Povinnosti příjemce při zajišťování publicity poskytovatele</w:t>
      </w:r>
    </w:p>
    <w:p w14:paraId="392BBF70" w14:textId="77777777" w:rsidR="00703656" w:rsidRDefault="00703656" w:rsidP="00C37053">
      <w:pPr>
        <w:pStyle w:val="2rove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C37053">
      <w:pPr>
        <w:pStyle w:val="2rove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09613BCA" w:rsidR="00703656" w:rsidRDefault="00703656" w:rsidP="00AF35A2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CB57BD">
        <w:t xml:space="preserve">adrese </w:t>
      </w:r>
      <w:hyperlink r:id="rId13" w:history="1">
        <w:r w:rsidR="00AF35A2" w:rsidRPr="000F5A78">
          <w:rPr>
            <w:rStyle w:val="Hypertextovodkaz"/>
          </w:rPr>
          <w:t>https://zlinskykraj.cz/logo-zlinskeho-kraje</w:t>
        </w:r>
      </w:hyperlink>
      <w:r w:rsidR="00AF35A2">
        <w:t xml:space="preserve"> </w:t>
      </w:r>
      <w:r w:rsidRPr="00703656">
        <w:t>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C37053">
      <w:pPr>
        <w:pStyle w:val="2rove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14:paraId="32636990" w14:textId="39F17CF9" w:rsidR="00C92705" w:rsidRDefault="00C92705" w:rsidP="00261DC0">
      <w:pPr>
        <w:pStyle w:val="2rove"/>
      </w:pPr>
      <w:r>
        <w:t>Příjemce je dále povinen prezentovat poskytovatele s</w:t>
      </w:r>
      <w:r w:rsidR="00261DC0">
        <w:t> </w:t>
      </w:r>
      <w:r>
        <w:t>využitím</w:t>
      </w:r>
      <w:r w:rsidR="00261DC0">
        <w:t xml:space="preserve"> </w:t>
      </w:r>
      <w:r>
        <w:t xml:space="preserve">alespoň 2 </w:t>
      </w:r>
      <w:r w:rsidR="00D53684">
        <w:t xml:space="preserve">z těchto </w:t>
      </w:r>
      <w:r>
        <w:t xml:space="preserve">prostředků komunikace, které doloží v Závěrečné </w:t>
      </w:r>
      <w:r w:rsidR="00FB265A">
        <w:t>zprávě:</w:t>
      </w:r>
    </w:p>
    <w:p w14:paraId="4826970D" w14:textId="56E08445" w:rsidR="000228C3" w:rsidRDefault="000228C3" w:rsidP="00C37053">
      <w:pPr>
        <w:pStyle w:val="3rove-trval"/>
      </w:pPr>
      <w:r w:rsidRPr="00A960B0">
        <w:t>billboard (doloží se fotografií a informací o období vyvěšení)</w:t>
      </w:r>
      <w:r>
        <w:t>,</w:t>
      </w:r>
    </w:p>
    <w:p w14:paraId="0B7DBA39" w14:textId="77777777" w:rsidR="000228C3" w:rsidRDefault="000228C3" w:rsidP="00C37053">
      <w:pPr>
        <w:pStyle w:val="3rove-trval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14:paraId="715DD0C8" w14:textId="77777777" w:rsidR="00FB265A" w:rsidRDefault="001E5A62" w:rsidP="00C37053">
      <w:pPr>
        <w:pStyle w:val="3rove-trval"/>
      </w:pPr>
      <w:r w:rsidRPr="00A960B0">
        <w:t>obecní zpravodaj (doloží se originálem nebo kopií příslušného článku a informací, kdy byl publikován</w:t>
      </w:r>
      <w:r>
        <w:t>),</w:t>
      </w:r>
    </w:p>
    <w:p w14:paraId="371F6BB6" w14:textId="77777777" w:rsidR="000228C3" w:rsidRDefault="000228C3" w:rsidP="00C37053">
      <w:pPr>
        <w:pStyle w:val="3rove-trval"/>
      </w:pPr>
      <w:r w:rsidRPr="00A960B0">
        <w:lastRenderedPageBreak/>
        <w:t>pamětní deska (doloží se fotografií a informací o datu umístění této desky)</w:t>
      </w:r>
      <w:r>
        <w:t>,</w:t>
      </w:r>
    </w:p>
    <w:p w14:paraId="4B74040D" w14:textId="77777777" w:rsidR="000228C3" w:rsidRDefault="000228C3" w:rsidP="00C37053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3CCC45E2" w14:textId="77777777" w:rsidR="000228C3" w:rsidRDefault="000228C3" w:rsidP="00C37053">
      <w:pPr>
        <w:pStyle w:val="3rove-trval"/>
      </w:pPr>
      <w:r w:rsidRPr="00A960B0">
        <w:t>propagační předměty (doloží se předložením propagačního předmětu)</w:t>
      </w:r>
      <w:r>
        <w:t>,</w:t>
      </w:r>
    </w:p>
    <w:p w14:paraId="03A1BCCE" w14:textId="77777777" w:rsidR="000228C3" w:rsidRDefault="000228C3" w:rsidP="00C37053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14:paraId="6ED4EC2C" w14:textId="2D091DC8" w:rsidR="000228C3" w:rsidRDefault="000228C3" w:rsidP="00C37053">
      <w:pPr>
        <w:pStyle w:val="3rove-trval"/>
      </w:pPr>
      <w:r w:rsidRPr="00A960B0">
        <w:t>rozhlas – obecní či regionální/celoplošné vysílání (doloží se přepisem hlášeného textu a</w:t>
      </w:r>
      <w:r w:rsidR="002321A0">
        <w:t> </w:t>
      </w:r>
      <w:r w:rsidRPr="00A960B0">
        <w:t>informací o datu, kdy byla informace hlášena)</w:t>
      </w:r>
      <w:r>
        <w:t>,</w:t>
      </w:r>
    </w:p>
    <w:p w14:paraId="79753CCE" w14:textId="77777777" w:rsidR="000228C3" w:rsidRDefault="000228C3" w:rsidP="00C37053">
      <w:pPr>
        <w:pStyle w:val="3rove-trval"/>
      </w:pPr>
      <w:r w:rsidRPr="00A960B0">
        <w:t>televizní informační kanál (doloží se písemnou informací o datu a čase, kdy byla informace v médiu uvedena a text této informace)</w:t>
      </w:r>
      <w:r>
        <w:t>,</w:t>
      </w:r>
    </w:p>
    <w:p w14:paraId="21AAAF89" w14:textId="77777777" w:rsidR="001E5A62" w:rsidRDefault="001E5A62" w:rsidP="00C37053">
      <w:pPr>
        <w:pStyle w:val="3rove-trval"/>
      </w:pPr>
      <w:r w:rsidRPr="00A960B0">
        <w:t>úřední deska (doloží se kopií informace, která byla uveřejněna, s uvedením doby uveřejnění)</w:t>
      </w:r>
      <w:r>
        <w:t>,</w:t>
      </w:r>
    </w:p>
    <w:p w14:paraId="2C1CE89F" w14:textId="77777777" w:rsidR="001E5A62" w:rsidRDefault="001E5A62" w:rsidP="00C37053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6C14EB09" w14:textId="3E4CFB82" w:rsidR="000228C3" w:rsidRDefault="000228C3" w:rsidP="00C37053">
      <w:pPr>
        <w:pStyle w:val="3rove-trval"/>
      </w:pPr>
      <w:r w:rsidRPr="00A960B0">
        <w:t>webové stránky (doloží se odkazem na příslušné stránky s uvedením, kdy byla informace uveřejněna)</w:t>
      </w:r>
      <w:r w:rsidR="00284CF4">
        <w:t>.</w:t>
      </w:r>
    </w:p>
    <w:p w14:paraId="6F7D1948" w14:textId="77777777" w:rsidR="00A059A0" w:rsidRDefault="00A059A0" w:rsidP="00A059A0">
      <w:pPr>
        <w:pStyle w:val="3rove-trval"/>
        <w:numPr>
          <w:ilvl w:val="0"/>
          <w:numId w:val="0"/>
        </w:numPr>
        <w:ind w:left="1304"/>
      </w:pPr>
    </w:p>
    <w:p w14:paraId="2EB9C248" w14:textId="5A94E38B" w:rsidR="00CB78A2" w:rsidRDefault="00357941" w:rsidP="00C37053">
      <w:pPr>
        <w:pStyle w:val="Nadpis1"/>
      </w:pPr>
      <w:r w:rsidRPr="00C37053">
        <w:t>Sankce</w:t>
      </w:r>
    </w:p>
    <w:p w14:paraId="275F0AF7" w14:textId="04377C2B" w:rsidR="00D64AB1" w:rsidRDefault="00D64AB1" w:rsidP="00C37053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641673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C37053">
      <w:pPr>
        <w:pStyle w:val="3rove-trval"/>
      </w:pPr>
      <w:r>
        <w:t>příjemce nedodrží účel dotace,</w:t>
      </w:r>
    </w:p>
    <w:p w14:paraId="4F3477B8" w14:textId="0F7ECADA" w:rsidR="002D215A" w:rsidRPr="00D11E31" w:rsidRDefault="002D215A" w:rsidP="00261DC0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2AE1B240" w14:textId="77777777" w:rsidR="002D215A" w:rsidRPr="00D11E31" w:rsidRDefault="002D215A" w:rsidP="00C37053">
      <w:pPr>
        <w:pStyle w:val="3rove-trval"/>
      </w:pPr>
      <w:r w:rsidRPr="00D11E31">
        <w:t>příjemce nepředloží Závěrečnou zprávu ani ve lhůtě 30 pracovních dní po uplynutí lhůty dle čl. 4.4,</w:t>
      </w:r>
    </w:p>
    <w:p w14:paraId="2F800403" w14:textId="5BBD02FD" w:rsidR="002D215A" w:rsidRDefault="002D215A" w:rsidP="00C37053">
      <w:pPr>
        <w:pStyle w:val="3rove-trval"/>
      </w:pPr>
      <w:r w:rsidRPr="00D11E31">
        <w:t>příjemce poruší</w:t>
      </w:r>
      <w:r w:rsidR="00261DC0">
        <w:t xml:space="preserve"> povinnost dle čl. 5.7 nebo 5.8.</w:t>
      </w:r>
    </w:p>
    <w:p w14:paraId="1E26630F" w14:textId="7896F6F8" w:rsidR="00B60582" w:rsidRPr="00D11E31" w:rsidRDefault="00B60582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38BFA566" w:rsidR="002D215A" w:rsidRDefault="002D215A" w:rsidP="00C37053">
      <w:pPr>
        <w:pStyle w:val="3rove-trval"/>
        <w:rPr>
          <w:i/>
        </w:rPr>
      </w:pPr>
      <w:r>
        <w:t xml:space="preserve">příjemce neodstraní nedostatky v předložené </w:t>
      </w:r>
      <w:r w:rsidR="001F53B9">
        <w:t xml:space="preserve">závěrečné </w:t>
      </w:r>
      <w:r>
        <w:t>zprávě ani v náhradní lhůtě dle čl. 4.6, výše odvodu se v tomto případě rovná výši neoprávněně použitých nebo zadržených peněžních prostředků,</w:t>
      </w:r>
    </w:p>
    <w:p w14:paraId="0FAD8FD4" w14:textId="7BB9B77A" w:rsidR="002D215A" w:rsidRPr="00C61735" w:rsidRDefault="000D31A2" w:rsidP="00C37053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</w:t>
      </w:r>
      <w:r w:rsidR="00112369">
        <w:t>.</w:t>
      </w:r>
      <w:r w:rsidR="002D215A" w:rsidRPr="00FB0E5C">
        <w:t xml:space="preserve"> </w:t>
      </w:r>
    </w:p>
    <w:p w14:paraId="04347229" w14:textId="3704F823" w:rsidR="00357941" w:rsidRDefault="00357941" w:rsidP="00C37053">
      <w:pPr>
        <w:pStyle w:val="2rove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C37053">
      <w:pPr>
        <w:pStyle w:val="3rove-trval"/>
      </w:pPr>
      <w:r>
        <w:t xml:space="preserve">příjemce předloží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C37053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C37053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7B02C4A7" w:rsidR="00F50470" w:rsidRDefault="00F50470" w:rsidP="00C37053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5% ze schválené dotace, </w:t>
      </w:r>
    </w:p>
    <w:p w14:paraId="22476C3E" w14:textId="0562C781" w:rsidR="004F1656" w:rsidRDefault="004F1656" w:rsidP="00C37053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740741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lastRenderedPageBreak/>
        <w:t>uložen snížený odvod ve výši 10 % z takto opožděně uhrazené částky způsobilých výdajů.</w:t>
      </w:r>
      <w:r w:rsidR="001E22BF">
        <w:t xml:space="preserve"> </w:t>
      </w:r>
    </w:p>
    <w:p w14:paraId="55CF5BFB" w14:textId="2E018DC1" w:rsidR="005B3156" w:rsidRDefault="005B3156" w:rsidP="00C37053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420C51A1" w14:textId="77777777" w:rsidR="00A059A0" w:rsidRDefault="00A059A0" w:rsidP="00A059A0">
      <w:pPr>
        <w:pStyle w:val="2rove"/>
        <w:numPr>
          <w:ilvl w:val="0"/>
          <w:numId w:val="0"/>
        </w:numPr>
        <w:ind w:left="567"/>
      </w:pPr>
    </w:p>
    <w:p w14:paraId="07B82C56" w14:textId="77777777" w:rsidR="004E4E47" w:rsidRDefault="004E4E47" w:rsidP="00C37053">
      <w:pPr>
        <w:pStyle w:val="Nadpis1"/>
      </w:pPr>
      <w:r>
        <w:t>Změny podmínek smlouvy</w:t>
      </w:r>
    </w:p>
    <w:p w14:paraId="3F8984DB" w14:textId="77777777" w:rsidR="004E4E47" w:rsidRDefault="00D9597D" w:rsidP="00C37053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733981E0" w:rsidR="00D9597D" w:rsidRDefault="00747C54" w:rsidP="00C37053">
      <w:pPr>
        <w:pStyle w:val="3rove-trval"/>
      </w:pPr>
      <w:r>
        <w:t xml:space="preserve">změna adresy nebo </w:t>
      </w:r>
      <w:r w:rsidR="00D9597D" w:rsidRPr="00A960B0">
        <w:t>sídla příjemce</w:t>
      </w:r>
      <w:r w:rsidR="009A489A">
        <w:t>,</w:t>
      </w:r>
    </w:p>
    <w:p w14:paraId="28901192" w14:textId="77777777" w:rsidR="00D9597D" w:rsidRDefault="00747C54" w:rsidP="00C37053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1ED6A770" w:rsidR="00D9597D" w:rsidRPr="00EB1154" w:rsidRDefault="009A489A" w:rsidP="00C37053">
      <w:pPr>
        <w:pStyle w:val="3rove-trval"/>
      </w:pPr>
      <w:r>
        <w:t>změna názvu příjemce,</w:t>
      </w:r>
    </w:p>
    <w:p w14:paraId="02717BA8" w14:textId="77777777" w:rsidR="00747C54" w:rsidRDefault="00747C54" w:rsidP="00C37053">
      <w:pPr>
        <w:pStyle w:val="3rove-trval"/>
      </w:pPr>
      <w:r>
        <w:t>změna názvu akce/projektu při zachování účelu a všech ostatních parametrů akce/projektu,</w:t>
      </w:r>
    </w:p>
    <w:p w14:paraId="0F10FFA5" w14:textId="77777777" w:rsidR="00D9597D" w:rsidRDefault="00D9597D" w:rsidP="00C37053">
      <w:pPr>
        <w:pStyle w:val="3rove-trval"/>
      </w:pPr>
      <w:r w:rsidRPr="00A960B0">
        <w:t>změna zdrojů nebo výše podílů těchto zdrojů na financování projektu (s výjimkou dotace od Zlínského kraje)</w:t>
      </w:r>
      <w:r>
        <w:t>,</w:t>
      </w:r>
    </w:p>
    <w:p w14:paraId="1A2C1EBB" w14:textId="004945FB" w:rsidR="007A3EEB" w:rsidRDefault="007A3EEB" w:rsidP="00C37053">
      <w:pPr>
        <w:pStyle w:val="3rove-trval"/>
      </w:pPr>
      <w:r>
        <w:t xml:space="preserve">změna harmonogramu </w:t>
      </w:r>
      <w:r w:rsidR="003042E9">
        <w:t xml:space="preserve">doby </w:t>
      </w:r>
      <w:r>
        <w:t>realizace, akce nebo aktivity</w:t>
      </w:r>
      <w:r w:rsidR="008366B8" w:rsidRPr="008366B8">
        <w:t xml:space="preserve"> </w:t>
      </w:r>
      <w:r w:rsidR="008366B8">
        <w:t xml:space="preserve">(změnou harmonogramu nesmí dojít k překročení nejzazšího data </w:t>
      </w:r>
      <w:r w:rsidR="003042E9">
        <w:t xml:space="preserve">doby </w:t>
      </w:r>
      <w:r w:rsidR="008366B8">
        <w:t xml:space="preserve">realizace, akce nebo aktivity stanoveného ve </w:t>
      </w:r>
      <w:r w:rsidR="0088567B">
        <w:t xml:space="preserve">smlouvě </w:t>
      </w:r>
      <w:r w:rsidR="008366B8">
        <w:t xml:space="preserve">a podpora nebude vyplacena před termínem ukončení </w:t>
      </w:r>
      <w:r w:rsidR="003042E9">
        <w:t xml:space="preserve">doby </w:t>
      </w:r>
      <w:r w:rsidR="008366B8">
        <w:t>realizace, akce nebo aktivity)</w:t>
      </w:r>
      <w:r w:rsidR="009A489A">
        <w:t>.</w:t>
      </w:r>
    </w:p>
    <w:p w14:paraId="47FDFC6B" w14:textId="77777777" w:rsidR="005651A6" w:rsidRDefault="005651A6" w:rsidP="00C37053">
      <w:pPr>
        <w:pStyle w:val="2rove"/>
      </w:pPr>
      <w:r>
        <w:t>Změnu bankovního spojení oznámí příjemce poskytova</w:t>
      </w:r>
      <w:r w:rsidR="007A3EEB">
        <w:t>teli písemně ve lhůtě do 15 dní ode dne, kdy ke změně došlo.</w:t>
      </w:r>
      <w:r w:rsidR="007A3EEB" w:rsidRPr="007A3EEB">
        <w:t xml:space="preserve"> </w:t>
      </w:r>
      <w:r w:rsidR="007A3EEB"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C37053">
      <w:pPr>
        <w:pStyle w:val="2rove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7A3EA049" w14:textId="77777777" w:rsidR="00A059A0" w:rsidRDefault="00A059A0" w:rsidP="00A059A0">
      <w:pPr>
        <w:pStyle w:val="2rove"/>
        <w:numPr>
          <w:ilvl w:val="0"/>
          <w:numId w:val="0"/>
        </w:numPr>
        <w:ind w:left="567"/>
      </w:pP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2321A0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2321A0">
      <w:pPr>
        <w:pStyle w:val="2rove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2321A0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2321A0">
      <w:pPr>
        <w:pStyle w:val="3rove-trval"/>
      </w:pPr>
      <w:r>
        <w:t>nedodrží účel dotace,</w:t>
      </w:r>
    </w:p>
    <w:p w14:paraId="3B84C001" w14:textId="5235A2A6" w:rsidR="00504796" w:rsidRDefault="00504796" w:rsidP="002321A0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2321A0">
        <w:t> </w:t>
      </w:r>
      <w:r w:rsidR="001E22BF">
        <w:t>rozpočtových pravidlech územních rozpočtů,</w:t>
      </w:r>
    </w:p>
    <w:p w14:paraId="6EADAA9F" w14:textId="334AB1C1" w:rsidR="0046330C" w:rsidRDefault="0046330C" w:rsidP="00C2553C">
      <w:pPr>
        <w:pStyle w:val="3rove-trval"/>
      </w:pPr>
      <w:r>
        <w:t>prohlášení příjemce dle čl. 5.9 se prokáže jako nepravdivé,</w:t>
      </w:r>
    </w:p>
    <w:p w14:paraId="3CCBCD73" w14:textId="7BB48CE9" w:rsidR="00F50470" w:rsidRDefault="00F50470" w:rsidP="002321A0">
      <w:pPr>
        <w:pStyle w:val="3rove-trval"/>
      </w:pPr>
      <w:r>
        <w:t>příjemce se opozdí s předložením závěrečné zprávy o více než 30 pracovních dnů oproti lhůtě dle čl. 4.4,</w:t>
      </w:r>
    </w:p>
    <w:p w14:paraId="586C8C36" w14:textId="77777777" w:rsidR="00504796" w:rsidRDefault="00504796" w:rsidP="002321A0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27E4FE15" w:rsidR="00504796" w:rsidRDefault="00504796" w:rsidP="002321A0">
      <w:pPr>
        <w:pStyle w:val="3rove-trval"/>
      </w:pPr>
      <w:r w:rsidRPr="00BC32A3">
        <w:lastRenderedPageBreak/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2321A0">
        <w:t> </w:t>
      </w:r>
      <w:r w:rsidRPr="00BC32A3">
        <w:t>způsobech jeho řešení, ve znění pozdějších předpisů, exekuční řízení či řízení o</w:t>
      </w:r>
      <w:r w:rsidR="002321A0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2321A0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2321A0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2321A0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1D0C436" w:rsidR="00504796" w:rsidRDefault="00504796" w:rsidP="002321A0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018B84E4" w14:textId="7406D551" w:rsidR="00504796" w:rsidRDefault="001C6112" w:rsidP="002321A0">
      <w:pPr>
        <w:pStyle w:val="3rove-trval"/>
      </w:pPr>
      <w:r w:rsidRPr="001C6112">
        <w:t>nenaplní monitorovací indikátor</w:t>
      </w:r>
      <w:r w:rsidR="00D449CF">
        <w:t xml:space="preserve"> dle čl. 3.</w:t>
      </w:r>
      <w:r w:rsidR="00E719DE">
        <w:t>1.</w:t>
      </w:r>
    </w:p>
    <w:p w14:paraId="20238DC4" w14:textId="77777777" w:rsidR="001C6112" w:rsidRDefault="00EC4D55" w:rsidP="002321A0">
      <w:pPr>
        <w:pStyle w:val="2rove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2321A0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2321A0">
      <w:pPr>
        <w:pStyle w:val="2rove"/>
      </w:pPr>
      <w:r w:rsidRPr="00BC32A3">
        <w:t>Výpověď smlouvy musí být učiněna písemně a musí v ní být uvedeny důvody jejího udělení.</w:t>
      </w:r>
    </w:p>
    <w:p w14:paraId="2EFC1858" w14:textId="1A2CFE15" w:rsidR="00EC4D55" w:rsidRDefault="00EC4D55" w:rsidP="002321A0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2321A0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2321A0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2321A0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2321A0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2321A0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2321A0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37307444" w14:textId="77777777" w:rsidR="00A059A0" w:rsidRDefault="00A059A0" w:rsidP="00A059A0">
      <w:pPr>
        <w:pStyle w:val="2rove"/>
        <w:numPr>
          <w:ilvl w:val="0"/>
          <w:numId w:val="0"/>
        </w:numPr>
        <w:ind w:left="567"/>
      </w:pPr>
    </w:p>
    <w:p w14:paraId="641FA7DA" w14:textId="77777777" w:rsidR="00EC4D55" w:rsidRDefault="00EC4D55" w:rsidP="002321A0">
      <w:pPr>
        <w:pStyle w:val="Nadpis1"/>
      </w:pPr>
      <w:r>
        <w:t xml:space="preserve"> Závěrečná ustanovení</w:t>
      </w:r>
    </w:p>
    <w:p w14:paraId="2D7732BC" w14:textId="106E4DDC" w:rsidR="00EC4D55" w:rsidRDefault="00EC4D55" w:rsidP="002321A0">
      <w:pPr>
        <w:pStyle w:val="2rove"/>
      </w:pPr>
      <w:r w:rsidRPr="00EC4D55">
        <w:t>Jako kontaktní místo poskytovatele se pro účely této smlouvy stanovuje: Krajský úřad Zlínského kraje, odbor</w:t>
      </w:r>
      <w:r w:rsidR="002321A0">
        <w:t> </w:t>
      </w:r>
      <w:r w:rsidR="00E776EC">
        <w:t>strategického rozvoje kraje</w:t>
      </w:r>
      <w:r w:rsidRPr="00EC4D55">
        <w:t>,</w:t>
      </w:r>
      <w:r w:rsidR="002321A0">
        <w:t> </w:t>
      </w:r>
      <w:r w:rsidR="00E776EC">
        <w:t>Ing. Monika Daňková</w:t>
      </w:r>
      <w:r w:rsidRPr="00EC4D55">
        <w:t>, tel.:</w:t>
      </w:r>
      <w:r w:rsidR="00E776EC">
        <w:t xml:space="preserve">577043414, </w:t>
      </w:r>
      <w:r>
        <w:t xml:space="preserve"> </w:t>
      </w:r>
      <w:r w:rsidRPr="00EC4D55">
        <w:t>e-mail:</w:t>
      </w:r>
      <w:r w:rsidR="002321A0">
        <w:t> </w:t>
      </w:r>
      <w:hyperlink r:id="rId14" w:history="1">
        <w:r w:rsidR="00E776EC" w:rsidRPr="000F5A78">
          <w:rPr>
            <w:rStyle w:val="Hypertextovodkaz"/>
          </w:rPr>
          <w:t>monika.dankova@zlinskykraj.cz</w:t>
        </w:r>
      </w:hyperlink>
      <w:r w:rsidR="00E776EC">
        <w:t xml:space="preserve"> </w:t>
      </w:r>
      <w:r w:rsidRPr="00EC4D55">
        <w:t xml:space="preserve"> </w:t>
      </w:r>
    </w:p>
    <w:p w14:paraId="0C7DCD02" w14:textId="77777777" w:rsidR="00EC4D55" w:rsidRDefault="00EC4D55" w:rsidP="002321A0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2321A0">
      <w:pPr>
        <w:pStyle w:val="2rove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7F346E53" w14:textId="47145C75" w:rsidR="00EC4D55" w:rsidRDefault="00EC4D55" w:rsidP="002321A0">
      <w:pPr>
        <w:pStyle w:val="2rove"/>
      </w:pPr>
      <w:r w:rsidRPr="00BC32A3">
        <w:t>Smlouva je vyhotovena ve</w:t>
      </w:r>
      <w:r w:rsidR="002321A0">
        <w:t> </w:t>
      </w:r>
      <w:r w:rsidR="00273357">
        <w:t>3</w:t>
      </w:r>
      <w:r w:rsidRPr="00BC32A3">
        <w:t xml:space="preserve"> stejnopisech, z nichž každý má platnost originálu.</w:t>
      </w:r>
      <w:r w:rsidR="002321A0">
        <w:t> </w:t>
      </w:r>
      <w:r w:rsidR="00273357">
        <w:t xml:space="preserve">Dvě </w:t>
      </w:r>
      <w:r w:rsidRPr="00BC32A3">
        <w:t>vyhotovení obdrží poskytovatel a</w:t>
      </w:r>
      <w:r w:rsidR="002321A0">
        <w:t> </w:t>
      </w:r>
      <w:r w:rsidR="00273357">
        <w:t xml:space="preserve">jedno </w:t>
      </w:r>
      <w:r w:rsidRPr="00BC32A3">
        <w:t>vyhotovení obdrží příjemce</w:t>
      </w:r>
      <w:r>
        <w:t>.</w:t>
      </w:r>
      <w:r w:rsidR="00CB57BD">
        <w:t xml:space="preserve"> </w:t>
      </w:r>
    </w:p>
    <w:p w14:paraId="197971F9" w14:textId="330F4615" w:rsidR="00EC4D55" w:rsidRDefault="00EC4D55" w:rsidP="002321A0">
      <w:pPr>
        <w:pStyle w:val="2rove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 xml:space="preserve">. Smluvní strany se dohodly, že poskytovatel </w:t>
      </w:r>
      <w:r w:rsidRPr="00BC32A3">
        <w:lastRenderedPageBreak/>
        <w:t>odešle v zákonné lhůtě smlouvu k řádnému uveřejnění do registru smluv. O</w:t>
      </w:r>
      <w:r w:rsidR="002321A0">
        <w:t> </w:t>
      </w:r>
      <w:r w:rsidRPr="00BC32A3">
        <w:t xml:space="preserve">uveřejnění smlouvy bude příjemce bezodkladně informován. </w:t>
      </w:r>
    </w:p>
    <w:p w14:paraId="63160ED5" w14:textId="247D1E71" w:rsidR="00F75253" w:rsidRPr="00273357" w:rsidRDefault="00F75253" w:rsidP="0019157B">
      <w:pPr>
        <w:pStyle w:val="2rove"/>
      </w:pPr>
      <w:r w:rsidRPr="00BC32A3">
        <w:t xml:space="preserve">Tato smlouva nabývá účinnosti dnem zveřejnění v registru smluv. </w:t>
      </w:r>
    </w:p>
    <w:p w14:paraId="4ED75867" w14:textId="77777777" w:rsidR="00273357" w:rsidRDefault="00273357" w:rsidP="00273357">
      <w:pPr>
        <w:pStyle w:val="2rove"/>
        <w:numPr>
          <w:ilvl w:val="0"/>
          <w:numId w:val="0"/>
        </w:numPr>
        <w:ind w:left="567"/>
      </w:pPr>
    </w:p>
    <w:p w14:paraId="2A3728B2" w14:textId="77777777" w:rsidR="00A059A0" w:rsidRDefault="00A059A0" w:rsidP="00273357">
      <w:pPr>
        <w:pStyle w:val="2rove"/>
        <w:numPr>
          <w:ilvl w:val="0"/>
          <w:numId w:val="0"/>
        </w:numPr>
        <w:ind w:left="567"/>
      </w:pP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03939F8C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2321A0">
        <w:rPr>
          <w:rFonts w:cs="Arial"/>
          <w:szCs w:val="20"/>
        </w:rPr>
        <w:t> </w:t>
      </w:r>
      <w:r w:rsidR="00354236">
        <w:rPr>
          <w:rFonts w:cs="Arial"/>
          <w:szCs w:val="20"/>
        </w:rPr>
        <w:t>Zastupitelstvo Zlínského kraje</w:t>
      </w:r>
    </w:p>
    <w:p w14:paraId="4F7A8297" w14:textId="362DB331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2321A0">
        <w:rPr>
          <w:rFonts w:cs="Arial"/>
          <w:szCs w:val="20"/>
        </w:rPr>
        <w:t> </w:t>
      </w:r>
      <w:r w:rsidR="00354236">
        <w:rPr>
          <w:rFonts w:cs="Arial"/>
          <w:szCs w:val="20"/>
        </w:rPr>
        <w:t xml:space="preserve">11.12.2023, č. usnesení </w:t>
      </w:r>
      <w:r w:rsidR="00354236" w:rsidRPr="00354236">
        <w:rPr>
          <w:rFonts w:cs="Arial"/>
          <w:szCs w:val="20"/>
        </w:rPr>
        <w:t>0669/Z21/23</w:t>
      </w:r>
    </w:p>
    <w:p w14:paraId="29F0BC7D" w14:textId="77777777" w:rsidR="006A4FA0" w:rsidRPr="001426D2" w:rsidRDefault="006A4FA0" w:rsidP="00E82920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5D3A7121" w:rsidR="006A4FA0" w:rsidRDefault="006A4FA0" w:rsidP="00E82920">
            <w:pPr>
              <w:spacing w:line="276" w:lineRule="auto"/>
            </w:pPr>
            <w:r>
              <w:t>Ve Zlíně dne</w:t>
            </w:r>
            <w:r w:rsidR="002321A0">
              <w:t> </w:t>
            </w:r>
            <w:r w:rsidR="005B7A4D">
              <w:t>23.1.2024</w:t>
            </w:r>
            <w:r w:rsidR="00354236">
              <w:t>.</w:t>
            </w:r>
          </w:p>
        </w:tc>
        <w:tc>
          <w:tcPr>
            <w:tcW w:w="4531" w:type="dxa"/>
            <w:vAlign w:val="center"/>
          </w:tcPr>
          <w:p w14:paraId="6BD02E02" w14:textId="5B9E1EE0" w:rsidR="006A4FA0" w:rsidRDefault="006A4FA0" w:rsidP="00E82920">
            <w:pPr>
              <w:spacing w:line="276" w:lineRule="auto"/>
            </w:pPr>
            <w:r>
              <w:t>V</w:t>
            </w:r>
            <w:r w:rsidR="005B7A4D">
              <w:t>e Zlíně dne 19.12.2024</w:t>
            </w:r>
          </w:p>
        </w:tc>
      </w:tr>
      <w:tr w:rsidR="006A4FA0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0071665C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Default="006A4FA0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2B2DF9AC" w14:textId="77777777" w:rsidR="006A4FA0" w:rsidRDefault="006A4FA0" w:rsidP="00E82920">
            <w:pPr>
              <w:spacing w:line="276" w:lineRule="auto"/>
            </w:pPr>
          </w:p>
        </w:tc>
      </w:tr>
      <w:tr w:rsidR="006A4FA0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2129B4B" w14:textId="77777777" w:rsidR="006A4FA0" w:rsidRDefault="006A4FA0" w:rsidP="002321A0">
            <w:pPr>
              <w:spacing w:line="276" w:lineRule="auto"/>
              <w:jc w:val="center"/>
            </w:pPr>
            <w:r>
              <w:t>……………………</w:t>
            </w:r>
          </w:p>
          <w:p w14:paraId="2EDC7A34" w14:textId="36E954A0" w:rsidR="006A4FA0" w:rsidRDefault="00273357" w:rsidP="00273357">
            <w:pPr>
              <w:spacing w:line="276" w:lineRule="auto"/>
              <w:jc w:val="center"/>
            </w:pPr>
            <w:r>
              <w:t>Ing. Radim Holiš</w:t>
            </w:r>
            <w:r w:rsidR="006A2C40">
              <w:t xml:space="preserve">, </w:t>
            </w:r>
            <w:r w:rsidR="006A4FA0"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77777777" w:rsidR="006A4FA0" w:rsidRDefault="006A4FA0" w:rsidP="00273357">
            <w:pPr>
              <w:spacing w:line="276" w:lineRule="auto"/>
              <w:jc w:val="center"/>
            </w:pPr>
            <w:r>
              <w:t>……………………</w:t>
            </w:r>
          </w:p>
          <w:p w14:paraId="198191DC" w14:textId="3C4B8394" w:rsidR="006A4FA0" w:rsidRDefault="00273357" w:rsidP="00273357">
            <w:pPr>
              <w:spacing w:line="276" w:lineRule="auto"/>
              <w:jc w:val="center"/>
            </w:pPr>
            <w:r>
              <w:t>Ing. D</w:t>
            </w:r>
            <w:r w:rsidRPr="00273357">
              <w:t>aniel Šulák</w:t>
            </w:r>
            <w:r>
              <w:t>, předseda sdružení</w:t>
            </w:r>
          </w:p>
        </w:tc>
      </w:tr>
    </w:tbl>
    <w:p w14:paraId="1F223B23" w14:textId="77777777" w:rsidR="00971B6C" w:rsidRDefault="00971B6C" w:rsidP="00E82920">
      <w:pPr>
        <w:pStyle w:val="Hlavntextlnksmlouvy"/>
        <w:numPr>
          <w:ilvl w:val="0"/>
          <w:numId w:val="0"/>
        </w:numPr>
        <w:spacing w:line="276" w:lineRule="auto"/>
        <w:ind w:left="142"/>
      </w:pPr>
    </w:p>
    <w:sectPr w:rsidR="00971B6C" w:rsidSect="00340B3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46E2" w14:textId="77777777" w:rsidR="00DB49B5" w:rsidRDefault="00DB49B5" w:rsidP="00324D78">
      <w:pPr>
        <w:spacing w:after="0" w:line="240" w:lineRule="auto"/>
      </w:pPr>
      <w:r>
        <w:separator/>
      </w:r>
    </w:p>
  </w:endnote>
  <w:endnote w:type="continuationSeparator" w:id="0">
    <w:p w14:paraId="29065AFF" w14:textId="77777777" w:rsidR="00DB49B5" w:rsidRDefault="00DB49B5" w:rsidP="00324D78">
      <w:pPr>
        <w:spacing w:after="0" w:line="240" w:lineRule="auto"/>
      </w:pPr>
      <w:r>
        <w:continuationSeparator/>
      </w:r>
    </w:p>
  </w:endnote>
  <w:endnote w:type="continuationNotice" w:id="1">
    <w:p w14:paraId="19056756" w14:textId="77777777" w:rsidR="00DB49B5" w:rsidRDefault="00DB49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2C6EEE2E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8C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8C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85F0" w14:textId="77777777" w:rsidR="00DB49B5" w:rsidRDefault="00DB49B5" w:rsidP="00324D78">
      <w:pPr>
        <w:spacing w:after="0" w:line="240" w:lineRule="auto"/>
      </w:pPr>
      <w:r>
        <w:separator/>
      </w:r>
    </w:p>
  </w:footnote>
  <w:footnote w:type="continuationSeparator" w:id="0">
    <w:p w14:paraId="5A3C3B81" w14:textId="77777777" w:rsidR="00DB49B5" w:rsidRDefault="00DB49B5" w:rsidP="00324D78">
      <w:pPr>
        <w:spacing w:after="0" w:line="240" w:lineRule="auto"/>
      </w:pPr>
      <w:r>
        <w:continuationSeparator/>
      </w:r>
    </w:p>
  </w:footnote>
  <w:footnote w:type="continuationNotice" w:id="1">
    <w:p w14:paraId="167106EE" w14:textId="77777777" w:rsidR="00DB49B5" w:rsidRDefault="00DB49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 w16cid:durableId="222063916">
    <w:abstractNumId w:val="2"/>
  </w:num>
  <w:num w:numId="2" w16cid:durableId="1684211623">
    <w:abstractNumId w:val="4"/>
  </w:num>
  <w:num w:numId="3" w16cid:durableId="1025012069">
    <w:abstractNumId w:val="2"/>
  </w:num>
  <w:num w:numId="4" w16cid:durableId="1234198046">
    <w:abstractNumId w:val="2"/>
  </w:num>
  <w:num w:numId="5" w16cid:durableId="1731730326">
    <w:abstractNumId w:val="2"/>
  </w:num>
  <w:num w:numId="6" w16cid:durableId="362098854">
    <w:abstractNumId w:val="2"/>
  </w:num>
  <w:num w:numId="7" w16cid:durableId="1657614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4040870">
    <w:abstractNumId w:val="2"/>
  </w:num>
  <w:num w:numId="9" w16cid:durableId="407962953">
    <w:abstractNumId w:val="2"/>
  </w:num>
  <w:num w:numId="10" w16cid:durableId="1148597564">
    <w:abstractNumId w:val="2"/>
  </w:num>
  <w:num w:numId="11" w16cid:durableId="606742615">
    <w:abstractNumId w:val="2"/>
  </w:num>
  <w:num w:numId="12" w16cid:durableId="1305620974">
    <w:abstractNumId w:val="0"/>
  </w:num>
  <w:num w:numId="13" w16cid:durableId="1479297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2131242883">
    <w:abstractNumId w:val="3"/>
  </w:num>
  <w:num w:numId="15" w16cid:durableId="285891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700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7641513">
    <w:abstractNumId w:val="2"/>
  </w:num>
  <w:num w:numId="18" w16cid:durableId="217396263">
    <w:abstractNumId w:val="2"/>
  </w:num>
  <w:num w:numId="19" w16cid:durableId="863205247">
    <w:abstractNumId w:val="2"/>
  </w:num>
  <w:num w:numId="20" w16cid:durableId="402989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132A3"/>
    <w:rsid w:val="00013EEE"/>
    <w:rsid w:val="000228C3"/>
    <w:rsid w:val="0003487A"/>
    <w:rsid w:val="000417D8"/>
    <w:rsid w:val="0005319A"/>
    <w:rsid w:val="0005501A"/>
    <w:rsid w:val="00077168"/>
    <w:rsid w:val="00080F04"/>
    <w:rsid w:val="0008586A"/>
    <w:rsid w:val="00090713"/>
    <w:rsid w:val="00095DF0"/>
    <w:rsid w:val="00097AA1"/>
    <w:rsid w:val="000A6E68"/>
    <w:rsid w:val="000B0AC2"/>
    <w:rsid w:val="000B11E0"/>
    <w:rsid w:val="000B7FE5"/>
    <w:rsid w:val="000C5740"/>
    <w:rsid w:val="000D31A2"/>
    <w:rsid w:val="000E7D0E"/>
    <w:rsid w:val="000F686B"/>
    <w:rsid w:val="00112369"/>
    <w:rsid w:val="00114376"/>
    <w:rsid w:val="00116E6A"/>
    <w:rsid w:val="00123AD3"/>
    <w:rsid w:val="00126170"/>
    <w:rsid w:val="00136A61"/>
    <w:rsid w:val="001422DD"/>
    <w:rsid w:val="0014635F"/>
    <w:rsid w:val="001575B6"/>
    <w:rsid w:val="00165E3A"/>
    <w:rsid w:val="00170702"/>
    <w:rsid w:val="001727DF"/>
    <w:rsid w:val="0017738B"/>
    <w:rsid w:val="00177FB1"/>
    <w:rsid w:val="00185DE1"/>
    <w:rsid w:val="001C4D9E"/>
    <w:rsid w:val="001C6112"/>
    <w:rsid w:val="001D227C"/>
    <w:rsid w:val="001E11F1"/>
    <w:rsid w:val="001E22BF"/>
    <w:rsid w:val="001E5A62"/>
    <w:rsid w:val="001F53B9"/>
    <w:rsid w:val="002031A5"/>
    <w:rsid w:val="002065FF"/>
    <w:rsid w:val="00211237"/>
    <w:rsid w:val="00214E04"/>
    <w:rsid w:val="00220F80"/>
    <w:rsid w:val="00222CBA"/>
    <w:rsid w:val="00223423"/>
    <w:rsid w:val="002321A0"/>
    <w:rsid w:val="002413BD"/>
    <w:rsid w:val="00251DFE"/>
    <w:rsid w:val="00253134"/>
    <w:rsid w:val="00254F2A"/>
    <w:rsid w:val="00256275"/>
    <w:rsid w:val="002563AC"/>
    <w:rsid w:val="00261DC0"/>
    <w:rsid w:val="00273357"/>
    <w:rsid w:val="00281988"/>
    <w:rsid w:val="00282F08"/>
    <w:rsid w:val="00284CF4"/>
    <w:rsid w:val="00287043"/>
    <w:rsid w:val="002A0B26"/>
    <w:rsid w:val="002A56F2"/>
    <w:rsid w:val="002B066D"/>
    <w:rsid w:val="002B1861"/>
    <w:rsid w:val="002B1A10"/>
    <w:rsid w:val="002B4723"/>
    <w:rsid w:val="002C00E2"/>
    <w:rsid w:val="002C5090"/>
    <w:rsid w:val="002D0504"/>
    <w:rsid w:val="002D215A"/>
    <w:rsid w:val="002D4F64"/>
    <w:rsid w:val="003042E9"/>
    <w:rsid w:val="00306C0D"/>
    <w:rsid w:val="0030743E"/>
    <w:rsid w:val="003104C9"/>
    <w:rsid w:val="00313590"/>
    <w:rsid w:val="00313DE9"/>
    <w:rsid w:val="00324D78"/>
    <w:rsid w:val="00340702"/>
    <w:rsid w:val="00340B35"/>
    <w:rsid w:val="00354236"/>
    <w:rsid w:val="00357941"/>
    <w:rsid w:val="0036448F"/>
    <w:rsid w:val="003659F7"/>
    <w:rsid w:val="003666F4"/>
    <w:rsid w:val="00373C3D"/>
    <w:rsid w:val="00374AE6"/>
    <w:rsid w:val="00376A53"/>
    <w:rsid w:val="00381A8A"/>
    <w:rsid w:val="003A2B2E"/>
    <w:rsid w:val="003A399C"/>
    <w:rsid w:val="003B2BC2"/>
    <w:rsid w:val="003B4183"/>
    <w:rsid w:val="003B4F68"/>
    <w:rsid w:val="003C4D8A"/>
    <w:rsid w:val="003D35B4"/>
    <w:rsid w:val="003D4418"/>
    <w:rsid w:val="003D6684"/>
    <w:rsid w:val="003D6A1A"/>
    <w:rsid w:val="003D7EC4"/>
    <w:rsid w:val="003E3BE0"/>
    <w:rsid w:val="003E3DF1"/>
    <w:rsid w:val="003F1035"/>
    <w:rsid w:val="00412219"/>
    <w:rsid w:val="004131ED"/>
    <w:rsid w:val="00415B41"/>
    <w:rsid w:val="00430948"/>
    <w:rsid w:val="00432A5A"/>
    <w:rsid w:val="004340C5"/>
    <w:rsid w:val="004365DE"/>
    <w:rsid w:val="00441B3B"/>
    <w:rsid w:val="00444289"/>
    <w:rsid w:val="00454C62"/>
    <w:rsid w:val="0046330C"/>
    <w:rsid w:val="00485683"/>
    <w:rsid w:val="004872A7"/>
    <w:rsid w:val="004942FC"/>
    <w:rsid w:val="00496893"/>
    <w:rsid w:val="004A3A15"/>
    <w:rsid w:val="004A49A2"/>
    <w:rsid w:val="004B6331"/>
    <w:rsid w:val="004D67D0"/>
    <w:rsid w:val="004D7E38"/>
    <w:rsid w:val="004E4E47"/>
    <w:rsid w:val="004F068F"/>
    <w:rsid w:val="004F1656"/>
    <w:rsid w:val="00503743"/>
    <w:rsid w:val="00504796"/>
    <w:rsid w:val="00506961"/>
    <w:rsid w:val="005069B4"/>
    <w:rsid w:val="005160EE"/>
    <w:rsid w:val="00516C51"/>
    <w:rsid w:val="00524DE4"/>
    <w:rsid w:val="005269E1"/>
    <w:rsid w:val="00530D1A"/>
    <w:rsid w:val="005405D6"/>
    <w:rsid w:val="0056114B"/>
    <w:rsid w:val="005651A6"/>
    <w:rsid w:val="00567CAC"/>
    <w:rsid w:val="005803A9"/>
    <w:rsid w:val="0058284A"/>
    <w:rsid w:val="00584FAF"/>
    <w:rsid w:val="00586C8E"/>
    <w:rsid w:val="00592774"/>
    <w:rsid w:val="00595D53"/>
    <w:rsid w:val="005B1088"/>
    <w:rsid w:val="005B3156"/>
    <w:rsid w:val="005B7A4D"/>
    <w:rsid w:val="005C0FC8"/>
    <w:rsid w:val="005C3F37"/>
    <w:rsid w:val="005C5366"/>
    <w:rsid w:val="005F5EF1"/>
    <w:rsid w:val="006033A0"/>
    <w:rsid w:val="00610168"/>
    <w:rsid w:val="006120A4"/>
    <w:rsid w:val="006128F2"/>
    <w:rsid w:val="006137BD"/>
    <w:rsid w:val="00620363"/>
    <w:rsid w:val="0062045E"/>
    <w:rsid w:val="00626FA3"/>
    <w:rsid w:val="006343DC"/>
    <w:rsid w:val="00641673"/>
    <w:rsid w:val="00663A3B"/>
    <w:rsid w:val="00664E5A"/>
    <w:rsid w:val="00674C5D"/>
    <w:rsid w:val="0067509E"/>
    <w:rsid w:val="006820B9"/>
    <w:rsid w:val="00693C73"/>
    <w:rsid w:val="006A2C40"/>
    <w:rsid w:val="006A39C7"/>
    <w:rsid w:val="006A4FA0"/>
    <w:rsid w:val="006C420E"/>
    <w:rsid w:val="006E48D9"/>
    <w:rsid w:val="006F0A9F"/>
    <w:rsid w:val="00703656"/>
    <w:rsid w:val="0071018E"/>
    <w:rsid w:val="007177D8"/>
    <w:rsid w:val="007235CF"/>
    <w:rsid w:val="00740741"/>
    <w:rsid w:val="00747C54"/>
    <w:rsid w:val="00760945"/>
    <w:rsid w:val="007665CC"/>
    <w:rsid w:val="00766DAA"/>
    <w:rsid w:val="0077026D"/>
    <w:rsid w:val="00771A67"/>
    <w:rsid w:val="00794512"/>
    <w:rsid w:val="007A1DF7"/>
    <w:rsid w:val="007A1E22"/>
    <w:rsid w:val="007A3EEB"/>
    <w:rsid w:val="007B1390"/>
    <w:rsid w:val="007B16C0"/>
    <w:rsid w:val="007B258A"/>
    <w:rsid w:val="007C01EB"/>
    <w:rsid w:val="007C1859"/>
    <w:rsid w:val="007C2258"/>
    <w:rsid w:val="007D0FDF"/>
    <w:rsid w:val="007D786E"/>
    <w:rsid w:val="007E1791"/>
    <w:rsid w:val="007F3815"/>
    <w:rsid w:val="008024B4"/>
    <w:rsid w:val="0081667A"/>
    <w:rsid w:val="008209BF"/>
    <w:rsid w:val="00836085"/>
    <w:rsid w:val="008366B8"/>
    <w:rsid w:val="008414F3"/>
    <w:rsid w:val="00846F07"/>
    <w:rsid w:val="00860737"/>
    <w:rsid w:val="00864DD2"/>
    <w:rsid w:val="00867936"/>
    <w:rsid w:val="00870EEC"/>
    <w:rsid w:val="0088567B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E75C2"/>
    <w:rsid w:val="008E7B6E"/>
    <w:rsid w:val="009021DC"/>
    <w:rsid w:val="00911D65"/>
    <w:rsid w:val="009139D6"/>
    <w:rsid w:val="00921CB8"/>
    <w:rsid w:val="00927879"/>
    <w:rsid w:val="00930026"/>
    <w:rsid w:val="009358C6"/>
    <w:rsid w:val="009465C0"/>
    <w:rsid w:val="009514A5"/>
    <w:rsid w:val="009609DE"/>
    <w:rsid w:val="009631A7"/>
    <w:rsid w:val="00963551"/>
    <w:rsid w:val="00971B6C"/>
    <w:rsid w:val="009726C2"/>
    <w:rsid w:val="00990D91"/>
    <w:rsid w:val="0099201B"/>
    <w:rsid w:val="009954FF"/>
    <w:rsid w:val="009A1660"/>
    <w:rsid w:val="009A489A"/>
    <w:rsid w:val="009A7B68"/>
    <w:rsid w:val="009B704A"/>
    <w:rsid w:val="009C5298"/>
    <w:rsid w:val="009C62B9"/>
    <w:rsid w:val="009D6548"/>
    <w:rsid w:val="009E1DBD"/>
    <w:rsid w:val="009E455A"/>
    <w:rsid w:val="00A03A9E"/>
    <w:rsid w:val="00A059A0"/>
    <w:rsid w:val="00A11E59"/>
    <w:rsid w:val="00A16779"/>
    <w:rsid w:val="00A233FD"/>
    <w:rsid w:val="00A33037"/>
    <w:rsid w:val="00A35B90"/>
    <w:rsid w:val="00A439DD"/>
    <w:rsid w:val="00A47B8D"/>
    <w:rsid w:val="00A517D6"/>
    <w:rsid w:val="00A64E56"/>
    <w:rsid w:val="00A66CDB"/>
    <w:rsid w:val="00A75A68"/>
    <w:rsid w:val="00A954DB"/>
    <w:rsid w:val="00A96CAC"/>
    <w:rsid w:val="00AB01C1"/>
    <w:rsid w:val="00AB18B4"/>
    <w:rsid w:val="00AB4AFB"/>
    <w:rsid w:val="00AB7B42"/>
    <w:rsid w:val="00AC3ED3"/>
    <w:rsid w:val="00AD41BD"/>
    <w:rsid w:val="00AE32C4"/>
    <w:rsid w:val="00AF35A2"/>
    <w:rsid w:val="00AF403C"/>
    <w:rsid w:val="00B007CA"/>
    <w:rsid w:val="00B036EE"/>
    <w:rsid w:val="00B06852"/>
    <w:rsid w:val="00B21DB2"/>
    <w:rsid w:val="00B24D28"/>
    <w:rsid w:val="00B43670"/>
    <w:rsid w:val="00B555F6"/>
    <w:rsid w:val="00B56AC2"/>
    <w:rsid w:val="00B57038"/>
    <w:rsid w:val="00B60582"/>
    <w:rsid w:val="00B6405E"/>
    <w:rsid w:val="00B64E1E"/>
    <w:rsid w:val="00B7467E"/>
    <w:rsid w:val="00BB1F5D"/>
    <w:rsid w:val="00BD1A8B"/>
    <w:rsid w:val="00BD2867"/>
    <w:rsid w:val="00BD6C23"/>
    <w:rsid w:val="00BD792D"/>
    <w:rsid w:val="00BE049C"/>
    <w:rsid w:val="00BE199A"/>
    <w:rsid w:val="00BE1FEE"/>
    <w:rsid w:val="00BE451E"/>
    <w:rsid w:val="00BF1854"/>
    <w:rsid w:val="00BF23F2"/>
    <w:rsid w:val="00C048C0"/>
    <w:rsid w:val="00C069A0"/>
    <w:rsid w:val="00C201D2"/>
    <w:rsid w:val="00C23F57"/>
    <w:rsid w:val="00C2553C"/>
    <w:rsid w:val="00C276DF"/>
    <w:rsid w:val="00C306FE"/>
    <w:rsid w:val="00C37053"/>
    <w:rsid w:val="00C41132"/>
    <w:rsid w:val="00C62A7D"/>
    <w:rsid w:val="00C64D04"/>
    <w:rsid w:val="00C658A0"/>
    <w:rsid w:val="00C66338"/>
    <w:rsid w:val="00C70342"/>
    <w:rsid w:val="00C7203C"/>
    <w:rsid w:val="00C736EB"/>
    <w:rsid w:val="00C81F2E"/>
    <w:rsid w:val="00C92705"/>
    <w:rsid w:val="00C93792"/>
    <w:rsid w:val="00CA6054"/>
    <w:rsid w:val="00CB1B5B"/>
    <w:rsid w:val="00CB57BD"/>
    <w:rsid w:val="00CB78A2"/>
    <w:rsid w:val="00CC6CBC"/>
    <w:rsid w:val="00CD15CD"/>
    <w:rsid w:val="00CD2022"/>
    <w:rsid w:val="00CD2C76"/>
    <w:rsid w:val="00CD6632"/>
    <w:rsid w:val="00CE1DC5"/>
    <w:rsid w:val="00CF1D37"/>
    <w:rsid w:val="00CF3007"/>
    <w:rsid w:val="00CF3AEF"/>
    <w:rsid w:val="00D0470B"/>
    <w:rsid w:val="00D067FC"/>
    <w:rsid w:val="00D11E31"/>
    <w:rsid w:val="00D143CD"/>
    <w:rsid w:val="00D449CF"/>
    <w:rsid w:val="00D52EB3"/>
    <w:rsid w:val="00D53684"/>
    <w:rsid w:val="00D62FDD"/>
    <w:rsid w:val="00D64AB1"/>
    <w:rsid w:val="00D65F4F"/>
    <w:rsid w:val="00D77279"/>
    <w:rsid w:val="00D81B61"/>
    <w:rsid w:val="00D81DAF"/>
    <w:rsid w:val="00D81E06"/>
    <w:rsid w:val="00D86174"/>
    <w:rsid w:val="00D87383"/>
    <w:rsid w:val="00D9597D"/>
    <w:rsid w:val="00DB0265"/>
    <w:rsid w:val="00DB2509"/>
    <w:rsid w:val="00DB49B5"/>
    <w:rsid w:val="00DC297B"/>
    <w:rsid w:val="00DE1A8D"/>
    <w:rsid w:val="00DE5507"/>
    <w:rsid w:val="00DE64D6"/>
    <w:rsid w:val="00DE6C50"/>
    <w:rsid w:val="00DE70AD"/>
    <w:rsid w:val="00E11474"/>
    <w:rsid w:val="00E14143"/>
    <w:rsid w:val="00E14690"/>
    <w:rsid w:val="00E24859"/>
    <w:rsid w:val="00E26389"/>
    <w:rsid w:val="00E35B80"/>
    <w:rsid w:val="00E52928"/>
    <w:rsid w:val="00E57923"/>
    <w:rsid w:val="00E719DE"/>
    <w:rsid w:val="00E776EC"/>
    <w:rsid w:val="00E80EA9"/>
    <w:rsid w:val="00E81330"/>
    <w:rsid w:val="00E82920"/>
    <w:rsid w:val="00E84126"/>
    <w:rsid w:val="00E8594B"/>
    <w:rsid w:val="00E86D26"/>
    <w:rsid w:val="00EA1D72"/>
    <w:rsid w:val="00EA26E7"/>
    <w:rsid w:val="00EB1154"/>
    <w:rsid w:val="00EC2305"/>
    <w:rsid w:val="00EC4D55"/>
    <w:rsid w:val="00EE2AE8"/>
    <w:rsid w:val="00EE3182"/>
    <w:rsid w:val="00EE4740"/>
    <w:rsid w:val="00EE7942"/>
    <w:rsid w:val="00EF21F6"/>
    <w:rsid w:val="00EF31E2"/>
    <w:rsid w:val="00EF3515"/>
    <w:rsid w:val="00EF3631"/>
    <w:rsid w:val="00F139BE"/>
    <w:rsid w:val="00F13C74"/>
    <w:rsid w:val="00F158CC"/>
    <w:rsid w:val="00F17028"/>
    <w:rsid w:val="00F26AF6"/>
    <w:rsid w:val="00F351E6"/>
    <w:rsid w:val="00F3780D"/>
    <w:rsid w:val="00F40D13"/>
    <w:rsid w:val="00F43D0C"/>
    <w:rsid w:val="00F50470"/>
    <w:rsid w:val="00F575F2"/>
    <w:rsid w:val="00F71A22"/>
    <w:rsid w:val="00F75253"/>
    <w:rsid w:val="00F82245"/>
    <w:rsid w:val="00F8398D"/>
    <w:rsid w:val="00F90976"/>
    <w:rsid w:val="00FA3071"/>
    <w:rsid w:val="00FB0E5C"/>
    <w:rsid w:val="00FB265A"/>
    <w:rsid w:val="00FC1D25"/>
    <w:rsid w:val="00FC2E44"/>
    <w:rsid w:val="00FD1DA8"/>
    <w:rsid w:val="00FD22AB"/>
    <w:rsid w:val="00FE0BEF"/>
    <w:rsid w:val="00FE30D6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linskykraj.cz/logo-zlinskeho-kraje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zlinskykraj.cz/seznam-zrizovanych-a-zalozenych-organizaci-zlinskym-kraje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monika.dankova@zlinskykraj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aa4f96ba11c0c64026bfaefe179d3b63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3840251bb5ac0e08388e398b2d467d4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47FFD-F956-458E-ABF6-93E21E61A4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81898-20C5-4254-944C-70F320DE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20DD1-938A-4512-A04C-5F9008FB004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e9488e27-62b4-47cf-9353-e24b519013c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8</Pages>
  <Words>3519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Daňková Monika</cp:lastModifiedBy>
  <cp:revision>2</cp:revision>
  <dcterms:created xsi:type="dcterms:W3CDTF">2024-01-25T12:07:00Z</dcterms:created>
  <dcterms:modified xsi:type="dcterms:W3CDTF">2024-01-25T12:07:00Z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