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B675" w14:textId="2A393E63" w:rsidR="00AC2876" w:rsidRDefault="00AC2876" w:rsidP="00AC2876">
      <w:pPr>
        <w:rPr>
          <w:rStyle w:val="CharStyle19"/>
          <w:rFonts w:asciiTheme="minorHAnsi" w:hAnsiTheme="minorHAnsi" w:cstheme="minorHAnsi"/>
          <w:color w:val="000000"/>
          <w:sz w:val="28"/>
          <w:szCs w:val="28"/>
        </w:rPr>
      </w:pPr>
      <w:bookmarkStart w:id="0" w:name="bookmark3"/>
      <w:r w:rsidRPr="00AC2876">
        <w:rPr>
          <w:rStyle w:val="CharStyle19"/>
          <w:rFonts w:asciiTheme="minorHAnsi" w:hAnsiTheme="minorHAnsi" w:cstheme="minorHAnsi"/>
          <w:color w:val="000000"/>
          <w:sz w:val="28"/>
          <w:szCs w:val="28"/>
        </w:rPr>
        <w:t xml:space="preserve">Využití ploch v </w:t>
      </w:r>
      <w:r w:rsidR="004951C8">
        <w:rPr>
          <w:rStyle w:val="CharStyle19"/>
          <w:rFonts w:asciiTheme="minorHAnsi" w:hAnsiTheme="minorHAnsi" w:cstheme="minorHAnsi"/>
          <w:color w:val="000000"/>
          <w:sz w:val="28"/>
          <w:szCs w:val="28"/>
        </w:rPr>
        <w:t>P</w:t>
      </w:r>
      <w:r w:rsidRPr="00AC2876">
        <w:rPr>
          <w:rStyle w:val="CharStyle19"/>
          <w:rFonts w:asciiTheme="minorHAnsi" w:hAnsiTheme="minorHAnsi" w:cstheme="minorHAnsi"/>
          <w:color w:val="000000"/>
          <w:sz w:val="28"/>
          <w:szCs w:val="28"/>
        </w:rPr>
        <w:t>rovozním zahradnictví</w:t>
      </w:r>
      <w:r w:rsidR="004951C8">
        <w:rPr>
          <w:rStyle w:val="CharStyle19"/>
          <w:rFonts w:asciiTheme="minorHAnsi" w:hAnsiTheme="minorHAnsi" w:cstheme="minorHAnsi"/>
          <w:color w:val="000000"/>
          <w:sz w:val="28"/>
          <w:szCs w:val="28"/>
        </w:rPr>
        <w:t xml:space="preserve"> ČZU</w:t>
      </w:r>
    </w:p>
    <w:p w14:paraId="5160D39A" w14:textId="77777777" w:rsidR="00AC2876" w:rsidRPr="00AC2876" w:rsidRDefault="00AC2876" w:rsidP="00AC2876">
      <w:pP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>Plocha pařenišť vedle provozního zahradnictví</w:t>
      </w:r>
    </w:p>
    <w:p w14:paraId="76F62099" w14:textId="77643FE8" w:rsidR="00AC2876" w:rsidRPr="00AC2876" w:rsidRDefault="00AC2876" w:rsidP="004951C8">
      <w:pPr>
        <w:jc w:val="both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Plocha pařenišť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která navazuje na západní straně na nově dostavovanou halu provozního zahradnictví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(dále jen „PZ“)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má rozlohu cca 800m2. Na ploše se nachází 14 pařenišť o celkové rozloze 180m2. Většin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pařenišť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využívá od druhé poloviny března do konce července k dopěstování květin pro nádobové výsadby v areálu ČZU a osazování truhlíků v budovách ČZU. Přebytky výpěstků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se prodávají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 prodejně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Část pařenišť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využívá celoročně ke skladování náhradních výsadeb rostlin pro výsadby v areálu ČZU. Nejdelší pařeniště na západní hranici řešené plochy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využívá k letnění rostlin od zámrazu do zámrazu. S ohledem na využití ploch od konce července do poloviny listopadu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využívá pařeniště k dopěstování vícekvětých chryzantém k prodeji do květinové prodejny. Systém pěstování rostlin v pařeništích už je v dnešní době technologicky náročný a</w:t>
      </w:r>
      <w:r w:rsidR="004951C8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zastaralý. Do budoucna by bylo určitě lepší nahradit pařeniště skleníky či fóliovníky.</w:t>
      </w:r>
    </w:p>
    <w:p w14:paraId="45A79EF3" w14:textId="64028585" w:rsidR="00AC2876" w:rsidRPr="00AC2876" w:rsidRDefault="00AC2876" w:rsidP="00AC2876">
      <w:pP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Plochy navazující na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 za garážemi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</w:t>
      </w:r>
    </w:p>
    <w:p w14:paraId="2BB57F03" w14:textId="553CE109" w:rsidR="00AC2876" w:rsidRPr="00AC2876" w:rsidRDefault="00AC2876" w:rsidP="004951C8">
      <w:pPr>
        <w:jc w:val="both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Na západní straně budov nynější dílny, garáží a plochy pařenišť navazuje cca 3000m2 pozemku který momentálně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využívá. Na východní hranici řešené plochy se rozkládají tři skleníky o celkové rozloze 240m2. Skleníky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se využívají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 pěstování růží na řez do květinové prodejny, sadby a zimování choulostivých druhů rostlin v zimních měsících. Na skleníky navazuje pole o rozloze 300m2, které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využívá pro pěstování řezaných květin do květinové prodejny, matečních rostlin a rostlin určených k sušení Na severní hranici řešeného území je ovál tvořený panelovou cestou o šířce 3m. Uvnitř oválu se nachází plocha cca 630m2, kter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á se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využívá na skladování větších rostlin pro výsadby v areálu ČZU, jako uložiště přesátého substrátu, uložiště větví připravených ke štěpkování, uložení dřevní štěpky a veškeré dřevní hmoty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která vzniká údržbou areálu ČZU. V</w:t>
      </w:r>
      <w:r w:rsidR="004951C8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případě zachování skladovacích prostor uvnitř oválu by bylo vhodné zvážit rekonstrukci opěrné zdi vedoucí středem. Hned za budovou garáží má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uloženou prosévačku země, kter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á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využívá pro přesévání již rozloženého kompostu. Bezpečná manipulační plocha vzhledem k obsluze čelním nakladačem je cca 200m2. V západním rohu pozemku, který sousedí s libosadem se nachází kompost. Na kompost, který má momentálně rozlohu cca 260m2 se odváží veškerý kompostovatelný materiál z areálu ČZU o objemu cca 200m3 ročně. Kompost se každé čtyři roky už jako rozložený převáží na skládku kompostu. Na plochu využívané části pole navazuje plocha cca 600m2,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ta se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využívá jako uložiště kompostu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který se sem každé čtyři roky přesune, čeká na přesátí a využití pro výsadby v areálu ČZU. Část této plochy také </w:t>
      </w:r>
      <w:proofErr w:type="gramStart"/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slouží</w:t>
      </w:r>
      <w:proofErr w:type="gramEnd"/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pro skládkování nekompostovatelných biologických zbytků před svozem. Nekompostovatelného biologického odpadu údržbou areálu vyprodukuje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cca 10-15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3tun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měsíčně. Tento odpad se v měsíčním intervalu odváží na skládku. Dále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zde na ploše s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kladuje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mulčovací kůru pro mulčování výsadeb v areálu. Plocha uložiště je obsluhována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ákladními auty a čelním nakladačem, tudíž je zde potřeba i dostatečný manipulační prostor. </w:t>
      </w:r>
    </w:p>
    <w:p w14:paraId="78463E01" w14:textId="5605C8E4" w:rsidR="00AC2876" w:rsidRPr="00AC2876" w:rsidRDefault="00AC2876" w:rsidP="00AC2876">
      <w:pP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Skleníky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>.</w:t>
      </w:r>
    </w:p>
    <w:p w14:paraId="16CB62A5" w14:textId="77A9C9BB" w:rsidR="00AC2876" w:rsidRDefault="00AC2876" w:rsidP="004951C8">
      <w:pPr>
        <w:jc w:val="both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Vzhledem k havarijnímu stavu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je vhodné do zpracování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generelu zahrn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out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i 4 stávající skleníky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které byl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y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i</w:t>
      </w:r>
      <w:r w:rsidR="004951C8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odborem bezpečnosti ČZU několikrát po sobě navrženy ke kompletní rekonstrukci. Čtyři zmiňované skleníky navazují na severní straně přímo na budovu </w:t>
      </w:r>
      <w:r w:rsidR="00AA0904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PZ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 jejich užitná plocha dohromady činí 360m2. Skleníky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využív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ají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 předpěstování veškerých rostlin pro nádobové výsadby ČZU, výsadby truhlíků v budovách ČZU a</w:t>
      </w:r>
      <w:r w:rsidR="004951C8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pěstování rostlin do květinové prodejny. Celoročně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použív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ají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skleníky k dopěstování vzrostlých pokojových rostlin, které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dodáv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ají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 podstatě všem fakultám a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součástem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ČZU do interiérů.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PZ disponuje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zásobou vzrostlých pokojových rostlin se stářím až 20 let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což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je mimo jiné ve srovnání s jinými zahradnictvími v podstatě rarita. V méně exponovaných podzimních a zimních měsících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využív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ají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tyto skleníky také k dopěstování vánočních hvězd, které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si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zaměstnanci </w:t>
      </w:r>
      <w:r w:rsidR="00883A5F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tradičně hojně nakupují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</w:p>
    <w:p w14:paraId="3C114FD4" w14:textId="77777777" w:rsidR="004951C8" w:rsidRDefault="004951C8" w:rsidP="00AC2876">
      <w:pP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3B37C9A" w14:textId="1A28507C" w:rsidR="00AC2876" w:rsidRPr="00AC2876" w:rsidRDefault="00C71BCB" w:rsidP="00AC2876">
      <w:pP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lastRenderedPageBreak/>
        <w:t>Seznam funkčních ploch pro činnost PZ</w:t>
      </w:r>
      <w:r w:rsidR="00AC2876"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>:</w:t>
      </w:r>
    </w:p>
    <w:p w14:paraId="2C73235E" w14:textId="77777777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Místo pařníků – skleníky</w:t>
      </w:r>
    </w:p>
    <w:p w14:paraId="2FBE6472" w14:textId="67E756A2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větví</w:t>
      </w:r>
    </w:p>
    <w:p w14:paraId="17D2CDB3" w14:textId="77777777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Místo stávajícího betonového plotu postavit nový</w:t>
      </w:r>
    </w:p>
    <w:p w14:paraId="0D9033FF" w14:textId="74BF39E2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vlastní štěpky (umístění při betonovém plotu)</w:t>
      </w:r>
    </w:p>
    <w:p w14:paraId="4D859215" w14:textId="45B34269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pro prosetou zeminu (umístění při betonovém plotu)</w:t>
      </w:r>
    </w:p>
    <w:p w14:paraId="00B0194B" w14:textId="68771540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kůry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kter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á se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každoročně doplňuje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do záhonů v areálu ČZU</w:t>
      </w:r>
    </w:p>
    <w:p w14:paraId="0ED0D675" w14:textId="2EA9AF21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dříví (hrubé dříví z uschlých a nebezpečných stromů)</w:t>
      </w:r>
    </w:p>
    <w:p w14:paraId="0AE00E7B" w14:textId="139B093E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BIO odpadu z celého areálu ČZU (odpad dovezený z KTV, FTZ skleníky FAPPZ skleníky a z provozního zahradnictví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–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ročn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í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odhad kolem 150 tun)</w:t>
      </w:r>
    </w:p>
    <w:p w14:paraId="43A8050E" w14:textId="23F0EAB7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Prostor na uskladnění BIO odpadu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který 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po 3-4 letech přemísťuje na druhé místo (zpracování bioodpadu, viz odpadové hospodářství), 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ČZU jako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eko univerzita 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využívá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vlastní zdroje 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areálu</w:t>
      </w: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(zachování znamená dobré jméno univerzity, rarita v</w:t>
      </w: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ČR</w:t>
      </w: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</w:p>
    <w:p w14:paraId="395C23F6" w14:textId="6321004D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Prostor na uskladnění BIO odpadu, který 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ČZU neumí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zpracovat 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vyváží</w:t>
      </w:r>
      <w:r w:rsidR="00AD15F2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se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na skládku (každý měsíc</w:t>
      </w: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1ks kontejner</w:t>
      </w: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</w:p>
    <w:p w14:paraId="35B96F18" w14:textId="7911D33C" w:rsidR="00AC2876" w:rsidRDefault="00AC2876" w:rsidP="00883A5F">
      <w:pPr>
        <w:pStyle w:val="Odstavecseseznamem"/>
        <w:numPr>
          <w:ilvl w:val="0"/>
          <w:numId w:val="2"/>
        </w:numPr>
        <w:spacing w:after="0"/>
        <w:ind w:left="567" w:hanging="436"/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Příjezdové cesty pro těžkou techniku (nákladn</w:t>
      </w:r>
      <w:r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í</w:t>
      </w:r>
      <w:r w:rsidRPr="00AC2876">
        <w:rPr>
          <w:rStyle w:val="CharStyle19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auta, traktor, nakladač)</w:t>
      </w:r>
      <w:bookmarkEnd w:id="0"/>
    </w:p>
    <w:sectPr w:rsidR="00AC2876" w:rsidSect="00044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AFE6" w14:textId="77777777" w:rsidR="008D5C3C" w:rsidRDefault="008D5C3C" w:rsidP="0004497F">
      <w:pPr>
        <w:spacing w:after="0" w:line="240" w:lineRule="auto"/>
      </w:pPr>
      <w:r>
        <w:separator/>
      </w:r>
    </w:p>
  </w:endnote>
  <w:endnote w:type="continuationSeparator" w:id="0">
    <w:p w14:paraId="771BB9D2" w14:textId="77777777" w:rsidR="008D5C3C" w:rsidRDefault="008D5C3C" w:rsidP="000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0310" w14:textId="77777777" w:rsidR="0016278C" w:rsidRDefault="00162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1666" w14:textId="77777777" w:rsidR="0016278C" w:rsidRDefault="001627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5FA7" w14:textId="77777777" w:rsidR="0016278C" w:rsidRDefault="00162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A130" w14:textId="77777777" w:rsidR="008D5C3C" w:rsidRDefault="008D5C3C" w:rsidP="0004497F">
      <w:pPr>
        <w:spacing w:after="0" w:line="240" w:lineRule="auto"/>
      </w:pPr>
      <w:r>
        <w:separator/>
      </w:r>
    </w:p>
  </w:footnote>
  <w:footnote w:type="continuationSeparator" w:id="0">
    <w:p w14:paraId="34FE347C" w14:textId="77777777" w:rsidR="008D5C3C" w:rsidRDefault="008D5C3C" w:rsidP="0004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51C5" w14:textId="77777777" w:rsidR="0016278C" w:rsidRDefault="0016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FF5" w14:textId="6DBC1BFE" w:rsidR="0004497F" w:rsidRDefault="0016278C">
    <w:pPr>
      <w:pStyle w:val="Zhlav"/>
    </w:pPr>
    <w:r>
      <w:rPr>
        <w:rFonts w:ascii="Calibri" w:hAnsi="Calibri" w:cs="Calibri"/>
      </w:rPr>
      <w:t>Příloha č. 3 – Funkční plochy pro činnost PZ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C6F1" w14:textId="77777777" w:rsidR="0016278C" w:rsidRDefault="00162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7A0FD0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 w15:restartNumberingAfterBreak="0">
    <w:nsid w:val="659A0826"/>
    <w:multiLevelType w:val="hybridMultilevel"/>
    <w:tmpl w:val="8CBC9EF0"/>
    <w:lvl w:ilvl="0" w:tplc="64F0B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36676"/>
    <w:multiLevelType w:val="hybridMultilevel"/>
    <w:tmpl w:val="00063014"/>
    <w:lvl w:ilvl="0" w:tplc="2708CD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47691">
    <w:abstractNumId w:val="0"/>
  </w:num>
  <w:num w:numId="2" w16cid:durableId="1867055916">
    <w:abstractNumId w:val="1"/>
  </w:num>
  <w:num w:numId="3" w16cid:durableId="182662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7F"/>
    <w:rsid w:val="0001537C"/>
    <w:rsid w:val="00037C65"/>
    <w:rsid w:val="0004497F"/>
    <w:rsid w:val="00061CAD"/>
    <w:rsid w:val="0007049D"/>
    <w:rsid w:val="00091924"/>
    <w:rsid w:val="000939EB"/>
    <w:rsid w:val="000B2501"/>
    <w:rsid w:val="001137B4"/>
    <w:rsid w:val="001545F0"/>
    <w:rsid w:val="0016278C"/>
    <w:rsid w:val="001C7880"/>
    <w:rsid w:val="001D53D7"/>
    <w:rsid w:val="00220EAF"/>
    <w:rsid w:val="00246A4B"/>
    <w:rsid w:val="00254776"/>
    <w:rsid w:val="00264275"/>
    <w:rsid w:val="002820C5"/>
    <w:rsid w:val="002A24E1"/>
    <w:rsid w:val="002F25EC"/>
    <w:rsid w:val="00312CCB"/>
    <w:rsid w:val="00313F0A"/>
    <w:rsid w:val="00342751"/>
    <w:rsid w:val="0035388E"/>
    <w:rsid w:val="003F7DD1"/>
    <w:rsid w:val="0045186A"/>
    <w:rsid w:val="00491D73"/>
    <w:rsid w:val="004951C8"/>
    <w:rsid w:val="004B327C"/>
    <w:rsid w:val="004C5CF7"/>
    <w:rsid w:val="00515B92"/>
    <w:rsid w:val="00586BBC"/>
    <w:rsid w:val="0060064C"/>
    <w:rsid w:val="00641239"/>
    <w:rsid w:val="00677F96"/>
    <w:rsid w:val="006A03AC"/>
    <w:rsid w:val="00726688"/>
    <w:rsid w:val="00785213"/>
    <w:rsid w:val="007B1E74"/>
    <w:rsid w:val="007B296F"/>
    <w:rsid w:val="007B622D"/>
    <w:rsid w:val="007F7AE5"/>
    <w:rsid w:val="00812D68"/>
    <w:rsid w:val="00816D0F"/>
    <w:rsid w:val="00883A5F"/>
    <w:rsid w:val="008B667F"/>
    <w:rsid w:val="008D13ED"/>
    <w:rsid w:val="008D5240"/>
    <w:rsid w:val="008D5C3C"/>
    <w:rsid w:val="008F2FED"/>
    <w:rsid w:val="00966314"/>
    <w:rsid w:val="00976A6C"/>
    <w:rsid w:val="00987659"/>
    <w:rsid w:val="009D4867"/>
    <w:rsid w:val="009F0B4E"/>
    <w:rsid w:val="00A104CD"/>
    <w:rsid w:val="00A375D5"/>
    <w:rsid w:val="00A46718"/>
    <w:rsid w:val="00A64D12"/>
    <w:rsid w:val="00A73B63"/>
    <w:rsid w:val="00AA0904"/>
    <w:rsid w:val="00AA2898"/>
    <w:rsid w:val="00AA74C0"/>
    <w:rsid w:val="00AC2876"/>
    <w:rsid w:val="00AD15F2"/>
    <w:rsid w:val="00B65CE2"/>
    <w:rsid w:val="00BC39DA"/>
    <w:rsid w:val="00BD178F"/>
    <w:rsid w:val="00BD632D"/>
    <w:rsid w:val="00C1278B"/>
    <w:rsid w:val="00C1319F"/>
    <w:rsid w:val="00C71BCB"/>
    <w:rsid w:val="00C75505"/>
    <w:rsid w:val="00C84B91"/>
    <w:rsid w:val="00CA6591"/>
    <w:rsid w:val="00CD7370"/>
    <w:rsid w:val="00CE121D"/>
    <w:rsid w:val="00D272F3"/>
    <w:rsid w:val="00D509EB"/>
    <w:rsid w:val="00D70DA0"/>
    <w:rsid w:val="00DB77F9"/>
    <w:rsid w:val="00DC59BE"/>
    <w:rsid w:val="00E07CB5"/>
    <w:rsid w:val="00E43E4A"/>
    <w:rsid w:val="00E53F51"/>
    <w:rsid w:val="00E8766B"/>
    <w:rsid w:val="00EB0519"/>
    <w:rsid w:val="00ED55CB"/>
    <w:rsid w:val="00F3410E"/>
    <w:rsid w:val="00F66FFE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831"/>
  <w15:chartTrackingRefBased/>
  <w15:docId w15:val="{57FD362D-C58F-4811-9FE3-3A67AF8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3">
    <w:name w:val="Char Style 13"/>
    <w:basedOn w:val="Standardnpsmoodstavce"/>
    <w:link w:val="Style12"/>
    <w:uiPriority w:val="99"/>
    <w:locked/>
    <w:rsid w:val="0004497F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04497F"/>
    <w:pPr>
      <w:widowControl w:val="0"/>
      <w:shd w:val="clear" w:color="auto" w:fill="FFFFFF"/>
      <w:spacing w:after="260" w:line="269" w:lineRule="exact"/>
      <w:ind w:hanging="340"/>
      <w:jc w:val="right"/>
    </w:pPr>
    <w:rPr>
      <w:rFonts w:ascii="Arial" w:hAnsi="Arial" w:cs="Arial"/>
      <w:sz w:val="19"/>
      <w:szCs w:val="19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04497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04497F"/>
    <w:pPr>
      <w:widowControl w:val="0"/>
      <w:shd w:val="clear" w:color="auto" w:fill="FFFFFF"/>
      <w:spacing w:after="600" w:line="234" w:lineRule="exact"/>
      <w:jc w:val="both"/>
      <w:outlineLvl w:val="2"/>
    </w:pPr>
    <w:rPr>
      <w:rFonts w:ascii="Arial" w:hAnsi="Arial" w:cs="Arial"/>
      <w:b/>
      <w:bCs/>
      <w:sz w:val="21"/>
      <w:szCs w:val="21"/>
    </w:rPr>
  </w:style>
  <w:style w:type="character" w:customStyle="1" w:styleId="CharStyle19">
    <w:name w:val="Char Style 19"/>
    <w:basedOn w:val="Standardnpsmoodstavce"/>
    <w:link w:val="Style18"/>
    <w:uiPriority w:val="99"/>
    <w:locked/>
    <w:rsid w:val="0004497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Style18">
    <w:name w:val="Style 18"/>
    <w:basedOn w:val="Normln"/>
    <w:link w:val="CharStyle19"/>
    <w:uiPriority w:val="99"/>
    <w:rsid w:val="0004497F"/>
    <w:pPr>
      <w:widowControl w:val="0"/>
      <w:shd w:val="clear" w:color="auto" w:fill="FFFFFF"/>
      <w:spacing w:before="1560" w:after="260" w:line="334" w:lineRule="exact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CharStyle21">
    <w:name w:val="Char Style 21"/>
    <w:basedOn w:val="Standardnpsmoodstavce"/>
    <w:link w:val="Style20"/>
    <w:uiPriority w:val="99"/>
    <w:locked/>
    <w:rsid w:val="0004497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04497F"/>
    <w:pPr>
      <w:widowControl w:val="0"/>
      <w:shd w:val="clear" w:color="auto" w:fill="FFFFFF"/>
      <w:spacing w:before="320" w:after="320" w:line="190" w:lineRule="exact"/>
      <w:outlineLvl w:val="3"/>
    </w:pPr>
    <w:rPr>
      <w:rFonts w:ascii="Arial" w:hAnsi="Arial" w:cs="Arial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0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97F"/>
  </w:style>
  <w:style w:type="paragraph" w:styleId="Zpat">
    <w:name w:val="footer"/>
    <w:basedOn w:val="Normln"/>
    <w:link w:val="ZpatChar"/>
    <w:uiPriority w:val="99"/>
    <w:unhideWhenUsed/>
    <w:rsid w:val="000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97F"/>
  </w:style>
  <w:style w:type="paragraph" w:styleId="Textbubliny">
    <w:name w:val="Balloon Text"/>
    <w:basedOn w:val="Normln"/>
    <w:link w:val="TextbublinyChar"/>
    <w:uiPriority w:val="99"/>
    <w:semiHidden/>
    <w:unhideWhenUsed/>
    <w:rsid w:val="00A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D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F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F0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E43E4A"/>
    <w:rPr>
      <w:color w:val="0000FF"/>
      <w:u w:val="single"/>
    </w:rPr>
  </w:style>
  <w:style w:type="table" w:styleId="Mkatabulky">
    <w:name w:val="Table Grid"/>
    <w:basedOn w:val="Normlntabulka"/>
    <w:rsid w:val="00E43E4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"/>
    <w:next w:val="Normln"/>
    <w:autoRedefine/>
    <w:uiPriority w:val="39"/>
    <w:qFormat/>
    <w:rsid w:val="007B622D"/>
    <w:pPr>
      <w:tabs>
        <w:tab w:val="left" w:pos="426"/>
        <w:tab w:val="right" w:leader="dot" w:pos="9356"/>
      </w:tabs>
      <w:spacing w:before="120" w:after="0" w:line="240" w:lineRule="auto"/>
      <w:ind w:left="426" w:right="849" w:hanging="426"/>
      <w:jc w:val="both"/>
    </w:pPr>
    <w:rPr>
      <w:rFonts w:ascii="Arial Narrow" w:eastAsia="Times New Roman" w:hAnsi="Arial Narrow" w:cs="Arial"/>
      <w:b/>
      <w:bCs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515B92"/>
    <w:pPr>
      <w:tabs>
        <w:tab w:val="left" w:pos="992"/>
        <w:tab w:val="right" w:leader="dot" w:pos="9356"/>
      </w:tabs>
      <w:spacing w:before="60" w:after="0" w:line="240" w:lineRule="auto"/>
      <w:ind w:left="992" w:right="851" w:hanging="567"/>
      <w:jc w:val="both"/>
    </w:pPr>
    <w:rPr>
      <w:rFonts w:ascii="Arial Narrow" w:eastAsia="Times New Roman" w:hAnsi="Arial Narrow" w:cs="Arial"/>
      <w:b/>
      <w:noProof/>
      <w:szCs w:val="3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515B92"/>
    <w:pPr>
      <w:tabs>
        <w:tab w:val="left" w:pos="1701"/>
        <w:tab w:val="right" w:leader="dot" w:pos="9356"/>
      </w:tabs>
      <w:spacing w:before="60" w:after="0" w:line="240" w:lineRule="auto"/>
      <w:ind w:left="1701" w:right="851" w:hanging="709"/>
      <w:jc w:val="both"/>
    </w:pPr>
    <w:rPr>
      <w:rFonts w:ascii="Arial Narrow" w:eastAsia="Times New Roman" w:hAnsi="Arial Narrow" w:cs="Arial"/>
      <w:b/>
      <w:noProof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5B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C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1FB8DC-5673-41D3-86CE-329721D7E13F}">
  <we:reference id="74296acf-ff86-450c-9340-d30ee71775ae" version="1.0.5.0" store="EXCatalog" storeType="EXCatalog"/>
  <we:alternateReferences>
    <we:reference id="WA200001482" version="1.0.5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9F56B287-BE0C-4297-A092-E21B2CEE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33B17-0D06-4434-B182-17B9D92A0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1804D-590B-4DA3-955D-A6C867D4C831}">
  <ds:schemaRefs>
    <ds:schemaRef ds:uri="http://schemas.microsoft.com/office/2006/metadata/properties"/>
    <ds:schemaRef ds:uri="http://schemas.microsoft.com/office/infopath/2007/PartnerControls"/>
    <ds:schemaRef ds:uri="3384037c-00b2-4916-bc4d-d93544c99234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Marketa</dc:creator>
  <cp:keywords/>
  <dc:description/>
  <cp:lastModifiedBy>Horáčková Alena</cp:lastModifiedBy>
  <cp:revision>2</cp:revision>
  <dcterms:created xsi:type="dcterms:W3CDTF">2024-01-25T09:33:00Z</dcterms:created>
  <dcterms:modified xsi:type="dcterms:W3CDTF">2024-01-25T09:33:00Z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