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B7" w:rsidRPr="004C369E" w:rsidRDefault="002E2E95" w:rsidP="009F3319">
      <w:pPr>
        <w:pStyle w:val="Bezmezer"/>
        <w:jc w:val="center"/>
        <w:rPr>
          <w:rFonts w:ascii="Georgia" w:hAnsi="Georgia"/>
          <w:b/>
          <w:bCs/>
          <w:sz w:val="28"/>
        </w:rPr>
      </w:pPr>
      <w:r w:rsidRPr="00EF7293">
        <w:rPr>
          <w:rFonts w:ascii="Georgia" w:hAnsi="Georgia"/>
          <w:b/>
          <w:bCs/>
          <w:sz w:val="28"/>
        </w:rPr>
        <w:t xml:space="preserve">Smlouva o </w:t>
      </w:r>
      <w:r w:rsidRPr="004C369E">
        <w:rPr>
          <w:rFonts w:ascii="Georgia" w:hAnsi="Georgia"/>
          <w:b/>
          <w:bCs/>
          <w:sz w:val="28"/>
        </w:rPr>
        <w:t>vypořádání závazků</w:t>
      </w:r>
      <w:r w:rsidR="0052366C" w:rsidRPr="004C369E">
        <w:rPr>
          <w:rFonts w:ascii="Georgia" w:hAnsi="Georgia"/>
          <w:b/>
          <w:bCs/>
          <w:sz w:val="28"/>
        </w:rPr>
        <w:t xml:space="preserve"> </w:t>
      </w:r>
      <w:r w:rsidRPr="004C369E">
        <w:rPr>
          <w:rFonts w:ascii="Georgia" w:hAnsi="Georgia"/>
          <w:b/>
          <w:bCs/>
          <w:sz w:val="28"/>
        </w:rPr>
        <w:t>SG-24</w:t>
      </w:r>
      <w:r w:rsidR="00616558" w:rsidRPr="004C369E">
        <w:rPr>
          <w:rFonts w:ascii="Georgia" w:hAnsi="Georgia"/>
          <w:b/>
          <w:bCs/>
          <w:sz w:val="28"/>
        </w:rPr>
        <w:t>/010</w:t>
      </w:r>
    </w:p>
    <w:p w:rsidR="008A3E82" w:rsidRPr="004C369E" w:rsidRDefault="002E2E95" w:rsidP="009F3319">
      <w:pPr>
        <w:pStyle w:val="Bezmezer"/>
        <w:jc w:val="center"/>
        <w:rPr>
          <w:rFonts w:ascii="Georgia" w:hAnsi="Georgia"/>
          <w:sz w:val="28"/>
        </w:rPr>
      </w:pPr>
      <w:r w:rsidRPr="004C369E">
        <w:rPr>
          <w:rFonts w:ascii="Georgia" w:hAnsi="Georgia"/>
          <w:b/>
          <w:bCs/>
          <w:sz w:val="28"/>
        </w:rPr>
        <w:t xml:space="preserve">ke smlouvě </w:t>
      </w:r>
      <w:r w:rsidR="00570DD4" w:rsidRPr="004C369E">
        <w:rPr>
          <w:rFonts w:ascii="Georgia" w:hAnsi="Georgia"/>
          <w:b/>
          <w:bCs/>
          <w:sz w:val="28"/>
        </w:rPr>
        <w:t>SG</w:t>
      </w:r>
      <w:r w:rsidRPr="004C369E">
        <w:rPr>
          <w:rFonts w:ascii="Georgia" w:hAnsi="Georgia"/>
          <w:b/>
          <w:bCs/>
          <w:sz w:val="28"/>
        </w:rPr>
        <w:t>-</w:t>
      </w:r>
      <w:r w:rsidR="00570DD4" w:rsidRPr="004C369E">
        <w:rPr>
          <w:rFonts w:ascii="Georgia" w:hAnsi="Georgia"/>
          <w:b/>
          <w:bCs/>
          <w:sz w:val="28"/>
        </w:rPr>
        <w:t>2</w:t>
      </w:r>
      <w:r w:rsidR="00511925" w:rsidRPr="004C369E">
        <w:rPr>
          <w:rFonts w:ascii="Georgia" w:hAnsi="Georgia"/>
          <w:b/>
          <w:bCs/>
          <w:sz w:val="28"/>
        </w:rPr>
        <w:t>3</w:t>
      </w:r>
      <w:r w:rsidRPr="004C369E">
        <w:rPr>
          <w:rFonts w:ascii="Georgia" w:hAnsi="Georgia"/>
          <w:b/>
          <w:bCs/>
          <w:sz w:val="28"/>
        </w:rPr>
        <w:t>/</w:t>
      </w:r>
      <w:r w:rsidR="00570DD4" w:rsidRPr="004C369E">
        <w:rPr>
          <w:rFonts w:ascii="Georgia" w:hAnsi="Georgia"/>
          <w:b/>
          <w:bCs/>
          <w:sz w:val="28"/>
        </w:rPr>
        <w:t>001</w:t>
      </w:r>
    </w:p>
    <w:p w:rsidR="008A3E82" w:rsidRPr="004C369E" w:rsidRDefault="002E2E95" w:rsidP="009F3319">
      <w:pPr>
        <w:pStyle w:val="Bezmezer"/>
        <w:jc w:val="center"/>
        <w:rPr>
          <w:rFonts w:ascii="Georgia" w:hAnsi="Georgia"/>
        </w:rPr>
      </w:pPr>
      <w:r w:rsidRPr="004C369E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:rsidR="009F3319" w:rsidRPr="004C369E" w:rsidRDefault="009F3319" w:rsidP="009F3319">
      <w:pPr>
        <w:pStyle w:val="Bezmezer"/>
        <w:jc w:val="center"/>
        <w:rPr>
          <w:rFonts w:ascii="Georgia" w:hAnsi="Georgia"/>
        </w:rPr>
      </w:pPr>
    </w:p>
    <w:p w:rsidR="0052366C" w:rsidRPr="004C369E" w:rsidRDefault="002E2E95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4C369E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:rsidR="00140A4F" w:rsidRPr="004C369E" w:rsidRDefault="002E2E95" w:rsidP="00140A4F">
      <w:pPr>
        <w:jc w:val="both"/>
        <w:rPr>
          <w:rFonts w:ascii="Georgia" w:hAnsi="Georgia" w:cs="Calibri"/>
          <w:sz w:val="22"/>
          <w:szCs w:val="22"/>
        </w:rPr>
      </w:pPr>
      <w:r w:rsidRPr="004C369E">
        <w:rPr>
          <w:rFonts w:ascii="Georgia" w:hAnsi="Georgia" w:cs="Calibri"/>
          <w:sz w:val="22"/>
          <w:szCs w:val="22"/>
        </w:rPr>
        <w:t xml:space="preserve">se sídlem </w:t>
      </w:r>
      <w:r w:rsidR="002A733F" w:rsidRPr="004C369E">
        <w:rPr>
          <w:rFonts w:ascii="Georgia" w:hAnsi="Georgia" w:cs="Calibri"/>
          <w:sz w:val="22"/>
          <w:szCs w:val="22"/>
        </w:rPr>
        <w:t>Alšovo nábřeží 12, 110 01 Praha 1</w:t>
      </w:r>
    </w:p>
    <w:p w:rsidR="00140A4F" w:rsidRPr="004C369E" w:rsidRDefault="002E2E95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 w:rsidRPr="004C369E"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4C369E">
        <w:rPr>
          <w:rFonts w:ascii="Georgia" w:hAnsi="Georgia" w:cs="Calibri"/>
          <w:sz w:val="22"/>
          <w:szCs w:val="22"/>
        </w:rPr>
        <w:t>00023264</w:t>
      </w:r>
      <w:r w:rsidRPr="004C369E">
        <w:rPr>
          <w:rFonts w:ascii="Georgia" w:hAnsi="Georgia" w:cs="Calibri"/>
          <w:sz w:val="22"/>
          <w:szCs w:val="22"/>
        </w:rPr>
        <w:t xml:space="preserve">, </w:t>
      </w:r>
      <w:r w:rsidR="0052366C" w:rsidRPr="004C369E">
        <w:rPr>
          <w:rFonts w:ascii="Georgia" w:hAnsi="Georgia" w:cs="Calibri"/>
          <w:sz w:val="22"/>
          <w:szCs w:val="22"/>
        </w:rPr>
        <w:t>DIČ</w:t>
      </w:r>
      <w:r w:rsidRPr="004C369E">
        <w:rPr>
          <w:rFonts w:ascii="Georgia" w:hAnsi="Georgia" w:cs="Calibri"/>
          <w:sz w:val="22"/>
          <w:szCs w:val="22"/>
        </w:rPr>
        <w:t>: CZ</w:t>
      </w:r>
      <w:r w:rsidR="002A733F" w:rsidRPr="004C369E">
        <w:rPr>
          <w:rFonts w:ascii="Georgia" w:hAnsi="Georgia" w:cs="Arial"/>
          <w:sz w:val="22"/>
          <w:szCs w:val="22"/>
        </w:rPr>
        <w:t>00023264</w:t>
      </w:r>
    </w:p>
    <w:p w:rsidR="00140A4F" w:rsidRPr="004C369E" w:rsidRDefault="002E2E95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 w:rsidRPr="004C369E">
        <w:rPr>
          <w:rFonts w:ascii="Georgia" w:hAnsi="Georgia" w:cs="Calibri"/>
          <w:color w:val="auto"/>
          <w:sz w:val="22"/>
          <w:szCs w:val="22"/>
        </w:rPr>
        <w:t>zastoupena panem</w:t>
      </w:r>
      <w:r w:rsidR="00DB111A">
        <w:rPr>
          <w:rFonts w:ascii="Georgia" w:hAnsi="Georgia" w:cs="Calibri"/>
          <w:color w:val="auto"/>
          <w:sz w:val="22"/>
          <w:szCs w:val="22"/>
        </w:rPr>
        <w:t xml:space="preserve"> </w:t>
      </w:r>
      <w:r w:rsidR="00DB111A" w:rsidRPr="00DB111A">
        <w:rPr>
          <w:rFonts w:ascii="Georgia" w:hAnsi="Georgia" w:cs="Calibri"/>
          <w:color w:val="auto"/>
          <w:sz w:val="22"/>
          <w:szCs w:val="22"/>
          <w:highlight w:val="black"/>
        </w:rPr>
        <w:t>xxxx</w:t>
      </w:r>
      <w:r w:rsidRPr="004C369E"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4C369E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Pr="004C369E">
        <w:rPr>
          <w:rFonts w:ascii="Georgia" w:hAnsi="Georgia" w:cs="Calibri"/>
          <w:color w:val="auto"/>
          <w:sz w:val="22"/>
          <w:szCs w:val="22"/>
        </w:rPr>
        <w:t>ředitelem</w:t>
      </w:r>
    </w:p>
    <w:p w:rsidR="00BA1FCD" w:rsidRPr="004C369E" w:rsidRDefault="002E2E95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 w:rsidRPr="004C369E">
        <w:rPr>
          <w:rFonts w:ascii="Georgia" w:hAnsi="Georgia" w:cs="Calibri"/>
          <w:color w:val="auto"/>
          <w:sz w:val="22"/>
          <w:szCs w:val="22"/>
        </w:rPr>
        <w:t xml:space="preserve">Galerie Rudolfinum zastoupen ředitelkou </w:t>
      </w:r>
      <w:r w:rsidR="00DB111A" w:rsidRPr="00DB111A">
        <w:rPr>
          <w:rFonts w:ascii="Georgia" w:hAnsi="Georgia" w:cs="Calibri"/>
          <w:color w:val="auto"/>
          <w:sz w:val="22"/>
          <w:szCs w:val="22"/>
          <w:highlight w:val="black"/>
        </w:rPr>
        <w:t>xxxx</w:t>
      </w:r>
    </w:p>
    <w:p w:rsidR="008A3E82" w:rsidRPr="004C369E" w:rsidRDefault="002E2E95" w:rsidP="009F3319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(dále jen „</w:t>
      </w:r>
      <w:r w:rsidR="00BA1FCD" w:rsidRPr="004C369E">
        <w:rPr>
          <w:rFonts w:ascii="Georgia" w:hAnsi="Georgia"/>
        </w:rPr>
        <w:t>GR</w:t>
      </w:r>
      <w:r w:rsidRPr="004C369E">
        <w:rPr>
          <w:rFonts w:ascii="Georgia" w:hAnsi="Georgia"/>
        </w:rPr>
        <w:t xml:space="preserve">“ nebo „smluvní strana“) </w:t>
      </w:r>
    </w:p>
    <w:p w:rsidR="009F3319" w:rsidRPr="004C369E" w:rsidRDefault="009F3319" w:rsidP="009F3319">
      <w:pPr>
        <w:pStyle w:val="Bezmezer"/>
        <w:rPr>
          <w:rFonts w:ascii="Georgia" w:hAnsi="Georgia"/>
        </w:rPr>
      </w:pPr>
    </w:p>
    <w:p w:rsidR="009F3319" w:rsidRPr="004C369E" w:rsidRDefault="002E2E95" w:rsidP="009F3319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a</w:t>
      </w:r>
    </w:p>
    <w:p w:rsidR="009F3319" w:rsidRPr="004C369E" w:rsidRDefault="009F3319" w:rsidP="009F3319">
      <w:pPr>
        <w:pStyle w:val="Bezmezer"/>
        <w:rPr>
          <w:rFonts w:ascii="Georgia" w:hAnsi="Georgia"/>
        </w:rPr>
      </w:pPr>
    </w:p>
    <w:p w:rsidR="009F3319" w:rsidRPr="004C369E" w:rsidRDefault="002E2E95" w:rsidP="008A3E82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jméno:</w:t>
      </w:r>
      <w:r w:rsidRPr="004C369E">
        <w:rPr>
          <w:rFonts w:ascii="Georgia" w:hAnsi="Georgia"/>
        </w:rPr>
        <w:tab/>
      </w:r>
      <w:r w:rsidR="0019266B" w:rsidRPr="004C369E">
        <w:rPr>
          <w:rFonts w:ascii="Georgia" w:hAnsi="Georgia"/>
        </w:rPr>
        <w:tab/>
      </w:r>
      <w:r w:rsidR="00DB111A" w:rsidRPr="00DB111A">
        <w:rPr>
          <w:rFonts w:ascii="Georgia" w:hAnsi="Georgia" w:cs="Calibri"/>
          <w:highlight w:val="black"/>
        </w:rPr>
        <w:t>xxxx</w:t>
      </w:r>
    </w:p>
    <w:p w:rsidR="009F3319" w:rsidRPr="004C369E" w:rsidRDefault="002E2E95" w:rsidP="008A3E82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se sídlem:</w:t>
      </w:r>
      <w:r w:rsidRPr="004C369E">
        <w:rPr>
          <w:rFonts w:ascii="Georgia" w:hAnsi="Georgia"/>
        </w:rPr>
        <w:tab/>
      </w:r>
      <w:r w:rsidR="00DB111A" w:rsidRPr="00DB111A">
        <w:rPr>
          <w:rFonts w:ascii="Georgia" w:hAnsi="Georgia" w:cs="Calibri"/>
          <w:highlight w:val="black"/>
        </w:rPr>
        <w:t>xxxx</w:t>
      </w:r>
    </w:p>
    <w:p w:rsidR="009F3319" w:rsidRPr="004C369E" w:rsidRDefault="002E2E95" w:rsidP="009F3319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IČ:</w:t>
      </w:r>
      <w:r w:rsidRPr="004C369E">
        <w:rPr>
          <w:rFonts w:ascii="Georgia" w:hAnsi="Georgia"/>
        </w:rPr>
        <w:tab/>
      </w:r>
      <w:r w:rsidRPr="004C369E">
        <w:rPr>
          <w:rFonts w:ascii="Georgia" w:hAnsi="Georgia"/>
        </w:rPr>
        <w:tab/>
      </w:r>
      <w:r w:rsidR="001C7C42" w:rsidRPr="004C369E">
        <w:rPr>
          <w:rFonts w:ascii="Georgia" w:hAnsi="Georgia"/>
        </w:rPr>
        <w:t xml:space="preserve">04309065  </w:t>
      </w:r>
    </w:p>
    <w:p w:rsidR="008A3E82" w:rsidRPr="004C369E" w:rsidRDefault="002E2E95" w:rsidP="008A3E82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(dále jen „</w:t>
      </w:r>
      <w:r w:rsidR="001C7C42" w:rsidRPr="004C369E">
        <w:rPr>
          <w:rFonts w:ascii="Georgia" w:hAnsi="Georgia" w:cs="Arial"/>
        </w:rPr>
        <w:t>zhotovitel</w:t>
      </w:r>
      <w:r w:rsidRPr="004C369E">
        <w:rPr>
          <w:rFonts w:ascii="Georgia" w:hAnsi="Georgia"/>
        </w:rPr>
        <w:t>“ nebo „smluvní strana“)</w:t>
      </w:r>
    </w:p>
    <w:p w:rsidR="009F3319" w:rsidRPr="004C369E" w:rsidRDefault="009F3319" w:rsidP="008A3E82">
      <w:pPr>
        <w:pStyle w:val="Bezmezer"/>
        <w:rPr>
          <w:rFonts w:ascii="Georgia" w:hAnsi="Georgia"/>
        </w:rPr>
      </w:pPr>
    </w:p>
    <w:p w:rsidR="009F3319" w:rsidRPr="004C369E" w:rsidRDefault="002E2E95" w:rsidP="00EF7293">
      <w:pPr>
        <w:pStyle w:val="Bezmezer"/>
        <w:jc w:val="both"/>
        <w:rPr>
          <w:rFonts w:ascii="Georgia" w:hAnsi="Georgia"/>
        </w:rPr>
      </w:pPr>
      <w:r w:rsidRPr="004C369E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4C369E">
        <w:rPr>
          <w:rFonts w:ascii="Georgia" w:hAnsi="Georgia"/>
          <w:b/>
        </w:rPr>
        <w:t xml:space="preserve">smlouvu o vypořádání závazků </w:t>
      </w:r>
      <w:r w:rsidRPr="004C369E">
        <w:rPr>
          <w:rFonts w:ascii="Georgia" w:hAnsi="Georgia"/>
        </w:rPr>
        <w:t>(dále jen „smlouva“)</w:t>
      </w:r>
    </w:p>
    <w:p w:rsidR="009F3319" w:rsidRPr="004C369E" w:rsidRDefault="009F3319" w:rsidP="00EF7293">
      <w:pPr>
        <w:pStyle w:val="Bezmezer"/>
        <w:jc w:val="both"/>
        <w:rPr>
          <w:rFonts w:ascii="Georgia" w:hAnsi="Georgia"/>
        </w:rPr>
      </w:pPr>
    </w:p>
    <w:p w:rsidR="008A3E82" w:rsidRPr="004C369E" w:rsidRDefault="002E2E95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4C369E">
        <w:rPr>
          <w:rFonts w:ascii="Georgia" w:hAnsi="Georgia"/>
          <w:b/>
          <w:bCs/>
          <w:u w:val="single"/>
        </w:rPr>
        <w:t xml:space="preserve">Popis skutkového stavu </w:t>
      </w:r>
    </w:p>
    <w:p w:rsidR="008A3E82" w:rsidRPr="004C369E" w:rsidRDefault="002E2E95" w:rsidP="001C7C42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 xml:space="preserve">Smluvní strany uzavřely dne </w:t>
      </w:r>
      <w:r w:rsidR="001C7C42" w:rsidRPr="004C369E">
        <w:rPr>
          <w:rFonts w:ascii="Georgia" w:hAnsi="Georgia" w:cs="Arial"/>
        </w:rPr>
        <w:t>2. 1. 2023</w:t>
      </w:r>
      <w:r w:rsidR="0052366C" w:rsidRPr="004C369E">
        <w:rPr>
          <w:rFonts w:ascii="Georgia" w:hAnsi="Georgia" w:cs="Arial"/>
        </w:rPr>
        <w:t xml:space="preserve"> </w:t>
      </w:r>
      <w:r w:rsidRPr="004C369E">
        <w:rPr>
          <w:rFonts w:ascii="Georgia" w:hAnsi="Georgia"/>
        </w:rPr>
        <w:t xml:space="preserve">smlouvu č. </w:t>
      </w:r>
      <w:r w:rsidR="001C7C42" w:rsidRPr="004C369E">
        <w:rPr>
          <w:rFonts w:ascii="Georgia" w:hAnsi="Georgia" w:cs="Arial"/>
        </w:rPr>
        <w:t>SG-2</w:t>
      </w:r>
      <w:r w:rsidR="00926662" w:rsidRPr="004C369E">
        <w:rPr>
          <w:rFonts w:ascii="Georgia" w:hAnsi="Georgia" w:cs="Arial"/>
        </w:rPr>
        <w:t>3</w:t>
      </w:r>
      <w:r w:rsidR="001C7C42" w:rsidRPr="004C369E">
        <w:rPr>
          <w:rFonts w:ascii="Georgia" w:hAnsi="Georgia" w:cs="Arial"/>
        </w:rPr>
        <w:t xml:space="preserve">/001, </w:t>
      </w:r>
      <w:r w:rsidR="001C7C42" w:rsidRPr="004C369E">
        <w:rPr>
          <w:rFonts w:ascii="Georgia" w:hAnsi="Georgia"/>
        </w:rPr>
        <w:t>jejímž předmětem byl restaurátorsk</w:t>
      </w:r>
      <w:r w:rsidR="00926662" w:rsidRPr="004C369E">
        <w:rPr>
          <w:rFonts w:ascii="Georgia" w:hAnsi="Georgia"/>
        </w:rPr>
        <w:t xml:space="preserve">ý dohled nad uměleckými díly </w:t>
      </w:r>
      <w:r w:rsidR="009F3319" w:rsidRPr="004C369E">
        <w:rPr>
          <w:rFonts w:ascii="Georgia" w:hAnsi="Georgia"/>
        </w:rPr>
        <w:t>(dále jen „Původní smlouva“)</w:t>
      </w:r>
      <w:r w:rsidRPr="004C369E">
        <w:rPr>
          <w:rFonts w:ascii="Georgia" w:hAnsi="Georgia"/>
        </w:rPr>
        <w:t>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>ČF je povinným subjektem pro zveřejňování v Registru smluv dle § 2, odst. 1, zákona č. 340/2015 Sb.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>Obě smluvní strany shodně konstatují, že do okamžiku</w:t>
      </w:r>
      <w:r w:rsidRPr="004C369E">
        <w:rPr>
          <w:rFonts w:ascii="Georgia" w:hAnsi="Georgia"/>
        </w:rPr>
        <w:t xml:space="preserve"> sjednání této smlouvy nedošlo k</w:t>
      </w:r>
      <w:r w:rsidR="00926662" w:rsidRPr="004C369E">
        <w:rPr>
          <w:rFonts w:ascii="Georgia" w:hAnsi="Georgia"/>
        </w:rPr>
        <w:t xml:space="preserve"> platnému </w:t>
      </w:r>
      <w:r w:rsidRPr="004C369E">
        <w:rPr>
          <w:rFonts w:ascii="Georgia" w:hAnsi="Georgia"/>
        </w:rPr>
        <w:t xml:space="preserve">uveřejnění </w:t>
      </w:r>
      <w:r w:rsidR="009F3319" w:rsidRPr="004C369E">
        <w:rPr>
          <w:rFonts w:ascii="Georgia" w:hAnsi="Georgia"/>
        </w:rPr>
        <w:t xml:space="preserve">Původní </w:t>
      </w:r>
      <w:r w:rsidRPr="004C369E">
        <w:rPr>
          <w:rFonts w:ascii="Georgia" w:hAnsi="Georgia"/>
        </w:rPr>
        <w:t>smlouvy uvedené v odst. 1 tohoto článku v Registru smluv, a že jsou si vědomy právních následků s tím spojených.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 xml:space="preserve">V zájmu úpravy vzájemných práv a povinností vyplývajících z </w:t>
      </w:r>
      <w:r w:rsidR="008C768D" w:rsidRPr="004C369E">
        <w:rPr>
          <w:rFonts w:ascii="Georgia" w:hAnsi="Georgia"/>
        </w:rPr>
        <w:t>Původní</w:t>
      </w:r>
      <w:r w:rsidRPr="004C369E">
        <w:rPr>
          <w:rFonts w:ascii="Georgia" w:hAnsi="Georgia"/>
        </w:rPr>
        <w:t xml:space="preserve"> smlouvy, s ohl</w:t>
      </w:r>
      <w:r w:rsidRPr="004C369E">
        <w:rPr>
          <w:rFonts w:ascii="Georgia" w:hAnsi="Georgia"/>
        </w:rPr>
        <w:t xml:space="preserve">edem na skutečnost, že obě strany jednaly s vědomím závaznosti </w:t>
      </w:r>
      <w:r w:rsidR="008C768D" w:rsidRPr="004C369E">
        <w:rPr>
          <w:rFonts w:ascii="Georgia" w:hAnsi="Georgia"/>
        </w:rPr>
        <w:t>Původní</w:t>
      </w:r>
      <w:r w:rsidRPr="004C369E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</w:t>
      </w:r>
      <w:r w:rsidRPr="004C369E">
        <w:rPr>
          <w:rFonts w:ascii="Georgia" w:hAnsi="Georgia"/>
        </w:rPr>
        <w:t xml:space="preserve"> tuto novou smlouvu ve znění, jak je dále uvedeno. </w:t>
      </w:r>
    </w:p>
    <w:p w:rsidR="008A3E82" w:rsidRPr="004C369E" w:rsidRDefault="008A3E82" w:rsidP="008A3E82">
      <w:pPr>
        <w:pStyle w:val="Bezmezer"/>
        <w:rPr>
          <w:rFonts w:ascii="Georgia" w:hAnsi="Georgia"/>
        </w:rPr>
      </w:pPr>
    </w:p>
    <w:p w:rsidR="008A3E82" w:rsidRPr="004C369E" w:rsidRDefault="002E2E95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4C369E">
        <w:rPr>
          <w:rFonts w:ascii="Georgia" w:hAnsi="Georgia"/>
          <w:b/>
          <w:bCs/>
          <w:u w:val="single"/>
        </w:rPr>
        <w:t>Práva a závazky smluvních stran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4C369E">
        <w:rPr>
          <w:rFonts w:ascii="Georgia" w:hAnsi="Georgia"/>
        </w:rPr>
        <w:t>Původní</w:t>
      </w:r>
      <w:r w:rsidRPr="004C369E">
        <w:rPr>
          <w:rFonts w:ascii="Georgia" w:hAnsi="Georgia"/>
        </w:rPr>
        <w:t xml:space="preserve"> smlouvy, která tvoří pro tyto účely přílohu této smlouvy.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4C369E">
        <w:rPr>
          <w:rFonts w:ascii="Georgia" w:hAnsi="Georgia"/>
        </w:rPr>
        <w:t>Původní</w:t>
      </w:r>
      <w:r w:rsidRPr="004C369E">
        <w:rPr>
          <w:rFonts w:ascii="Georgia" w:hAnsi="Georgia"/>
        </w:rPr>
        <w:t xml:space="preserve"> smlouvy považují za plnění dle této smlouvy a že v souvislosti se vzájemně poskytnutým plněním nebudou vzáje</w:t>
      </w:r>
      <w:r w:rsidRPr="004C369E">
        <w:rPr>
          <w:rFonts w:ascii="Georgia" w:hAnsi="Georgia"/>
        </w:rPr>
        <w:t>mně vznášet vůči druhé smluvní straně nároky z titulu bezdůvodného obohacení.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4C369E">
        <w:rPr>
          <w:rFonts w:ascii="Georgia" w:hAnsi="Georgia"/>
        </w:rPr>
        <w:t> Registru smluv</w:t>
      </w:r>
      <w:r w:rsidRPr="004C369E">
        <w:rPr>
          <w:rFonts w:ascii="Georgia" w:hAnsi="Georgia"/>
        </w:rPr>
        <w:t xml:space="preserve"> plněna v souladu s obsahem vzájemných závazků v</w:t>
      </w:r>
      <w:r w:rsidRPr="004C369E">
        <w:rPr>
          <w:rFonts w:ascii="Georgia" w:hAnsi="Georgia"/>
        </w:rPr>
        <w:t>yjádřený</w:t>
      </w:r>
      <w:r w:rsidR="008C768D" w:rsidRPr="004C369E">
        <w:rPr>
          <w:rFonts w:ascii="Georgia" w:hAnsi="Georgia"/>
        </w:rPr>
        <w:t>ch</w:t>
      </w:r>
      <w:r w:rsidRPr="004C369E">
        <w:rPr>
          <w:rFonts w:ascii="Georgia" w:hAnsi="Georgia"/>
        </w:rPr>
        <w:t xml:space="preserve"> v příloze této smlouvy, budou splněna podle sjednaných podmínek.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 xml:space="preserve">ČF se tímto zavazuje druhé smluvní straně k neprodlenému zveřejnění této smlouvy a její kompletní přílohy v registru smluv v souladu s ustanovením § 5 zákona č. 340/2015 Sb. </w:t>
      </w:r>
    </w:p>
    <w:p w:rsidR="001C7C42" w:rsidRPr="004C369E" w:rsidRDefault="001C7C42" w:rsidP="001C7C42">
      <w:pPr>
        <w:pStyle w:val="Bezmezer"/>
        <w:spacing w:after="120"/>
        <w:jc w:val="both"/>
        <w:rPr>
          <w:rFonts w:ascii="Georgia" w:hAnsi="Georgia"/>
        </w:rPr>
      </w:pPr>
    </w:p>
    <w:p w:rsidR="008A3E82" w:rsidRPr="004C369E" w:rsidRDefault="002E2E95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4C369E">
        <w:rPr>
          <w:rFonts w:ascii="Georgia" w:hAnsi="Georgia"/>
          <w:b/>
          <w:bCs/>
          <w:u w:val="single"/>
        </w:rPr>
        <w:t>Závě</w:t>
      </w:r>
      <w:r w:rsidRPr="004C369E">
        <w:rPr>
          <w:rFonts w:ascii="Georgia" w:hAnsi="Georgia"/>
          <w:b/>
          <w:bCs/>
          <w:u w:val="single"/>
        </w:rPr>
        <w:t xml:space="preserve">rečná ustanovení </w:t>
      </w:r>
    </w:p>
    <w:p w:rsidR="008C768D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4C369E">
        <w:rPr>
          <w:rFonts w:ascii="Georgia" w:hAnsi="Georgia"/>
        </w:rPr>
        <w:t>Tato smlouva o vypořádání závazků nabývá účinnosti dnem uveřejnění v Registru smluv.</w:t>
      </w:r>
    </w:p>
    <w:p w:rsidR="008A3E82" w:rsidRPr="004C369E" w:rsidRDefault="002E2E95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C369E">
        <w:rPr>
          <w:rFonts w:ascii="Georgia" w:hAnsi="Georgia"/>
        </w:rPr>
        <w:t>Tato smlouva o vypořádání závazků je vyhotovena ve dvou stejnopisech, každý s hodnotou originálu, přičemž každá ze smluvních stran obdrží jeden stejnopis</w:t>
      </w:r>
      <w:r w:rsidRPr="004C369E">
        <w:rPr>
          <w:rFonts w:ascii="Georgia" w:hAnsi="Georgia"/>
        </w:rPr>
        <w:t xml:space="preserve">. </w:t>
      </w:r>
    </w:p>
    <w:p w:rsidR="008A3E82" w:rsidRPr="004C369E" w:rsidRDefault="008A3E82" w:rsidP="008A3E82">
      <w:pPr>
        <w:pStyle w:val="Bezmezer"/>
        <w:rPr>
          <w:rFonts w:ascii="Georgia" w:hAnsi="Georgia"/>
        </w:rPr>
      </w:pPr>
    </w:p>
    <w:p w:rsidR="0019266B" w:rsidRPr="004C369E" w:rsidRDefault="002E2E95" w:rsidP="008A3E82">
      <w:pPr>
        <w:pStyle w:val="Bezmezer"/>
        <w:rPr>
          <w:rFonts w:ascii="Georgia" w:hAnsi="Georgia"/>
        </w:rPr>
      </w:pPr>
      <w:r w:rsidRPr="004C369E">
        <w:rPr>
          <w:rFonts w:ascii="Georgia" w:hAnsi="Georgia"/>
          <w:b/>
        </w:rPr>
        <w:t>Příloha č. 1</w:t>
      </w:r>
      <w:r w:rsidRPr="004C369E">
        <w:rPr>
          <w:rFonts w:ascii="Georgia" w:hAnsi="Georgia"/>
        </w:rPr>
        <w:t xml:space="preserve"> – Smlouva č. </w:t>
      </w:r>
      <w:r w:rsidR="00BA1FCD" w:rsidRPr="004C369E">
        <w:rPr>
          <w:rFonts w:ascii="Georgia" w:hAnsi="Georgia" w:cs="Arial"/>
        </w:rPr>
        <w:t>SG-2</w:t>
      </w:r>
      <w:r w:rsidR="00926662" w:rsidRPr="004C369E">
        <w:rPr>
          <w:rFonts w:ascii="Georgia" w:hAnsi="Georgia" w:cs="Arial"/>
        </w:rPr>
        <w:t>3</w:t>
      </w:r>
      <w:r w:rsidR="00BA1FCD" w:rsidRPr="004C369E">
        <w:rPr>
          <w:rFonts w:ascii="Georgia" w:hAnsi="Georgia" w:cs="Arial"/>
        </w:rPr>
        <w:t>/001</w:t>
      </w:r>
    </w:p>
    <w:p w:rsidR="0019266B" w:rsidRPr="004C369E" w:rsidRDefault="0019266B" w:rsidP="008A3E82">
      <w:pPr>
        <w:pStyle w:val="Bezmezer"/>
        <w:rPr>
          <w:rFonts w:ascii="Georgia" w:hAnsi="Georgia"/>
        </w:rPr>
      </w:pPr>
    </w:p>
    <w:p w:rsidR="00613CDD" w:rsidRPr="004C369E" w:rsidRDefault="00613CDD" w:rsidP="008A3E82">
      <w:pPr>
        <w:pStyle w:val="Bezmezer"/>
        <w:rPr>
          <w:rFonts w:ascii="Georgia" w:hAnsi="Georgia"/>
        </w:rPr>
      </w:pPr>
    </w:p>
    <w:p w:rsidR="001A5BD8" w:rsidRPr="00EF7293" w:rsidRDefault="002E2E95" w:rsidP="008A3E82">
      <w:pPr>
        <w:pStyle w:val="Bezmezer"/>
        <w:rPr>
          <w:rFonts w:ascii="Georgia" w:hAnsi="Georgia"/>
        </w:rPr>
      </w:pPr>
      <w:r w:rsidRPr="004C369E">
        <w:rPr>
          <w:rFonts w:ascii="Georgia" w:hAnsi="Georgia"/>
        </w:rPr>
        <w:t>V</w:t>
      </w:r>
      <w:r w:rsidR="0019266B" w:rsidRPr="004C369E">
        <w:rPr>
          <w:rFonts w:ascii="Georgia" w:hAnsi="Georgia"/>
        </w:rPr>
        <w:t> Praze</w:t>
      </w:r>
      <w:r w:rsidRPr="004C369E">
        <w:rPr>
          <w:rFonts w:ascii="Georgia" w:hAnsi="Georgia"/>
        </w:rPr>
        <w:t xml:space="preserve"> dne </w:t>
      </w:r>
      <w:r w:rsidR="004C369E">
        <w:rPr>
          <w:rFonts w:ascii="Georgia" w:hAnsi="Georgia" w:cs="Arial"/>
        </w:rPr>
        <w:tab/>
      </w:r>
      <w:r w:rsidR="00613CDD" w:rsidRPr="004C369E">
        <w:rPr>
          <w:rFonts w:ascii="Georgia" w:hAnsi="Georgia" w:cs="Arial"/>
        </w:rPr>
        <w:tab/>
      </w:r>
      <w:r w:rsidR="0019266B" w:rsidRPr="004C369E">
        <w:rPr>
          <w:rFonts w:ascii="Georgia" w:hAnsi="Georgia"/>
        </w:rPr>
        <w:tab/>
      </w:r>
      <w:r w:rsidR="0019266B" w:rsidRPr="004C369E">
        <w:rPr>
          <w:rFonts w:ascii="Georgia" w:hAnsi="Georgia"/>
        </w:rPr>
        <w:tab/>
      </w:r>
      <w:r w:rsidR="00613CDD" w:rsidRPr="004C369E">
        <w:rPr>
          <w:rFonts w:ascii="Georgia" w:hAnsi="Georgia"/>
        </w:rPr>
        <w:tab/>
      </w:r>
      <w:r w:rsidR="00BA1FCD" w:rsidRPr="004C369E">
        <w:rPr>
          <w:rFonts w:ascii="Georgia" w:hAnsi="Georgia"/>
        </w:rPr>
        <w:tab/>
      </w:r>
      <w:r w:rsidRPr="004C369E">
        <w:rPr>
          <w:rFonts w:ascii="Georgia" w:hAnsi="Georgia"/>
        </w:rPr>
        <w:t xml:space="preserve">V </w:t>
      </w:r>
      <w:r w:rsidR="00BA1FCD" w:rsidRPr="004C369E">
        <w:rPr>
          <w:rFonts w:ascii="Georgia" w:hAnsi="Georgia" w:cs="Arial"/>
        </w:rPr>
        <w:t>Praze</w:t>
      </w:r>
      <w:r w:rsidRPr="004C369E">
        <w:rPr>
          <w:rFonts w:ascii="Georgia" w:hAnsi="Georgia"/>
        </w:rPr>
        <w:t xml:space="preserve"> dne</w:t>
      </w:r>
      <w:r w:rsidRPr="00EF7293">
        <w:rPr>
          <w:rFonts w:ascii="Georgia" w:hAnsi="Georgia"/>
        </w:rPr>
        <w:t xml:space="preserve"> </w:t>
      </w:r>
    </w:p>
    <w:p w:rsidR="0019266B" w:rsidRPr="00EF7293" w:rsidRDefault="0019266B" w:rsidP="008A3E82">
      <w:pPr>
        <w:pStyle w:val="Bezmezer"/>
        <w:rPr>
          <w:rFonts w:ascii="Georgia" w:hAnsi="Georgia"/>
        </w:rPr>
      </w:pPr>
    </w:p>
    <w:p w:rsidR="0019266B" w:rsidRPr="00EF7293" w:rsidRDefault="0019266B" w:rsidP="008A3E82">
      <w:pPr>
        <w:pStyle w:val="Bezmezer"/>
        <w:rPr>
          <w:rFonts w:ascii="Georgia" w:hAnsi="Georgia"/>
        </w:rPr>
      </w:pPr>
    </w:p>
    <w:p w:rsidR="0019266B" w:rsidRPr="00EF7293" w:rsidRDefault="0019266B" w:rsidP="008A3E82">
      <w:pPr>
        <w:pStyle w:val="Bezmezer"/>
        <w:rPr>
          <w:rFonts w:ascii="Georgia" w:hAnsi="Georgia"/>
        </w:rPr>
      </w:pPr>
    </w:p>
    <w:p w:rsidR="0019266B" w:rsidRPr="00EF7293" w:rsidRDefault="002E2E95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:rsidR="0019266B" w:rsidRPr="00EF7293" w:rsidRDefault="002E2E95" w:rsidP="008A3E82">
      <w:pPr>
        <w:pStyle w:val="Bezmezer"/>
        <w:rPr>
          <w:rFonts w:ascii="Georgia" w:hAnsi="Georgia"/>
        </w:rPr>
        <w:sectPr w:rsidR="0019266B" w:rsidRPr="00EF7293" w:rsidSect="00EF7293">
          <w:footerReference w:type="default" r:id="rId9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  <w:r w:rsidRPr="00DB111A">
        <w:rPr>
          <w:rFonts w:ascii="Georgia" w:hAnsi="Georgia" w:cs="Calibri"/>
          <w:highlight w:val="black"/>
        </w:rPr>
        <w:t>xxxx</w:t>
      </w:r>
      <w:r w:rsidR="00BA1FCD">
        <w:rPr>
          <w:rFonts w:ascii="Georgia" w:hAnsi="Georgia" w:cs="Calibri"/>
        </w:rPr>
        <w:t xml:space="preserve">, ředitelka 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>
        <w:rPr>
          <w:rFonts w:ascii="Georgia" w:hAnsi="Georgia"/>
        </w:rPr>
        <w:tab/>
      </w:r>
      <w:r w:rsidR="00BA1FCD">
        <w:rPr>
          <w:rFonts w:ascii="Georgia" w:hAnsi="Georgia"/>
        </w:rPr>
        <w:tab/>
      </w:r>
      <w:r w:rsidR="00BA1FCD">
        <w:rPr>
          <w:rFonts w:ascii="Georgia" w:hAnsi="Georgia" w:cs="Arial"/>
        </w:rPr>
        <w:t>zhotovitel</w:t>
      </w:r>
    </w:p>
    <w:p w:rsidR="00017E8C" w:rsidRDefault="00F50899">
      <w:pPr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sz w:val="22"/>
          <w:szCs w:val="28"/>
          <w:lang w:eastAsia="zh-CN"/>
        </w:rPr>
        <w:lastRenderedPageBreak/>
        <w:t>P</w:t>
      </w:r>
      <w:bookmarkStart w:id="0" w:name="_GoBack"/>
      <w:bookmarkEnd w:id="0"/>
      <w:r w:rsidRPr="00F50899">
        <w:rPr>
          <w:rFonts w:ascii="Georgia" w:hAnsi="Georgia" w:cs="Arial"/>
          <w:sz w:val="22"/>
          <w:szCs w:val="28"/>
          <w:lang w:eastAsia="zh-CN"/>
        </w:rPr>
        <w:t>říloha</w:t>
      </w:r>
      <w:r>
        <w:rPr>
          <w:rFonts w:ascii="Georgia" w:hAnsi="Georgia" w:cs="Arial"/>
          <w:sz w:val="22"/>
          <w:szCs w:val="28"/>
          <w:lang w:eastAsia="zh-CN"/>
        </w:rPr>
        <w:t xml:space="preserve"> č. 1</w:t>
      </w:r>
      <w:r w:rsidRPr="00F50899">
        <w:rPr>
          <w:rFonts w:ascii="Georgia" w:hAnsi="Georgia" w:cs="Arial"/>
          <w:sz w:val="22"/>
          <w:szCs w:val="28"/>
          <w:lang w:eastAsia="zh-CN"/>
        </w:rPr>
        <w:t>:</w:t>
      </w:r>
      <w:r>
        <w:rPr>
          <w:rFonts w:ascii="Georgia" w:hAnsi="Georgia" w:cs="Arial"/>
          <w:b/>
          <w:sz w:val="28"/>
          <w:szCs w:val="28"/>
          <w:lang w:eastAsia="zh-CN"/>
        </w:rPr>
        <w:t xml:space="preserve"> </w:t>
      </w:r>
      <w:r w:rsidR="002E2E95">
        <w:rPr>
          <w:rFonts w:ascii="Georgia" w:hAnsi="Georgia" w:cs="Arial"/>
          <w:b/>
          <w:sz w:val="28"/>
          <w:szCs w:val="28"/>
          <w:lang w:eastAsia="zh-CN"/>
        </w:rPr>
        <w:t>SMLOUVA O DÍLO</w:t>
      </w:r>
    </w:p>
    <w:p w:rsidR="00017E8C" w:rsidRDefault="00436B58">
      <w:pPr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 xml:space="preserve">č. SG - </w:t>
      </w:r>
      <w:r w:rsidR="00F50899">
        <w:rPr>
          <w:rFonts w:ascii="Georgia" w:hAnsi="Georgia" w:cs="Arial"/>
          <w:b/>
          <w:szCs w:val="24"/>
          <w:lang w:eastAsia="zh-CN"/>
        </w:rPr>
        <w:t>23</w:t>
      </w:r>
      <w:r>
        <w:rPr>
          <w:rFonts w:ascii="Georgia" w:hAnsi="Georgia" w:cs="Arial"/>
          <w:b/>
          <w:szCs w:val="24"/>
          <w:lang w:eastAsia="zh-CN"/>
        </w:rPr>
        <w:t xml:space="preserve"> /</w:t>
      </w:r>
      <w:r w:rsidR="00F50899">
        <w:rPr>
          <w:rFonts w:ascii="Georgia" w:hAnsi="Georgia" w:cs="Arial"/>
          <w:b/>
          <w:szCs w:val="24"/>
          <w:lang w:eastAsia="zh-CN"/>
        </w:rPr>
        <w:t>001</w:t>
      </w: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Česká filharmonie</w:t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se sídlem Alšovo nábřeží 12, 110 01 Praha 1, Česká republika</w:t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IČ: 00023264, DIČ: CZ00023264</w:t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zastoupena </w:t>
      </w:r>
      <w:r w:rsidR="00FB1139">
        <w:rPr>
          <w:w w:val="105"/>
          <w:sz w:val="20"/>
          <w:szCs w:val="24"/>
          <w:highlight w:val="black"/>
          <w:lang w:eastAsia="zh-CN"/>
        </w:rPr>
        <w:t>xxxx</w:t>
      </w:r>
      <w:r>
        <w:rPr>
          <w:rFonts w:ascii="Georgia" w:hAnsi="Georgia" w:cs="Arial"/>
          <w:szCs w:val="24"/>
          <w:lang w:eastAsia="zh-CN"/>
        </w:rPr>
        <w:t>, ředitelem Galerie Rudolfinum</w:t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(dále jen „</w:t>
      </w:r>
      <w:r>
        <w:rPr>
          <w:rFonts w:ascii="Georgia" w:hAnsi="Georgia" w:cs="Arial"/>
          <w:b/>
          <w:szCs w:val="24"/>
          <w:lang w:eastAsia="zh-CN"/>
        </w:rPr>
        <w:t>GR</w:t>
      </w:r>
      <w:r>
        <w:rPr>
          <w:rFonts w:ascii="Georgia" w:hAnsi="Georgia" w:cs="Arial"/>
          <w:szCs w:val="24"/>
          <w:lang w:eastAsia="zh-CN"/>
        </w:rPr>
        <w:t>“)</w:t>
      </w: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a</w:t>
      </w: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pan/paní:</w:t>
      </w:r>
      <w:r w:rsidR="00023B48">
        <w:rPr>
          <w:rFonts w:ascii="Georgia" w:hAnsi="Georgia" w:cs="Arial"/>
          <w:szCs w:val="24"/>
          <w:lang w:eastAsia="zh-CN"/>
        </w:rPr>
        <w:t xml:space="preserve"> </w:t>
      </w:r>
      <w:r w:rsidR="00FB1139">
        <w:rPr>
          <w:w w:val="105"/>
          <w:sz w:val="20"/>
          <w:szCs w:val="24"/>
          <w:highlight w:val="black"/>
          <w:lang w:eastAsia="zh-CN"/>
        </w:rPr>
        <w:t>xxxx</w:t>
      </w:r>
      <w:r>
        <w:rPr>
          <w:rFonts w:ascii="Georgia" w:hAnsi="Georgia" w:cs="Arial"/>
          <w:szCs w:val="24"/>
          <w:lang w:eastAsia="zh-CN"/>
        </w:rPr>
        <w:tab/>
      </w:r>
      <w:r>
        <w:rPr>
          <w:rFonts w:ascii="Georgia" w:hAnsi="Georgia" w:cs="Arial"/>
          <w:szCs w:val="24"/>
          <w:lang w:eastAsia="zh-CN"/>
        </w:rPr>
        <w:tab/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se </w:t>
      </w:r>
      <w:r>
        <w:rPr>
          <w:rFonts w:ascii="Georgia" w:hAnsi="Georgia" w:cs="Arial"/>
          <w:szCs w:val="24"/>
          <w:lang w:eastAsia="zh-CN"/>
        </w:rPr>
        <w:t>sídlem/bytem:</w:t>
      </w:r>
      <w:r w:rsidR="005E69AF">
        <w:rPr>
          <w:rFonts w:ascii="Georgia" w:hAnsi="Georgia" w:cs="Arial"/>
          <w:szCs w:val="24"/>
          <w:lang w:eastAsia="zh-CN"/>
        </w:rPr>
        <w:t xml:space="preserve"> </w:t>
      </w:r>
      <w:r w:rsidR="00FB1139">
        <w:rPr>
          <w:w w:val="105"/>
          <w:sz w:val="20"/>
          <w:szCs w:val="24"/>
          <w:highlight w:val="black"/>
          <w:lang w:eastAsia="zh-CN"/>
        </w:rPr>
        <w:t>xxxx</w:t>
      </w:r>
      <w:r>
        <w:rPr>
          <w:rFonts w:ascii="Georgia" w:hAnsi="Georgia" w:cs="Arial"/>
          <w:szCs w:val="24"/>
          <w:lang w:eastAsia="zh-CN"/>
        </w:rPr>
        <w:tab/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IČ/datum narození:</w:t>
      </w:r>
      <w:r>
        <w:rPr>
          <w:rFonts w:ascii="Georgia" w:hAnsi="Georgia" w:cs="Arial"/>
          <w:szCs w:val="24"/>
          <w:lang w:eastAsia="zh-CN"/>
        </w:rPr>
        <w:tab/>
      </w:r>
      <w:r w:rsidR="00023B48">
        <w:rPr>
          <w:rFonts w:ascii="Georgia" w:hAnsi="Georgia" w:cs="Arial"/>
          <w:szCs w:val="24"/>
          <w:lang w:eastAsia="zh-CN"/>
        </w:rPr>
        <w:t>04309065</w:t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DIČ:</w:t>
      </w:r>
      <w:r w:rsidR="005E69AF">
        <w:rPr>
          <w:rFonts w:ascii="Georgia" w:hAnsi="Georgia" w:cs="Arial"/>
          <w:szCs w:val="24"/>
          <w:lang w:eastAsia="zh-CN"/>
        </w:rPr>
        <w:t xml:space="preserve"> CZ683716292</w:t>
      </w:r>
      <w:r>
        <w:rPr>
          <w:rFonts w:ascii="Georgia" w:hAnsi="Georgia" w:cs="Arial"/>
          <w:szCs w:val="24"/>
          <w:lang w:eastAsia="zh-CN"/>
        </w:rPr>
        <w:t xml:space="preserve"> </w:t>
      </w:r>
      <w:r>
        <w:rPr>
          <w:rFonts w:ascii="Georgia" w:hAnsi="Georgia" w:cs="Arial"/>
          <w:szCs w:val="24"/>
          <w:lang w:eastAsia="zh-CN"/>
        </w:rPr>
        <w:tab/>
      </w:r>
      <w:r>
        <w:rPr>
          <w:rFonts w:ascii="Georgia" w:hAnsi="Georgia" w:cs="Arial"/>
          <w:szCs w:val="24"/>
          <w:lang w:eastAsia="zh-CN"/>
        </w:rPr>
        <w:tab/>
      </w:r>
      <w:r>
        <w:rPr>
          <w:rFonts w:ascii="Georgia" w:hAnsi="Georgia" w:cs="Arial"/>
          <w:szCs w:val="24"/>
          <w:lang w:eastAsia="zh-CN"/>
        </w:rPr>
        <w:tab/>
      </w: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(dále jen „</w:t>
      </w:r>
      <w:r>
        <w:rPr>
          <w:rFonts w:ascii="Georgia" w:hAnsi="Georgia" w:cs="Arial"/>
          <w:b/>
          <w:szCs w:val="24"/>
          <w:lang w:eastAsia="zh-CN"/>
        </w:rPr>
        <w:t>zhotovitel</w:t>
      </w:r>
      <w:r>
        <w:rPr>
          <w:rFonts w:ascii="Georgia" w:hAnsi="Georgia" w:cs="Arial"/>
          <w:szCs w:val="24"/>
          <w:lang w:eastAsia="zh-CN"/>
        </w:rPr>
        <w:t>“)</w:t>
      </w: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uzavírají níže uvedeného dne, měsíce a roku tuto smlouvu (dále jen „</w:t>
      </w:r>
      <w:r>
        <w:rPr>
          <w:rFonts w:ascii="Georgia" w:hAnsi="Georgia" w:cs="Arial"/>
          <w:b/>
          <w:szCs w:val="24"/>
          <w:lang w:eastAsia="zh-CN"/>
        </w:rPr>
        <w:t>smlouva</w:t>
      </w:r>
      <w:r>
        <w:rPr>
          <w:rFonts w:ascii="Georgia" w:hAnsi="Georgia" w:cs="Arial"/>
          <w:szCs w:val="24"/>
          <w:lang w:eastAsia="zh-CN"/>
        </w:rPr>
        <w:t>“):</w:t>
      </w: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Článek I.</w:t>
      </w: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Předmět smlouvy</w:t>
      </w:r>
    </w:p>
    <w:p w:rsidR="00017E8C" w:rsidRDefault="00017E8C">
      <w:pPr>
        <w:keepNext/>
        <w:suppressAutoHyphens/>
        <w:jc w:val="center"/>
        <w:rPr>
          <w:rFonts w:ascii="Georgia" w:hAnsi="Georgia" w:cs="Arial"/>
          <w:b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</w:tabs>
        <w:suppressAutoHyphens/>
        <w:ind w:left="357" w:hanging="357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Zhotovitel se zavazuje provést pro GR jako objednatele </w:t>
      </w:r>
      <w:r>
        <w:rPr>
          <w:rFonts w:ascii="Georgia" w:hAnsi="Georgia" w:cs="Arial"/>
          <w:szCs w:val="24"/>
          <w:lang w:eastAsia="zh-CN"/>
        </w:rPr>
        <w:t>níže specifikované dílo (dále jen „</w:t>
      </w:r>
      <w:r>
        <w:rPr>
          <w:rFonts w:ascii="Georgia" w:hAnsi="Georgia" w:cs="Arial"/>
          <w:b/>
          <w:szCs w:val="24"/>
          <w:lang w:eastAsia="zh-CN"/>
        </w:rPr>
        <w:t>dílo</w:t>
      </w:r>
      <w:r>
        <w:rPr>
          <w:rFonts w:ascii="Georgia" w:hAnsi="Georgia" w:cs="Arial"/>
          <w:szCs w:val="24"/>
          <w:lang w:eastAsia="zh-CN"/>
        </w:rPr>
        <w:t>“). V případě díla s nehmotným výsledkem je k provedení díla zhotovitel povinen vykonat níže specifikovanou činnost. Za provedení díla řádně a včas se GR zavazuje zhotoviteli zaplatit cenu díla, jejíž celková a konečn</w:t>
      </w:r>
      <w:r>
        <w:rPr>
          <w:rFonts w:ascii="Georgia" w:hAnsi="Georgia" w:cs="Arial"/>
          <w:szCs w:val="24"/>
          <w:lang w:eastAsia="zh-CN"/>
        </w:rPr>
        <w:t>á výše je rovněž specifikována níže.</w:t>
      </w:r>
    </w:p>
    <w:p w:rsidR="00017E8C" w:rsidRDefault="00017E8C">
      <w:pPr>
        <w:suppressAutoHyphens/>
        <w:ind w:left="357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</w:tabs>
        <w:suppressAutoHyphens/>
        <w:ind w:left="357" w:hanging="357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Specifikace díla:</w:t>
      </w:r>
      <w:r>
        <w:rPr>
          <w:rFonts w:ascii="Georgia" w:hAnsi="Georgia" w:cs="Arial"/>
          <w:szCs w:val="24"/>
          <w:lang w:eastAsia="zh-CN"/>
        </w:rPr>
        <w:tab/>
        <w:t>restaurátorský dohled nad uměleckými díly podle vypsaných prací níže: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1"/>
          <w:numId w:val="3"/>
        </w:numPr>
        <w:tabs>
          <w:tab w:val="left" w:pos="851"/>
        </w:tabs>
        <w:suppressAutoHyphens/>
        <w:ind w:left="851" w:hanging="425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ve dnech dle dohody s objednatelem provede odborný dohled nad vybalováním uměleckých děl před zahájením výstav a balením těchto d</w:t>
      </w:r>
      <w:r>
        <w:rPr>
          <w:rFonts w:ascii="Georgia" w:hAnsi="Georgia" w:cs="Arial"/>
          <w:szCs w:val="24"/>
          <w:lang w:eastAsia="zh-CN"/>
        </w:rPr>
        <w:t>ěl po skončení výstav,</w:t>
      </w:r>
    </w:p>
    <w:p w:rsidR="00017E8C" w:rsidRDefault="002E2E95">
      <w:pPr>
        <w:numPr>
          <w:ilvl w:val="1"/>
          <w:numId w:val="3"/>
        </w:numPr>
        <w:tabs>
          <w:tab w:val="left" w:pos="851"/>
        </w:tabs>
        <w:suppressAutoHyphens/>
        <w:ind w:left="851" w:hanging="425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ve dnech dle dohody s objednatelem provede kontroly stavu uměleckých děl po jejich vybalení a dále kontroly stavu uměleckých děl před jejich zabalením po skončení výstav,</w:t>
      </w:r>
    </w:p>
    <w:p w:rsidR="00017E8C" w:rsidRDefault="002E2E95">
      <w:pPr>
        <w:numPr>
          <w:ilvl w:val="1"/>
          <w:numId w:val="3"/>
        </w:numPr>
        <w:tabs>
          <w:tab w:val="left" w:pos="851"/>
        </w:tabs>
        <w:suppressAutoHyphens/>
        <w:ind w:left="851" w:hanging="425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při kontrolách stavu uměleckých děl bude dle pokynů objedna</w:t>
      </w:r>
      <w:r w:rsidR="00023B48">
        <w:rPr>
          <w:rFonts w:ascii="Georgia" w:hAnsi="Georgia" w:cs="Arial"/>
          <w:szCs w:val="24"/>
          <w:lang w:eastAsia="zh-CN"/>
        </w:rPr>
        <w:t>tele spolupracovat se smluvními</w:t>
      </w:r>
      <w:r>
        <w:rPr>
          <w:rFonts w:ascii="Georgia" w:hAnsi="Georgia" w:cs="Arial"/>
          <w:szCs w:val="24"/>
          <w:lang w:eastAsia="zh-CN"/>
        </w:rPr>
        <w:t xml:space="preserve"> pracovníky Galerie Rudolfinum, partnerských institucí či s majiteli děl, </w:t>
      </w:r>
    </w:p>
    <w:p w:rsidR="00017E8C" w:rsidRDefault="002E2E95">
      <w:pPr>
        <w:numPr>
          <w:ilvl w:val="1"/>
          <w:numId w:val="3"/>
        </w:numPr>
        <w:tabs>
          <w:tab w:val="left" w:pos="851"/>
        </w:tabs>
        <w:suppressAutoHyphens/>
        <w:ind w:left="851" w:hanging="425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ve dnech dle dohody s objednatelem provede dohled nad pracovníky instalační čety objednatele, zda jsou jejich pracovní postupy v souladu s ochranou uměle</w:t>
      </w:r>
      <w:r>
        <w:rPr>
          <w:rFonts w:ascii="Georgia" w:hAnsi="Georgia" w:cs="Arial"/>
          <w:szCs w:val="24"/>
          <w:lang w:eastAsia="zh-CN"/>
        </w:rPr>
        <w:t>ckých děl,</w:t>
      </w:r>
    </w:p>
    <w:p w:rsidR="00017E8C" w:rsidRDefault="002E2E95">
      <w:pPr>
        <w:numPr>
          <w:ilvl w:val="1"/>
          <w:numId w:val="3"/>
        </w:numPr>
        <w:tabs>
          <w:tab w:val="left" w:pos="851"/>
        </w:tabs>
        <w:suppressAutoHyphens/>
        <w:ind w:left="851" w:hanging="425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vypracuje pro objednatele dle jeho pokynů ve spolupráci s jeho zaměstnanci či spolupracovníky pracovní manuály pro nakládání s uměleckými díly</w:t>
      </w:r>
    </w:p>
    <w:p w:rsidR="00017E8C" w:rsidRDefault="002E2E95">
      <w:pPr>
        <w:numPr>
          <w:ilvl w:val="1"/>
          <w:numId w:val="3"/>
        </w:numPr>
        <w:tabs>
          <w:tab w:val="left" w:pos="851"/>
        </w:tabs>
        <w:suppressAutoHyphens/>
        <w:ind w:left="851" w:hanging="425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dle dohody s objednatelem napomůže objednateli k splnění základních požadavků pro provoz instituce </w:t>
      </w:r>
      <w:r>
        <w:rPr>
          <w:rFonts w:ascii="Georgia" w:hAnsi="Georgia" w:cs="Arial"/>
          <w:szCs w:val="24"/>
          <w:lang w:eastAsia="zh-CN"/>
        </w:rPr>
        <w:t>nakládající s uměleckými díly.</w:t>
      </w:r>
    </w:p>
    <w:p w:rsidR="00017E8C" w:rsidRDefault="00017E8C">
      <w:pPr>
        <w:suppressAutoHyphens/>
        <w:ind w:left="357"/>
        <w:rPr>
          <w:rFonts w:ascii="Georgia" w:hAnsi="Georgia" w:cs="Arial"/>
          <w:szCs w:val="24"/>
          <w:lang w:eastAsia="zh-CN"/>
        </w:rPr>
      </w:pPr>
    </w:p>
    <w:p w:rsidR="00017E8C" w:rsidRDefault="00017E8C">
      <w:pPr>
        <w:tabs>
          <w:tab w:val="left" w:pos="720"/>
        </w:tabs>
        <w:suppressAutoHyphens/>
        <w:ind w:left="360" w:hanging="360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Místo provedení díla: Galerie Rudolfinum, Alšovo nábřeží 12, 110 00 Praha 1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Smluvní strany se dohodly, že cena díla činí </w:t>
      </w:r>
      <w:r w:rsidR="005A5D32">
        <w:rPr>
          <w:rFonts w:ascii="Georgia" w:hAnsi="Georgia" w:cs="Arial"/>
          <w:szCs w:val="24"/>
          <w:lang w:eastAsia="zh-CN"/>
        </w:rPr>
        <w:t>500</w:t>
      </w:r>
      <w:r>
        <w:rPr>
          <w:rFonts w:ascii="Georgia" w:hAnsi="Georgia" w:cs="Arial"/>
          <w:szCs w:val="24"/>
          <w:lang w:eastAsia="zh-CN"/>
        </w:rPr>
        <w:t xml:space="preserve"> Kč (slovy: </w:t>
      </w:r>
      <w:r w:rsidR="005A5D32">
        <w:rPr>
          <w:rFonts w:ascii="Georgia" w:hAnsi="Georgia" w:cs="Arial"/>
          <w:szCs w:val="24"/>
          <w:lang w:eastAsia="zh-CN"/>
        </w:rPr>
        <w:t>pětset</w:t>
      </w:r>
      <w:r>
        <w:rPr>
          <w:rFonts w:ascii="Georgia" w:hAnsi="Georgia" w:cs="Arial"/>
          <w:szCs w:val="24"/>
          <w:lang w:eastAsia="zh-CN"/>
        </w:rPr>
        <w:t xml:space="preserve"> korun českých) za každou hodinu času účelně spotřebovaného na řádné provádění díla a zároveň nepřesáhne celkovou maximální částku ve výši</w:t>
      </w:r>
      <w:r w:rsidR="005A5D32">
        <w:rPr>
          <w:rFonts w:ascii="Georgia" w:hAnsi="Georgia" w:cs="Arial"/>
          <w:szCs w:val="24"/>
          <w:lang w:eastAsia="zh-CN"/>
        </w:rPr>
        <w:t xml:space="preserve"> </w:t>
      </w:r>
      <w:r>
        <w:rPr>
          <w:rFonts w:ascii="Georgia" w:hAnsi="Georgia" w:cs="Arial"/>
          <w:szCs w:val="24"/>
          <w:lang w:eastAsia="zh-CN"/>
        </w:rPr>
        <w:t>499 000 Kč (slovy: čtařistadevadesátdevět korun českých).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Sjednaná cena díla zahrnuje veškeré náklady vynaložené zho</w:t>
      </w:r>
      <w:r>
        <w:rPr>
          <w:rFonts w:ascii="Georgia" w:hAnsi="Georgia" w:cs="Arial"/>
          <w:szCs w:val="24"/>
          <w:lang w:eastAsia="zh-CN"/>
        </w:rPr>
        <w:t>tovitelem na jeho provádění.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Pr="00023B48" w:rsidRDefault="002E2E95" w:rsidP="00023B48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GR zaplatí zhotoviteli cenu díla vždy v rozsahu odpovídajícímu času provádění díla k instalaci nebo k deinstalaci konkrétní výstavy, k níž se vážou práce specifikované v čl. I. bodu 2. této smlouvy. </w:t>
      </w:r>
    </w:p>
    <w:p w:rsidR="00017E8C" w:rsidRDefault="00017E8C">
      <w:pPr>
        <w:tabs>
          <w:tab w:val="left" w:pos="360"/>
          <w:tab w:val="left" w:pos="1800"/>
        </w:tabs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Zhotovitel je povinen dor</w:t>
      </w:r>
      <w:r>
        <w:rPr>
          <w:rFonts w:ascii="Georgia" w:hAnsi="Georgia" w:cs="Arial"/>
          <w:szCs w:val="24"/>
          <w:lang w:eastAsia="zh-CN"/>
        </w:rPr>
        <w:t>učit GR na cenu díla fakturu s náležitostmi daňového dokladu, jinak se cena díla nestane splatnou. Zhotovitel je povinen vystavit fakturu nejpozději do 10 dnů od skončení prací při instalaci nebo deinstalaci konkrétní výstavy, k níž se vážou práce specifik</w:t>
      </w:r>
      <w:r>
        <w:rPr>
          <w:rFonts w:ascii="Georgia" w:hAnsi="Georgia" w:cs="Arial"/>
          <w:szCs w:val="24"/>
          <w:lang w:eastAsia="zh-CN"/>
        </w:rPr>
        <w:t>ované v čl. I. bodu 2. této smlouvy, ne však dříve, než GR odsouhlasí přehled podle odstavce 6 tohoto článku.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Zhotovitel je povinen provést dílo osobně; jinak jen s předchozím souhlasem GR. Zhotovitel je vázán případnými příkazy GR ohledně způsobu provádě</w:t>
      </w:r>
      <w:r>
        <w:rPr>
          <w:rFonts w:ascii="Georgia" w:hAnsi="Georgia" w:cs="Arial"/>
          <w:szCs w:val="24"/>
          <w:lang w:eastAsia="zh-CN"/>
        </w:rPr>
        <w:t>ní díla.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Pro případ, že by se zhotovitel v rámci provádění díla podílel nebo zúčastnil na nějaké akci GR, souhlasí s tím, že GR a subjekty s GR spolupracující mají právo pořizovat snímky a záznamy z akce (včetně audiovizuálních), které mohou zachycovat i </w:t>
      </w:r>
      <w:r>
        <w:rPr>
          <w:rFonts w:ascii="Georgia" w:hAnsi="Georgia" w:cs="Arial"/>
          <w:szCs w:val="24"/>
          <w:lang w:eastAsia="zh-CN"/>
        </w:rPr>
        <w:t xml:space="preserve">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</w:t>
      </w:r>
      <w:r>
        <w:rPr>
          <w:rFonts w:ascii="Georgia" w:hAnsi="Georgia" w:cs="Arial"/>
          <w:szCs w:val="24"/>
          <w:lang w:eastAsia="zh-CN"/>
        </w:rPr>
        <w:t>díla a vzhledem k tomu nemá právo na jakoukoli další odměnu za ně.</w:t>
      </w:r>
    </w:p>
    <w:p w:rsidR="00017E8C" w:rsidRDefault="00017E8C">
      <w:pPr>
        <w:suppressAutoHyphens/>
        <w:ind w:left="708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3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Zhotovitel se zavazuje zachovat důvěrnost informací, které se dozví v souvislosti s touto smlouvou nebo prováděním díla, nejsou-li veřejné dostupné, a nezpřístupnit takové informace žádné </w:t>
      </w:r>
      <w:r>
        <w:rPr>
          <w:rFonts w:ascii="Georgia" w:hAnsi="Georgia" w:cs="Arial"/>
          <w:szCs w:val="24"/>
          <w:lang w:eastAsia="zh-CN"/>
        </w:rPr>
        <w:t>třetí osobě bez souhlasu GR. Tato povinnost trvá i po provedení díla.</w:t>
      </w: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Článek II.</w:t>
      </w: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Trvání smlouvy</w:t>
      </w:r>
    </w:p>
    <w:p w:rsidR="00017E8C" w:rsidRDefault="00017E8C">
      <w:pPr>
        <w:keepNext/>
        <w:suppressAutoHyphens/>
        <w:rPr>
          <w:rFonts w:ascii="Georgia" w:hAnsi="Georgia" w:cs="Arial"/>
          <w:b/>
          <w:szCs w:val="24"/>
          <w:lang w:eastAsia="zh-CN"/>
        </w:rPr>
      </w:pPr>
    </w:p>
    <w:p w:rsidR="00017E8C" w:rsidRDefault="002E2E95">
      <w:pPr>
        <w:keepNext/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Tato smlouva se uzavírá na dobu určitou:</w:t>
      </w:r>
    </w:p>
    <w:p w:rsidR="00017E8C" w:rsidRDefault="005A5D32">
      <w:pPr>
        <w:keepNext/>
        <w:numPr>
          <w:ilvl w:val="0"/>
          <w:numId w:val="4"/>
        </w:num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do 31. 12. 2028</w:t>
      </w:r>
      <w:r w:rsidR="002E2E95">
        <w:rPr>
          <w:rFonts w:ascii="Georgia" w:hAnsi="Georgia" w:cs="Arial"/>
          <w:szCs w:val="24"/>
          <w:lang w:eastAsia="zh-CN"/>
        </w:rPr>
        <w:t>; a zároveň</w:t>
      </w:r>
    </w:p>
    <w:p w:rsidR="00017E8C" w:rsidRDefault="002E2E95">
      <w:pPr>
        <w:keepNext/>
        <w:numPr>
          <w:ilvl w:val="0"/>
          <w:numId w:val="4"/>
        </w:num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do doby, kdy bude dosažena celková maximální částka ceny díla podle článku I odstavec 4 té</w:t>
      </w:r>
      <w:r>
        <w:rPr>
          <w:rFonts w:ascii="Georgia" w:hAnsi="Georgia" w:cs="Arial"/>
          <w:szCs w:val="24"/>
          <w:lang w:eastAsia="zh-CN"/>
        </w:rPr>
        <w:t>to smlouvy,</w:t>
      </w:r>
    </w:p>
    <w:p w:rsidR="00017E8C" w:rsidRDefault="002E2E95">
      <w:pPr>
        <w:keepNext/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podle toho, co nastane dříve. GR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lastRenderedPageBreak/>
        <w:t>Článek III.</w:t>
      </w: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Platnost a účinnost</w:t>
      </w:r>
    </w:p>
    <w:p w:rsidR="00017E8C" w:rsidRPr="005A5D32" w:rsidRDefault="00017E8C" w:rsidP="005A5D32">
      <w:pPr>
        <w:keepNext/>
        <w:suppressAutoHyphens/>
        <w:ind w:left="142"/>
        <w:rPr>
          <w:rFonts w:ascii="Georgia" w:hAnsi="Georgia" w:cs="Arial"/>
          <w:szCs w:val="24"/>
          <w:lang w:eastAsia="zh-CN"/>
        </w:rPr>
      </w:pPr>
    </w:p>
    <w:p w:rsidR="005A5D32" w:rsidRPr="005A5D32" w:rsidRDefault="002E2E95" w:rsidP="005A5D32">
      <w:pPr>
        <w:numPr>
          <w:ilvl w:val="0"/>
          <w:numId w:val="5"/>
        </w:num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  <w:r w:rsidRPr="005A5D32">
        <w:rPr>
          <w:rFonts w:ascii="Georgia" w:hAnsi="Georgia" w:cs="Arial"/>
          <w:szCs w:val="24"/>
          <w:lang w:eastAsia="zh-CN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</w:t>
      </w:r>
      <w:r w:rsidRPr="005A5D32">
        <w:rPr>
          <w:rFonts w:ascii="Georgia" w:hAnsi="Georgia" w:cs="Arial"/>
          <w:szCs w:val="24"/>
          <w:lang w:eastAsia="zh-CN"/>
        </w:rPr>
        <w:t>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</w:t>
      </w:r>
      <w:r w:rsidRPr="005A5D32">
        <w:rPr>
          <w:rFonts w:ascii="Georgia" w:hAnsi="Georgia" w:cs="Arial"/>
          <w:szCs w:val="24"/>
          <w:lang w:eastAsia="zh-CN"/>
        </w:rPr>
        <w:t>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</w:t>
      </w:r>
      <w:r w:rsidRPr="005A5D32">
        <w:rPr>
          <w:rFonts w:ascii="Georgia" w:hAnsi="Georgia" w:cs="Arial"/>
          <w:szCs w:val="24"/>
          <w:lang w:eastAsia="zh-CN"/>
        </w:rPr>
        <w:t>ené třetí osoby, ledaže by souhlas dotčené třetí osoby nebyl podle zákona nutný.</w:t>
      </w:r>
    </w:p>
    <w:p w:rsidR="00017E8C" w:rsidRDefault="00017E8C">
      <w:pPr>
        <w:suppressAutoHyphens/>
        <w:rPr>
          <w:rFonts w:ascii="Georgia" w:hAnsi="Georgia" w:cs="Arial"/>
          <w:szCs w:val="24"/>
          <w:highlight w:val="yellow"/>
          <w:lang w:eastAsia="zh-CN"/>
        </w:rPr>
      </w:pP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highlight w:val="yellow"/>
          <w:lang w:eastAsia="zh-CN"/>
        </w:rPr>
      </w:pP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Článek IV.</w:t>
      </w:r>
    </w:p>
    <w:p w:rsidR="00017E8C" w:rsidRDefault="002E2E95">
      <w:pPr>
        <w:keepNext/>
        <w:suppressAutoHyphens/>
        <w:jc w:val="center"/>
        <w:rPr>
          <w:szCs w:val="24"/>
          <w:lang w:eastAsia="zh-CN"/>
        </w:rPr>
      </w:pPr>
      <w:r>
        <w:rPr>
          <w:rFonts w:ascii="Georgia" w:hAnsi="Georgia" w:cs="Arial"/>
          <w:b/>
          <w:szCs w:val="24"/>
          <w:lang w:eastAsia="zh-CN"/>
        </w:rPr>
        <w:t>Závěrečná ustanovení</w:t>
      </w:r>
    </w:p>
    <w:p w:rsidR="00017E8C" w:rsidRDefault="00017E8C">
      <w:pPr>
        <w:keepNext/>
        <w:suppressAutoHyphens/>
        <w:rPr>
          <w:rFonts w:ascii="Georgia" w:hAnsi="Georgia" w:cs="Arial"/>
          <w:b/>
          <w:szCs w:val="24"/>
          <w:lang w:eastAsia="zh-CN"/>
        </w:rPr>
      </w:pPr>
    </w:p>
    <w:p w:rsidR="00017E8C" w:rsidRDefault="002E2E95">
      <w:pPr>
        <w:numPr>
          <w:ilvl w:val="0"/>
          <w:numId w:val="5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Tato smlouva se řídí právním řádem České republiky, zejména příslušnými ustanoveními zákona č. 89/2012 Sb., občanského zákoníku, ve znění </w:t>
      </w:r>
      <w:r>
        <w:rPr>
          <w:rFonts w:ascii="Georgia" w:hAnsi="Georgia" w:cs="Arial"/>
          <w:szCs w:val="24"/>
          <w:lang w:eastAsia="zh-CN"/>
        </w:rPr>
        <w:t>pozdějších předpisů. Veškeré případné spory z ní vyplývající nebo s ní související budou rozhodnuty příslušnými soudy České republiky.</w:t>
      </w: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5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 případě, že by některé ustanovení této smlouvy bylo shledáno neplatným, neúčinným nebo nevynutitelným, se smluvní stra</w:t>
      </w:r>
      <w:r>
        <w:rPr>
          <w:rFonts w:ascii="Georgia" w:hAnsi="Georgia" w:cs="Arial"/>
          <w:szCs w:val="24"/>
          <w:lang w:eastAsia="zh-CN"/>
        </w:rPr>
        <w:t>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5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Tato smlouva je vyhotovena ve dvou provede</w:t>
      </w:r>
      <w:r>
        <w:rPr>
          <w:rFonts w:ascii="Georgia" w:hAnsi="Georgia" w:cs="Arial"/>
          <w:szCs w:val="24"/>
          <w:lang w:eastAsia="zh-CN"/>
        </w:rPr>
        <w:t>ních, z nichž každá smluvní strana obdrží po jednom.</w:t>
      </w: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numPr>
          <w:ilvl w:val="0"/>
          <w:numId w:val="5"/>
        </w:numPr>
        <w:tabs>
          <w:tab w:val="left" w:pos="360"/>
          <w:tab w:val="left" w:pos="1800"/>
        </w:tabs>
        <w:suppressAutoHyphens/>
        <w:ind w:left="360"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Veškeré změny a doplňky této smlouvy musejí být učiněny písemně formou číslovaných dodatků podepsaných oběma smluvními stranami.</w:t>
      </w:r>
    </w:p>
    <w:p w:rsidR="00017E8C" w:rsidRDefault="00017E8C">
      <w:pPr>
        <w:tabs>
          <w:tab w:val="left" w:pos="360"/>
          <w:tab w:val="left" w:pos="1800"/>
        </w:tabs>
        <w:suppressAutoHyphens/>
        <w:ind w:left="360"/>
        <w:rPr>
          <w:rFonts w:ascii="Georgia" w:hAnsi="Georgia" w:cs="Arial"/>
          <w:szCs w:val="24"/>
          <w:lang w:eastAsia="zh-CN"/>
        </w:rPr>
      </w:pPr>
    </w:p>
    <w:p w:rsidR="00017E8C" w:rsidRDefault="005A5D32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 Praze dne 2</w:t>
      </w:r>
      <w:r w:rsidR="002E2E95">
        <w:rPr>
          <w:rFonts w:ascii="Georgia" w:hAnsi="Georgia" w:cs="Arial"/>
          <w:szCs w:val="24"/>
          <w:lang w:eastAsia="zh-CN"/>
        </w:rPr>
        <w:t xml:space="preserve">. </w:t>
      </w:r>
      <w:r>
        <w:rPr>
          <w:rFonts w:ascii="Georgia" w:hAnsi="Georgia" w:cs="Arial"/>
          <w:szCs w:val="24"/>
          <w:lang w:eastAsia="zh-CN"/>
        </w:rPr>
        <w:t>1. 2023</w:t>
      </w: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017E8C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tabs>
          <w:tab w:val="center" w:pos="1701"/>
          <w:tab w:val="center" w:pos="7371"/>
        </w:tabs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………………………………………</w:t>
      </w:r>
      <w:r>
        <w:rPr>
          <w:rFonts w:ascii="Georgia" w:hAnsi="Georgia" w:cs="Arial"/>
          <w:szCs w:val="24"/>
          <w:lang w:eastAsia="zh-CN"/>
        </w:rPr>
        <w:tab/>
        <w:t>………………………………………</w:t>
      </w:r>
    </w:p>
    <w:p w:rsidR="00017E8C" w:rsidRDefault="002E2E95">
      <w:pPr>
        <w:tabs>
          <w:tab w:val="center" w:pos="1701"/>
          <w:tab w:val="center" w:pos="7371"/>
        </w:tabs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ab/>
      </w:r>
      <w:r w:rsidR="00FB1139">
        <w:rPr>
          <w:w w:val="105"/>
          <w:sz w:val="20"/>
          <w:szCs w:val="24"/>
          <w:highlight w:val="black"/>
          <w:lang w:eastAsia="zh-CN"/>
        </w:rPr>
        <w:t>xxxx</w:t>
      </w:r>
      <w:r>
        <w:rPr>
          <w:rFonts w:ascii="Georgia" w:hAnsi="Georgia" w:cs="Arial"/>
          <w:szCs w:val="24"/>
          <w:lang w:eastAsia="zh-CN"/>
        </w:rPr>
        <w:tab/>
        <w:t>zhotovite</w:t>
      </w:r>
      <w:r>
        <w:rPr>
          <w:rFonts w:ascii="Georgia" w:hAnsi="Georgia" w:cs="Arial"/>
          <w:szCs w:val="24"/>
          <w:lang w:eastAsia="zh-CN"/>
        </w:rPr>
        <w:t>l</w:t>
      </w:r>
    </w:p>
    <w:p w:rsidR="00017E8C" w:rsidRDefault="002E2E95">
      <w:pPr>
        <w:tabs>
          <w:tab w:val="center" w:pos="2268"/>
          <w:tab w:val="center" w:pos="7797"/>
        </w:tabs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ředitel Galerie Rudolfinum</w:t>
      </w:r>
    </w:p>
    <w:p w:rsidR="00017E8C" w:rsidRDefault="00017E8C">
      <w:pPr>
        <w:tabs>
          <w:tab w:val="center" w:pos="2268"/>
          <w:tab w:val="center" w:pos="7797"/>
        </w:tabs>
        <w:suppressAutoHyphens/>
        <w:rPr>
          <w:rFonts w:ascii="Georgia" w:hAnsi="Georgia" w:cs="Arial"/>
          <w:szCs w:val="24"/>
          <w:lang w:eastAsia="zh-CN"/>
        </w:rPr>
      </w:pPr>
    </w:p>
    <w:p w:rsidR="00017E8C" w:rsidRDefault="002E2E95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Vyhotovil(a) a za správnost ručí:</w:t>
      </w:r>
      <w:r>
        <w:rPr>
          <w:rFonts w:ascii="Georgia" w:hAnsi="Georgia" w:cs="Arial"/>
          <w:szCs w:val="24"/>
          <w:lang w:eastAsia="zh-CN"/>
        </w:rPr>
        <w:tab/>
      </w:r>
    </w:p>
    <w:p w:rsidR="00CD611F" w:rsidRDefault="00CD611F">
      <w:pPr>
        <w:suppressAutoHyphens/>
        <w:rPr>
          <w:rFonts w:ascii="Georgia" w:hAnsi="Georgia" w:cs="Arial"/>
          <w:szCs w:val="24"/>
          <w:lang w:eastAsia="zh-CN"/>
        </w:rPr>
      </w:pPr>
    </w:p>
    <w:p w:rsidR="00CD611F" w:rsidRDefault="00CD611F">
      <w:pPr>
        <w:suppressAutoHyphens/>
        <w:rPr>
          <w:rFonts w:ascii="Georgia" w:hAnsi="Georgia" w:cs="Arial"/>
          <w:szCs w:val="24"/>
          <w:lang w:eastAsia="zh-CN"/>
        </w:rPr>
      </w:pPr>
    </w:p>
    <w:p w:rsidR="00CD611F" w:rsidRDefault="00CD611F">
      <w:pPr>
        <w:suppressAutoHyphens/>
        <w:rPr>
          <w:rFonts w:ascii="Georgia" w:hAnsi="Georgia" w:cs="Arial"/>
          <w:szCs w:val="24"/>
          <w:lang w:eastAsia="zh-CN"/>
        </w:rPr>
      </w:pPr>
    </w:p>
    <w:p w:rsidR="00017E8C" w:rsidRPr="00CD611F" w:rsidRDefault="002E2E95">
      <w:pPr>
        <w:suppressAutoHyphens/>
        <w:rPr>
          <w:rFonts w:ascii="Georgia" w:hAnsi="Georgia" w:cs="Arial"/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>………………………………………</w:t>
      </w:r>
    </w:p>
    <w:p w:rsidR="00FB1139" w:rsidRDefault="002E2E95" w:rsidP="00CD611F">
      <w:pPr>
        <w:suppressAutoHyphens/>
        <w:rPr>
          <w:w w:val="105"/>
          <w:sz w:val="20"/>
          <w:szCs w:val="24"/>
          <w:lang w:eastAsia="zh-CN"/>
        </w:rPr>
      </w:pPr>
      <w:r>
        <w:rPr>
          <w:w w:val="105"/>
          <w:sz w:val="20"/>
          <w:szCs w:val="24"/>
          <w:highlight w:val="black"/>
          <w:lang w:eastAsia="zh-CN"/>
        </w:rPr>
        <w:t>Xxxx</w:t>
      </w:r>
    </w:p>
    <w:p w:rsidR="00017E8C" w:rsidRDefault="005A5D32" w:rsidP="00CD611F">
      <w:pPr>
        <w:suppressAutoHyphens/>
        <w:rPr>
          <w:szCs w:val="24"/>
          <w:lang w:eastAsia="zh-CN"/>
        </w:rPr>
      </w:pPr>
      <w:r>
        <w:rPr>
          <w:rFonts w:ascii="Georgia" w:hAnsi="Georgia" w:cs="Arial"/>
          <w:szCs w:val="24"/>
          <w:lang w:eastAsia="zh-CN"/>
        </w:rPr>
        <w:t xml:space="preserve">Produkční </w:t>
      </w:r>
      <w:r w:rsidR="002E2E95">
        <w:rPr>
          <w:rFonts w:ascii="Georgia" w:hAnsi="Georgia" w:cs="Arial"/>
          <w:szCs w:val="24"/>
          <w:lang w:eastAsia="zh-CN"/>
        </w:rPr>
        <w:t>Galerie Rudolfinum</w:t>
      </w:r>
    </w:p>
    <w:sectPr w:rsidR="00017E8C">
      <w:footerReference w:type="default" r:id="rId10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95" w:rsidRDefault="002E2E95">
      <w:r>
        <w:separator/>
      </w:r>
    </w:p>
  </w:endnote>
  <w:endnote w:type="continuationSeparator" w:id="0">
    <w:p w:rsidR="002E2E95" w:rsidRDefault="002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A3" w:rsidRDefault="002E2E95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F50899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:rsidR="00EF7293" w:rsidRDefault="00EF7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8C" w:rsidRDefault="002E2E95">
    <w:pPr>
      <w:pStyle w:val="Zpat"/>
      <w:jc w:val="center"/>
    </w:pPr>
    <w:r>
      <w:rPr>
        <w:rFonts w:ascii="Georgia" w:hAnsi="Georgia" w:cs="Georgia"/>
      </w:rPr>
      <w:t xml:space="preserve">- </w:t>
    </w:r>
    <w:r>
      <w:rPr>
        <w:rFonts w:ascii="Georgia" w:hAnsi="Georgia" w:cs="Georgia"/>
      </w:rPr>
      <w:fldChar w:fldCharType="begin"/>
    </w:r>
    <w:r>
      <w:rPr>
        <w:rFonts w:ascii="Georgia" w:hAnsi="Georgia" w:cs="Georgia"/>
      </w:rPr>
      <w:instrText xml:space="preserve"> PAGE </w:instrText>
    </w:r>
    <w:r>
      <w:rPr>
        <w:rFonts w:ascii="Georgia" w:hAnsi="Georgia" w:cs="Georgia"/>
      </w:rPr>
      <w:fldChar w:fldCharType="separate"/>
    </w:r>
    <w:r w:rsidR="00F50899">
      <w:rPr>
        <w:rFonts w:ascii="Georgia" w:hAnsi="Georgia" w:cs="Georgia"/>
        <w:noProof/>
      </w:rPr>
      <w:t>4</w:t>
    </w:r>
    <w:r>
      <w:rPr>
        <w:rFonts w:ascii="Georgia" w:hAnsi="Georgia" w:cs="Georgia"/>
      </w:rPr>
      <w:fldChar w:fldCharType="end"/>
    </w:r>
    <w:r>
      <w:rPr>
        <w:rFonts w:ascii="Georgia" w:hAnsi="Georgia" w:cs="Georgia"/>
      </w:rPr>
      <w:t xml:space="preserve"> –</w:t>
    </w:r>
  </w:p>
  <w:p w:rsidR="00017E8C" w:rsidRDefault="002E2E95">
    <w:pPr>
      <w:pStyle w:val="Zpat"/>
    </w:pPr>
    <w:r>
      <w:rPr>
        <w:rFonts w:ascii="Georgia" w:hAnsi="Georgia" w:cs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95" w:rsidRDefault="002E2E95">
      <w:r>
        <w:separator/>
      </w:r>
    </w:p>
  </w:footnote>
  <w:footnote w:type="continuationSeparator" w:id="0">
    <w:p w:rsidR="002E2E95" w:rsidRDefault="002E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 w:hint="default"/>
      </w:rPr>
    </w:lvl>
  </w:abstractNum>
  <w:abstractNum w:abstractNumId="3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1977503"/>
    <w:multiLevelType w:val="hybridMultilevel"/>
    <w:tmpl w:val="C2F489E8"/>
    <w:lvl w:ilvl="0" w:tplc="1534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7A01B2" w:tentative="1">
      <w:start w:val="1"/>
      <w:numFmt w:val="lowerLetter"/>
      <w:lvlText w:val="%2."/>
      <w:lvlJc w:val="left"/>
      <w:pPr>
        <w:ind w:left="1440" w:hanging="360"/>
      </w:pPr>
    </w:lvl>
    <w:lvl w:ilvl="2" w:tplc="5ECADD56" w:tentative="1">
      <w:start w:val="1"/>
      <w:numFmt w:val="lowerRoman"/>
      <w:lvlText w:val="%3."/>
      <w:lvlJc w:val="right"/>
      <w:pPr>
        <w:ind w:left="2160" w:hanging="180"/>
      </w:pPr>
    </w:lvl>
    <w:lvl w:ilvl="3" w:tplc="D2A6D5E0" w:tentative="1">
      <w:start w:val="1"/>
      <w:numFmt w:val="decimal"/>
      <w:lvlText w:val="%4."/>
      <w:lvlJc w:val="left"/>
      <w:pPr>
        <w:ind w:left="2880" w:hanging="360"/>
      </w:pPr>
    </w:lvl>
    <w:lvl w:ilvl="4" w:tplc="734A7CA4" w:tentative="1">
      <w:start w:val="1"/>
      <w:numFmt w:val="lowerLetter"/>
      <w:lvlText w:val="%5."/>
      <w:lvlJc w:val="left"/>
      <w:pPr>
        <w:ind w:left="3600" w:hanging="360"/>
      </w:pPr>
    </w:lvl>
    <w:lvl w:ilvl="5" w:tplc="35CC5742" w:tentative="1">
      <w:start w:val="1"/>
      <w:numFmt w:val="lowerRoman"/>
      <w:lvlText w:val="%6."/>
      <w:lvlJc w:val="right"/>
      <w:pPr>
        <w:ind w:left="4320" w:hanging="180"/>
      </w:pPr>
    </w:lvl>
    <w:lvl w:ilvl="6" w:tplc="E02A63CC" w:tentative="1">
      <w:start w:val="1"/>
      <w:numFmt w:val="decimal"/>
      <w:lvlText w:val="%7."/>
      <w:lvlJc w:val="left"/>
      <w:pPr>
        <w:ind w:left="5040" w:hanging="360"/>
      </w:pPr>
    </w:lvl>
    <w:lvl w:ilvl="7" w:tplc="1A744AE4" w:tentative="1">
      <w:start w:val="1"/>
      <w:numFmt w:val="lowerLetter"/>
      <w:lvlText w:val="%8."/>
      <w:lvlJc w:val="left"/>
      <w:pPr>
        <w:ind w:left="5760" w:hanging="360"/>
      </w:pPr>
    </w:lvl>
    <w:lvl w:ilvl="8" w:tplc="A386F1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156F1"/>
    <w:rsid w:val="00017E8C"/>
    <w:rsid w:val="00023B48"/>
    <w:rsid w:val="00085248"/>
    <w:rsid w:val="00091F50"/>
    <w:rsid w:val="00140A4F"/>
    <w:rsid w:val="0019266B"/>
    <w:rsid w:val="001A5BD8"/>
    <w:rsid w:val="001C7C42"/>
    <w:rsid w:val="00261400"/>
    <w:rsid w:val="00266299"/>
    <w:rsid w:val="002A2B0C"/>
    <w:rsid w:val="002A733F"/>
    <w:rsid w:val="002C797E"/>
    <w:rsid w:val="002E2E95"/>
    <w:rsid w:val="00436B58"/>
    <w:rsid w:val="004C369E"/>
    <w:rsid w:val="00511925"/>
    <w:rsid w:val="0052366C"/>
    <w:rsid w:val="00552CA3"/>
    <w:rsid w:val="00556AC3"/>
    <w:rsid w:val="00570DD4"/>
    <w:rsid w:val="005A5D32"/>
    <w:rsid w:val="005E69AF"/>
    <w:rsid w:val="00613CDD"/>
    <w:rsid w:val="00616558"/>
    <w:rsid w:val="006C1FF0"/>
    <w:rsid w:val="006E018B"/>
    <w:rsid w:val="0077725D"/>
    <w:rsid w:val="008A3E82"/>
    <w:rsid w:val="008C0F60"/>
    <w:rsid w:val="008C768D"/>
    <w:rsid w:val="009169F6"/>
    <w:rsid w:val="00926662"/>
    <w:rsid w:val="009F3319"/>
    <w:rsid w:val="00A54B5F"/>
    <w:rsid w:val="00AD4045"/>
    <w:rsid w:val="00AE7B6F"/>
    <w:rsid w:val="00B51048"/>
    <w:rsid w:val="00B73D47"/>
    <w:rsid w:val="00BA1FCD"/>
    <w:rsid w:val="00BA4D2A"/>
    <w:rsid w:val="00CD611F"/>
    <w:rsid w:val="00D00C83"/>
    <w:rsid w:val="00DA250C"/>
    <w:rsid w:val="00DB111A"/>
    <w:rsid w:val="00DE2104"/>
    <w:rsid w:val="00E24A7E"/>
    <w:rsid w:val="00EF7293"/>
    <w:rsid w:val="00F41D20"/>
    <w:rsid w:val="00F44AB7"/>
    <w:rsid w:val="00F50899"/>
    <w:rsid w:val="00F538DD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CBA2C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C4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qFormat/>
    <w:pPr>
      <w:suppressAutoHyphens/>
      <w:ind w:left="708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1376</Words>
  <Characters>7789</Characters>
  <Application>Microsoft Office Word</Application>
  <DocSecurity>0</DocSecurity>
  <Lines>213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Horná Veronika</cp:lastModifiedBy>
  <cp:revision>5</cp:revision>
  <cp:lastPrinted>2024-01-23T11:09:00Z</cp:lastPrinted>
  <dcterms:created xsi:type="dcterms:W3CDTF">2024-01-24T12:20:00Z</dcterms:created>
  <dcterms:modified xsi:type="dcterms:W3CDTF">2024-01-24T14:03:00Z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47a47febbeae2dd388a915a85f3b3314a916b75b443ca43230529ecaf5563e2a</vt:lpwstr>
  </property>
</Properties>
</file>