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5220300412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right="0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Žamberk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813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Žamberk,</w:t>
      </w:r>
      <w:r>
        <w:rPr>
          <w:spacing w:val="-5"/>
        </w:rPr>
        <w:t> </w:t>
      </w:r>
      <w:r>
        <w:rPr/>
        <w:t>Masarykovo</w:t>
      </w:r>
      <w:r>
        <w:rPr>
          <w:spacing w:val="-5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166,</w:t>
      </w:r>
      <w:r>
        <w:rPr>
          <w:spacing w:val="-6"/>
        </w:rPr>
        <w:t> </w:t>
      </w:r>
      <w:r>
        <w:rPr/>
        <w:t>564</w:t>
      </w:r>
      <w:r>
        <w:rPr>
          <w:spacing w:val="-2"/>
        </w:rPr>
        <w:t> </w:t>
      </w:r>
      <w:r>
        <w:rPr/>
        <w:t>01</w:t>
      </w:r>
      <w:r>
        <w:rPr>
          <w:spacing w:val="-5"/>
        </w:rPr>
        <w:t> </w:t>
      </w:r>
      <w:r>
        <w:rPr/>
        <w:t>Žamberk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00279846</w:t>
      </w:r>
    </w:p>
    <w:p>
      <w:pPr>
        <w:pStyle w:val="BodyText"/>
        <w:tabs>
          <w:tab w:pos="3262" w:val="left" w:leader="none"/>
        </w:tabs>
        <w:spacing w:before="2"/>
        <w:ind w:left="382"/>
      </w:pPr>
      <w:r>
        <w:rPr>
          <w:spacing w:val="-2"/>
        </w:rPr>
        <w:t>zastoupené:</w:t>
      </w:r>
      <w:r>
        <w:rPr/>
        <w:tab/>
        <w:t>Mgr.</w:t>
      </w:r>
      <w:r>
        <w:rPr>
          <w:spacing w:val="-1"/>
        </w:rPr>
        <w:t> </w:t>
      </w:r>
      <w:r>
        <w:rPr/>
        <w:t>Jiřím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c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2813611/0710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5220300412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4.</w:t>
      </w:r>
      <w:r>
        <w:rPr>
          <w:spacing w:val="-3"/>
        </w:rPr>
        <w:t> </w:t>
      </w:r>
      <w:r>
        <w:rPr/>
        <w:t>8.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029" w:right="0"/>
        <w:jc w:val="left"/>
      </w:pPr>
      <w:r>
        <w:rPr/>
        <w:t>„Nákup</w:t>
      </w:r>
      <w:r>
        <w:rPr>
          <w:spacing w:val="-8"/>
        </w:rPr>
        <w:t> </w:t>
      </w:r>
      <w:r>
        <w:rPr/>
        <w:t>elektromobilu</w:t>
      </w:r>
      <w:r>
        <w:rPr>
          <w:spacing w:val="-8"/>
        </w:rPr>
        <w:t> </w:t>
      </w:r>
      <w:r>
        <w:rPr/>
        <w:t>pro</w:t>
      </w:r>
      <w:r>
        <w:rPr>
          <w:spacing w:val="-8"/>
        </w:rPr>
        <w:t> </w:t>
      </w:r>
      <w:r>
        <w:rPr/>
        <w:t>město</w:t>
      </w:r>
      <w:r>
        <w:rPr>
          <w:spacing w:val="-7"/>
        </w:rPr>
        <w:t> </w:t>
      </w:r>
      <w:r>
        <w:rPr>
          <w:spacing w:val="-2"/>
        </w:rPr>
        <w:t>Žamberk“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663"/>
      </w:pPr>
      <w:r>
        <w:rPr>
          <w:spacing w:val="-5"/>
        </w:rPr>
        <w:t>II.</w:t>
      </w:r>
    </w:p>
    <w:p>
      <w:pPr>
        <w:pStyle w:val="Heading2"/>
        <w:spacing w:before="1"/>
        <w:ind w:left="6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b/>
          <w:sz w:val="20"/>
        </w:rPr>
        <w:t>360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> </w:t>
      </w:r>
      <w:r>
        <w:rPr>
          <w:sz w:val="20"/>
        </w:rPr>
        <w:t>(slovy: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tři</w:t>
      </w:r>
    </w:p>
    <w:p>
      <w:pPr>
        <w:pStyle w:val="BodyText"/>
        <w:spacing w:line="265" w:lineRule="exact"/>
      </w:pPr>
      <w:r>
        <w:rPr/>
        <w:t>sta</w:t>
      </w:r>
      <w:r>
        <w:rPr>
          <w:spacing w:val="-7"/>
        </w:rPr>
        <w:t> </w:t>
      </w:r>
      <w:r>
        <w:rPr/>
        <w:t>šedesát</w:t>
      </w:r>
      <w:r>
        <w:rPr>
          <w:spacing w:val="-3"/>
        </w:rPr>
        <w:t> </w:t>
      </w:r>
      <w:r>
        <w:rPr/>
        <w:t>tisíc</w:t>
      </w:r>
      <w:r>
        <w:rPr>
          <w:spacing w:val="-7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5005"/>
      </w:tblGrid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705" w:right="1696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005" w:type="dxa"/>
          </w:tcPr>
          <w:p>
            <w:pPr>
              <w:pStyle w:val="TableParagraph"/>
              <w:spacing w:before="120"/>
              <w:ind w:left="2004" w:right="200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705" w:right="169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005" w:type="dxa"/>
          </w:tcPr>
          <w:p>
            <w:pPr>
              <w:pStyle w:val="TableParagraph"/>
              <w:spacing w:before="120"/>
              <w:ind w:left="2008" w:right="2000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0" w:hanging="402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ind w:left="690" w:right="395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10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spacing w:before="1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65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0" w:after="0"/>
        <w:ind w:left="1234" w:right="110" w:hanging="286"/>
        <w:jc w:val="left"/>
        <w:rPr>
          <w:sz w:val="20"/>
        </w:rPr>
      </w:pPr>
      <w:r>
        <w:rPr>
          <w:sz w:val="20"/>
        </w:rPr>
        <w:t>akce „Nákup elektromobilu pro město Žamberk“ bude provedena 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1" w:after="0"/>
        <w:ind w:left="1234" w:right="0" w:hanging="286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vozidla.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18" w:after="0"/>
        <w:ind w:left="1234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1" w:after="0"/>
        <w:ind w:left="1234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0" w:after="0"/>
        <w:ind w:left="1234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1" w:hanging="286"/>
        <w:jc w:val="both"/>
        <w:rPr>
          <w:sz w:val="20"/>
        </w:rPr>
      </w:pPr>
      <w:r>
        <w:rPr>
          <w:sz w:val="20"/>
        </w:rPr>
        <w:t>bude veškeré výdaje akce vést v</w:t>
      </w:r>
      <w:r>
        <w:rPr>
          <w:spacing w:val="-1"/>
          <w:sz w:val="20"/>
        </w:rPr>
        <w:t> </w:t>
      </w:r>
      <w:r>
        <w:rPr>
          <w:sz w:val="20"/>
        </w:rPr>
        <w:t>účetnictví (zákon č. 563/1991 Sb., o účetnictví, v platném znění) či</w:t>
      </w:r>
      <w:r>
        <w:rPr>
          <w:spacing w:val="-1"/>
          <w:sz w:val="20"/>
        </w:rPr>
        <w:t> </w:t>
      </w:r>
      <w:r>
        <w:rPr>
          <w:sz w:val="20"/>
        </w:rPr>
        <w:t>daňové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1"/>
          <w:sz w:val="20"/>
        </w:rPr>
        <w:t> </w:t>
      </w:r>
      <w:r>
        <w:rPr>
          <w:sz w:val="20"/>
        </w:rPr>
        <w:t>(zákon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 podle</w:t>
      </w:r>
      <w:r>
        <w:rPr>
          <w:spacing w:val="-2"/>
          <w:sz w:val="20"/>
        </w:rPr>
        <w:t> </w:t>
      </w:r>
      <w:r>
        <w:rPr>
          <w:sz w:val="20"/>
        </w:rPr>
        <w:t>pokynů v</w:t>
      </w:r>
      <w:r>
        <w:rPr>
          <w:spacing w:val="-2"/>
          <w:sz w:val="20"/>
        </w:rPr>
        <w:t> </w:t>
      </w:r>
      <w:r>
        <w:rPr>
          <w:sz w:val="20"/>
        </w:rPr>
        <w:t>čl. 12 písm. b) 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73" w:after="0"/>
        <w:ind w:left="1234" w:right="108" w:hanging="286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 1 Smlouvy o fungování Evropské unie, podporu z prostředků Unie, které centrálně spravují</w:t>
      </w:r>
      <w:r>
        <w:rPr>
          <w:spacing w:val="-11"/>
          <w:sz w:val="20"/>
        </w:rPr>
        <w:t> </w:t>
      </w:r>
      <w:r>
        <w:rPr>
          <w:sz w:val="20"/>
        </w:rPr>
        <w:t>orgány,</w:t>
      </w:r>
      <w:r>
        <w:rPr>
          <w:spacing w:val="-12"/>
          <w:sz w:val="20"/>
        </w:rPr>
        <w:t> </w:t>
      </w:r>
      <w:r>
        <w:rPr>
          <w:sz w:val="20"/>
        </w:rPr>
        <w:t>agentury,</w:t>
      </w:r>
      <w:r>
        <w:rPr>
          <w:spacing w:val="-12"/>
          <w:sz w:val="20"/>
        </w:rPr>
        <w:t> </w:t>
      </w:r>
      <w:r>
        <w:rPr>
          <w:sz w:val="20"/>
        </w:rPr>
        <w:t>společné</w:t>
      </w:r>
      <w:r>
        <w:rPr>
          <w:spacing w:val="-12"/>
          <w:sz w:val="20"/>
        </w:rPr>
        <w:t> </w:t>
      </w:r>
      <w:r>
        <w:rPr>
          <w:sz w:val="20"/>
        </w:rPr>
        <w:t>podniky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jiné</w:t>
      </w:r>
      <w:r>
        <w:rPr>
          <w:spacing w:val="-12"/>
          <w:sz w:val="20"/>
        </w:rPr>
        <w:t> </w:t>
      </w:r>
      <w:r>
        <w:rPr>
          <w:sz w:val="20"/>
        </w:rPr>
        <w:t>subjekty</w:t>
      </w:r>
      <w:r>
        <w:rPr>
          <w:spacing w:val="-12"/>
          <w:sz w:val="20"/>
        </w:rPr>
        <w:t> </w:t>
      </w:r>
      <w:r>
        <w:rPr>
          <w:sz w:val="20"/>
        </w:rPr>
        <w:t>EU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přímo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nepřímo</w:t>
      </w:r>
      <w:r>
        <w:rPr>
          <w:spacing w:val="-11"/>
          <w:sz w:val="20"/>
        </w:rPr>
        <w:t> </w:t>
      </w:r>
      <w:r>
        <w:rPr>
          <w:sz w:val="20"/>
        </w:rPr>
        <w:t>pod kontrolou</w:t>
      </w:r>
      <w:r>
        <w:rPr>
          <w:spacing w:val="-8"/>
          <w:sz w:val="20"/>
        </w:rPr>
        <w:t> </w:t>
      </w:r>
      <w:r>
        <w:rPr>
          <w:sz w:val="20"/>
        </w:rPr>
        <w:t>členských</w:t>
      </w:r>
      <w:r>
        <w:rPr>
          <w:spacing w:val="-5"/>
          <w:sz w:val="20"/>
        </w:rPr>
        <w:t> </w:t>
      </w:r>
      <w:r>
        <w:rPr>
          <w:sz w:val="20"/>
        </w:rPr>
        <w:t>států,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5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zdrojů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podporu v režimu de minimis,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2" w:after="0"/>
        <w:ind w:left="1234" w:right="113" w:hanging="286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</w:t>
      </w:r>
      <w:r>
        <w:rPr>
          <w:spacing w:val="-2"/>
          <w:sz w:val="20"/>
        </w:rPr>
        <w:t>zhotovitele, dodavatele nebo poskytovatele a subdodavatele, je-li konečným příjemcem finančních </w:t>
      </w:r>
      <w:r>
        <w:rPr>
          <w:sz w:val="20"/>
        </w:rPr>
        <w:t>prostředků a jména, příjmení a data narození skutečného majitele nebo majitelů,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11" w:hanging="286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2019/2088,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3" w:hanging="286"/>
        <w:jc w:val="both"/>
        <w:rPr>
          <w:sz w:val="20"/>
        </w:rPr>
      </w:pPr>
      <w:r>
        <w:rPr>
          <w:sz w:val="20"/>
        </w:rPr>
        <w:t>termín dokončení akce do konce 12/2024 a o dodržení tohoto termínu Fond bez zbytečného 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6"/>
          <w:sz w:val="20"/>
        </w:rPr>
        <w:t> </w:t>
      </w:r>
      <w:r>
        <w:rPr>
          <w:sz w:val="20"/>
        </w:rPr>
        <w:t>předání/převzetí</w:t>
      </w:r>
      <w:r>
        <w:rPr>
          <w:spacing w:val="-7"/>
          <w:sz w:val="20"/>
        </w:rPr>
        <w:t> </w:t>
      </w:r>
      <w:r>
        <w:rPr>
          <w:sz w:val="20"/>
        </w:rPr>
        <w:t>posledního vozidla dle příslušné kupní smlouvy). Přitom se konstatuje, že akce byla zahájena v 7/2023.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54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jc w:val="both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left="661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může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zrušena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dohodou</w:t>
      </w:r>
      <w:r>
        <w:rPr>
          <w:spacing w:val="-1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formě.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right="119"/>
        <w:jc w:val="both"/>
      </w:pPr>
      <w:r>
        <w:rPr/>
        <w:t>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37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23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32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405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87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7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2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35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3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2024-01-24T09:34:01Z</dcterms:created>
  <dcterms:modified xsi:type="dcterms:W3CDTF">2024-01-24T09:34:01Z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2024-01-24T00:00:00Z</vt:filetime>
  </property>
</Properties>
</file>