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15" w:rsidRDefault="005E1D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5E1D15" w:rsidRDefault="005E1D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5E1D15" w:rsidRDefault="005E1D1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5E1D15" w:rsidRDefault="005E1D15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5E1D15" w:rsidRDefault="005E1D15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5E1D15" w:rsidRDefault="00F558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1D15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5E1D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5E1D1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5E1D15" w:rsidRDefault="005E1D15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5E1D15" w:rsidRDefault="005E1D15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5E1D15" w:rsidRDefault="005E1D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5E1D15" w:rsidRDefault="005E1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5E1D15" w:rsidRDefault="005E1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5E1D15" w:rsidRDefault="005E1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5E1D15" w:rsidRDefault="005E1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5E1D15" w:rsidRDefault="005E1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E1D15" w:rsidRDefault="005E1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5E1D15" w:rsidRDefault="005E1D15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5E1D15" w:rsidRDefault="005E1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D15" w:rsidRDefault="005E1D1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5E1D15" w:rsidRDefault="005E1D15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provedení oprav společných prostor. malba schodiště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E1D15" w:rsidRDefault="005E1D1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5E1D15" w:rsidRDefault="005E1D15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Nové sady 8a, Brno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14.6.2017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20.6.2017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D15" w:rsidRDefault="005E1D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5E1D15" w:rsidRDefault="005E1D1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5E1D15" w:rsidRPr="00E66ACD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98.800,-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Platební podmínky</w:t>
      </w:r>
    </w:p>
    <w:p w:rsidR="005E1D15" w:rsidRDefault="005E1D1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5E1D15" w:rsidRDefault="005E1D1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5E1D15" w:rsidRDefault="005E1D15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20.6.2017 formou písemného předávacího protokolu, přičemž k převzetí předmětu díla poskytne objednatel nezbytnou součinnost.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E1D15" w:rsidRDefault="005E1D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5E1D15" w:rsidRDefault="005E1D1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5E1D15" w:rsidRDefault="005E1D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5E1D15" w:rsidRDefault="005E1D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5E1D15" w:rsidRDefault="005E1D1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Doložka uveřejnění, informační doložka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5E1D15" w:rsidRDefault="005E1D1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5E1D15" w:rsidRDefault="005E1D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5E1D15" w:rsidRDefault="005E1D1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5E1D15" w:rsidRDefault="005E1D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F558D3">
        <w:rPr>
          <w:rFonts w:ascii="Times New Roman" w:hAnsi="Times New Roman" w:cs="Times New Roman"/>
          <w:color w:val="000000"/>
        </w:rPr>
        <w:t xml:space="preserve"> 12.6.2017</w:t>
      </w:r>
      <w:bookmarkStart w:id="0" w:name="_GoBack"/>
      <w:bookmarkEnd w:id="0"/>
    </w:p>
    <w:p w:rsidR="005E1D15" w:rsidRDefault="005E1D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5E1D15" w:rsidRDefault="005E1D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5E1D15" w:rsidRDefault="005E1D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5E1D15" w:rsidRDefault="005E1D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5E1D15" w:rsidRDefault="005E1D15">
      <w:pPr>
        <w:spacing w:after="0" w:line="240" w:lineRule="auto"/>
        <w:ind w:firstLine="703"/>
        <w:jc w:val="both"/>
        <w:rPr>
          <w:color w:val="000000"/>
        </w:rPr>
      </w:pPr>
    </w:p>
    <w:sectPr w:rsidR="005E1D15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672"/>
    <w:rsid w:val="00025254"/>
    <w:rsid w:val="00046144"/>
    <w:rsid w:val="00056989"/>
    <w:rsid w:val="00065361"/>
    <w:rsid w:val="000938B4"/>
    <w:rsid w:val="000B71F0"/>
    <w:rsid w:val="000C6B37"/>
    <w:rsid w:val="000D3322"/>
    <w:rsid w:val="0010105F"/>
    <w:rsid w:val="00133715"/>
    <w:rsid w:val="00160B96"/>
    <w:rsid w:val="0016732F"/>
    <w:rsid w:val="001B3C90"/>
    <w:rsid w:val="00263CA6"/>
    <w:rsid w:val="002D3D0E"/>
    <w:rsid w:val="002E6E3E"/>
    <w:rsid w:val="00312439"/>
    <w:rsid w:val="003438C4"/>
    <w:rsid w:val="00346617"/>
    <w:rsid w:val="0035721C"/>
    <w:rsid w:val="003B5383"/>
    <w:rsid w:val="00422EF5"/>
    <w:rsid w:val="0046129F"/>
    <w:rsid w:val="004727BA"/>
    <w:rsid w:val="004F7D2E"/>
    <w:rsid w:val="005057B3"/>
    <w:rsid w:val="00525A4B"/>
    <w:rsid w:val="005502DB"/>
    <w:rsid w:val="00553DD6"/>
    <w:rsid w:val="005600E9"/>
    <w:rsid w:val="00573F12"/>
    <w:rsid w:val="00583A73"/>
    <w:rsid w:val="005E1D15"/>
    <w:rsid w:val="005E4CBC"/>
    <w:rsid w:val="005F57AB"/>
    <w:rsid w:val="00656A5D"/>
    <w:rsid w:val="00662E8B"/>
    <w:rsid w:val="0067058D"/>
    <w:rsid w:val="00680287"/>
    <w:rsid w:val="00693CCA"/>
    <w:rsid w:val="006B5AEA"/>
    <w:rsid w:val="007352DA"/>
    <w:rsid w:val="0074319B"/>
    <w:rsid w:val="00747B02"/>
    <w:rsid w:val="00762452"/>
    <w:rsid w:val="007747C9"/>
    <w:rsid w:val="007E478D"/>
    <w:rsid w:val="00821C5D"/>
    <w:rsid w:val="00887483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B35D0C"/>
    <w:rsid w:val="00B5231C"/>
    <w:rsid w:val="00B706FF"/>
    <w:rsid w:val="00B75C85"/>
    <w:rsid w:val="00C01E19"/>
    <w:rsid w:val="00C2019C"/>
    <w:rsid w:val="00C31F75"/>
    <w:rsid w:val="00C4643B"/>
    <w:rsid w:val="00C63A6E"/>
    <w:rsid w:val="00CC0EE9"/>
    <w:rsid w:val="00CC341F"/>
    <w:rsid w:val="00CE04A2"/>
    <w:rsid w:val="00D5796D"/>
    <w:rsid w:val="00D90305"/>
    <w:rsid w:val="00DF08BC"/>
    <w:rsid w:val="00E40517"/>
    <w:rsid w:val="00E45659"/>
    <w:rsid w:val="00E636AF"/>
    <w:rsid w:val="00E66ACD"/>
    <w:rsid w:val="00EC5279"/>
    <w:rsid w:val="00EF4BB8"/>
    <w:rsid w:val="00F27386"/>
    <w:rsid w:val="00F47F0E"/>
    <w:rsid w:val="00F520C4"/>
    <w:rsid w:val="00F558D3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F35A47-70A2-4B9E-BEC2-FC9AC4AB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d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911</Words>
  <Characters>5376</Characters>
  <Application>Microsoft Office Word</Application>
  <DocSecurity>0</DocSecurity>
  <Lines>44</Lines>
  <Paragraphs>12</Paragraphs>
  <ScaleCrop>false</ScaleCrop>
  <Company>UMC Brno-stred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Ing. Olga Křížová</cp:lastModifiedBy>
  <cp:revision>3</cp:revision>
  <cp:lastPrinted>2017-04-18T19:55:00Z</cp:lastPrinted>
  <dcterms:created xsi:type="dcterms:W3CDTF">2017-06-13T20:33:00Z</dcterms:created>
  <dcterms:modified xsi:type="dcterms:W3CDTF">2017-06-28T10:30:00Z</dcterms:modified>
</cp:coreProperties>
</file>