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5C5A0668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511FE4">
        <w:rPr>
          <w:rFonts w:cs="Arial"/>
          <w:b/>
        </w:rPr>
        <w:t>4674/</w:t>
      </w:r>
      <w:r w:rsidR="00631DAB">
        <w:rPr>
          <w:rFonts w:cs="Arial"/>
          <w:b/>
        </w:rPr>
        <w:t>202</w:t>
      </w:r>
      <w:r w:rsidR="00511FE4">
        <w:rPr>
          <w:rFonts w:cs="Arial"/>
          <w:b/>
        </w:rPr>
        <w:t>3</w:t>
      </w:r>
      <w:r w:rsidR="002F1623">
        <w:rPr>
          <w:rFonts w:cs="Arial"/>
          <w:b/>
        </w:rPr>
        <w:t>/STR</w:t>
      </w:r>
    </w:p>
    <w:p w14:paraId="57BA3331" w14:textId="369A28BA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>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2F1623" w:rsidRDefault="002321A0" w:rsidP="002321A0">
            <w:pPr>
              <w:pStyle w:val="Bezmezer"/>
              <w:spacing w:line="276" w:lineRule="auto"/>
              <w:rPr>
                <w:b/>
              </w:rPr>
            </w:pPr>
            <w:r w:rsidRPr="002F1623">
              <w:rPr>
                <w:b/>
              </w:rP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5F5A36CF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2F1623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0AA4F927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 w:rsidR="002F1623">
              <w:t xml:space="preserve"> Česká spořitelna, a. s., č. ú.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1C66971" w14:textId="024CF67E" w:rsidR="002321A0" w:rsidRPr="002F1623" w:rsidRDefault="002F1623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Filharmonie Bohuslava Martinů, o. p. s.</w:t>
            </w:r>
          </w:p>
          <w:p w14:paraId="73C7F6CE" w14:textId="64AA932B" w:rsidR="002321A0" w:rsidRPr="00BC0BE0" w:rsidRDefault="002F1623" w:rsidP="002321A0">
            <w:pPr>
              <w:pStyle w:val="Bezmezer"/>
              <w:spacing w:line="276" w:lineRule="auto"/>
            </w:pPr>
            <w:r>
              <w:t>s</w:t>
            </w:r>
            <w:r w:rsidR="002321A0" w:rsidRPr="00BC0BE0">
              <w:t>ídlo</w:t>
            </w:r>
            <w:r>
              <w:t xml:space="preserve">: nám. T. G. Masaryka 5556, 760 01 Zlín </w:t>
            </w:r>
          </w:p>
          <w:p w14:paraId="5954261C" w14:textId="6EEFDEFC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2F1623">
              <w:t xml:space="preserve"> právnická osoba – obecně prospěšná společnost</w:t>
            </w:r>
          </w:p>
          <w:p w14:paraId="0C46E1F5" w14:textId="5DB2582B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2F1623">
              <w:t>27673286</w:t>
            </w:r>
          </w:p>
          <w:p w14:paraId="1657290E" w14:textId="31960982" w:rsidR="002321A0" w:rsidRPr="00BC0BE0" w:rsidRDefault="002F1623" w:rsidP="002321A0">
            <w:pPr>
              <w:pStyle w:val="Bezmezer"/>
              <w:spacing w:line="276" w:lineRule="auto"/>
            </w:pPr>
            <w:r>
              <w:t>bankovní spojení: Komerční banka, a. s., č. ú. 35-4307300217/0100</w:t>
            </w:r>
          </w:p>
          <w:p w14:paraId="28CEC8A4" w14:textId="1039D655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2F1623">
              <w:t> Brně, oddíl O, vložka 288</w:t>
            </w:r>
          </w:p>
          <w:p w14:paraId="1FF40B27" w14:textId="46E68031" w:rsidR="002321A0" w:rsidRPr="00E82920" w:rsidRDefault="002F1623" w:rsidP="002321A0">
            <w:pPr>
              <w:pStyle w:val="Bezmezer"/>
              <w:spacing w:line="276" w:lineRule="auto"/>
            </w:pPr>
            <w:r>
              <w:t xml:space="preserve">zastoupen: </w:t>
            </w:r>
            <w:r w:rsidR="002F5B20">
              <w:t>XXXXXXXXXXXXXXXXXXXX</w:t>
            </w:r>
          </w:p>
          <w:p w14:paraId="27F8DE20" w14:textId="4A9AE938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482BD37E" w:rsidR="0077026D" w:rsidRPr="00856A2E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</w:t>
      </w:r>
      <w:r w:rsidR="002F1623">
        <w:t xml:space="preserve">ndu Zlínského kraje </w:t>
      </w:r>
      <w:r w:rsidRPr="0013520D">
        <w:t>do</w:t>
      </w:r>
      <w:r w:rsidR="00E652C8">
        <w:t> </w:t>
      </w:r>
      <w:r w:rsidRPr="0013520D">
        <w:t>výše</w:t>
      </w:r>
      <w:r w:rsidR="002321A0">
        <w:t> </w:t>
      </w:r>
      <w:r w:rsidR="002F1623" w:rsidRPr="002F1623">
        <w:rPr>
          <w:b/>
        </w:rPr>
        <w:t>3</w:t>
      </w:r>
      <w:r w:rsidR="00F64A64">
        <w:rPr>
          <w:b/>
        </w:rPr>
        <w:t>2</w:t>
      </w:r>
      <w:r w:rsidR="002F1623" w:rsidRPr="002F1623">
        <w:rPr>
          <w:b/>
        </w:rPr>
        <w:t>.6</w:t>
      </w:r>
      <w:r w:rsidR="00F64A64">
        <w:rPr>
          <w:b/>
        </w:rPr>
        <w:t>06</w:t>
      </w:r>
      <w:r w:rsidR="002F1623" w:rsidRPr="002F1623">
        <w:rPr>
          <w:b/>
        </w:rPr>
        <w:t>.000 Kč</w:t>
      </w:r>
      <w:r w:rsidR="002F1623">
        <w:t xml:space="preserve"> </w:t>
      </w:r>
      <w:r w:rsidRPr="0013520D">
        <w:t>(slovy:</w:t>
      </w:r>
      <w:r w:rsidR="002321A0">
        <w:t> </w:t>
      </w:r>
      <w:r w:rsidR="002F1623">
        <w:t>třicet</w:t>
      </w:r>
      <w:r w:rsidR="00F64A64">
        <w:t>dvamilionůšestsetšest</w:t>
      </w:r>
      <w:r w:rsidR="002F1623">
        <w:t xml:space="preserve">tisíckorunčeských) a </w:t>
      </w:r>
      <w:r w:rsidR="002F1623">
        <w:rPr>
          <w:b/>
        </w:rPr>
        <w:t xml:space="preserve">investiční </w:t>
      </w:r>
      <w:r w:rsidR="002F1623" w:rsidRPr="002F1623">
        <w:t>dotaci</w:t>
      </w:r>
      <w:r w:rsidR="002F1623">
        <w:t xml:space="preserve"> z Fondu Zlínského kraje do výše </w:t>
      </w:r>
      <w:r w:rsidR="002F1623">
        <w:rPr>
          <w:b/>
        </w:rPr>
        <w:t xml:space="preserve">700.000 Kč </w:t>
      </w:r>
      <w:r w:rsidR="002F1623">
        <w:t xml:space="preserve">(slovy: sedmsettisíckorunčeských), (dále jen </w:t>
      </w:r>
      <w:r w:rsidR="002F1623">
        <w:rPr>
          <w:b/>
        </w:rPr>
        <w:t>„dotace“</w:t>
      </w:r>
      <w:r w:rsidR="002F1623">
        <w:t xml:space="preserve">), </w:t>
      </w:r>
      <w:r w:rsidRPr="002F1623">
        <w:t>současně</w:t>
      </w:r>
      <w:r w:rsidRPr="0013520D">
        <w:t xml:space="preserve">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2F1623">
        <w:rPr>
          <w:b/>
        </w:rPr>
        <w:t>54</w:t>
      </w:r>
      <w:r w:rsidRPr="003D6A1A">
        <w:rPr>
          <w:b/>
        </w:rPr>
        <w:t xml:space="preserve"> % celkových způsobilých výdajů</w:t>
      </w:r>
      <w:r w:rsidR="002F1623">
        <w:t xml:space="preserve"> projektu</w:t>
      </w:r>
      <w:r w:rsidRPr="0013520D">
        <w:t xml:space="preserve"> na</w:t>
      </w:r>
      <w:r w:rsidR="00E652C8">
        <w:t> </w:t>
      </w:r>
      <w:r w:rsidRPr="0013520D">
        <w:t>realiza</w:t>
      </w:r>
      <w:r w:rsidR="002F1623">
        <w:t>ci projektu</w:t>
      </w:r>
      <w:r>
        <w:t>:</w:t>
      </w:r>
      <w:r w:rsidR="002321A0">
        <w:t> </w:t>
      </w:r>
      <w:r w:rsidR="002F1623">
        <w:t>Osobní náklady v roce 202</w:t>
      </w:r>
      <w:r w:rsidR="00F64A64">
        <w:t>4</w:t>
      </w:r>
      <w:r w:rsidR="002F1623">
        <w:t xml:space="preserve"> a nákup hudebních nástrojů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 xml:space="preserve">poskytnutí </w:t>
      </w:r>
      <w:r w:rsidRPr="00856A2E">
        <w:t>dotace</w:t>
      </w:r>
      <w:r w:rsidR="002F1623" w:rsidRPr="00856A2E">
        <w:t xml:space="preserve"> IND/202</w:t>
      </w:r>
      <w:r w:rsidR="00B369D3" w:rsidRPr="00856A2E">
        <w:t>4</w:t>
      </w:r>
      <w:r w:rsidR="002F1623" w:rsidRPr="00856A2E">
        <w:t>/00</w:t>
      </w:r>
      <w:r w:rsidR="00856A2E" w:rsidRPr="00856A2E">
        <w:t>2</w:t>
      </w:r>
      <w:r w:rsidR="002F1623" w:rsidRPr="00856A2E">
        <w:t>.</w:t>
      </w:r>
    </w:p>
    <w:p w14:paraId="008B9C8A" w14:textId="05491CAB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2F1623">
        <w:t>osobní náklady v roce 202</w:t>
      </w:r>
      <w:r w:rsidR="007350A1">
        <w:t>4</w:t>
      </w:r>
      <w:r w:rsidR="002F1623">
        <w:t xml:space="preserve"> (mzdové náklady, dočasná pracovní neschopnost, ostatní osobní náklady, statutární orgán, zákonné sociální a zdravotní pojištění, zákonné sociální náklady) a nákup hudebních nástrojů.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20CFBD67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 w:rsidR="002F1623">
        <w:t xml:space="preserve"> dnem 1. 1. 202</w:t>
      </w:r>
      <w:r w:rsidR="007350A1">
        <w:t>4</w:t>
      </w:r>
      <w:r w:rsidR="002F1623">
        <w:t>.</w:t>
      </w:r>
    </w:p>
    <w:p w14:paraId="4BA5A893" w14:textId="7DC44831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7350A1">
        <w:t> 31. 12. 2024</w:t>
      </w:r>
      <w:r w:rsidR="002F1623">
        <w:t>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C7203C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C7203C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229AF93C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  <w:r w:rsidR="00856A2E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1B6EA237" w:rsidR="008E7B6E" w:rsidRPr="001426D2" w:rsidRDefault="002F162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Interpretace hudebního umění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3C6B5A05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9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6F0E0D89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100</w:t>
            </w:r>
          </w:p>
        </w:tc>
      </w:tr>
      <w:tr w:rsidR="008E7B6E" w:rsidRPr="001426D2" w14:paraId="17E68272" w14:textId="77777777" w:rsidTr="00C7203C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299A8792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  <w:r w:rsidR="00856A2E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046E5C79" w:rsidR="008E7B6E" w:rsidRPr="001426D2" w:rsidRDefault="002F162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Open-air koncerty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77656E99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43CB7200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</w:tr>
      <w:tr w:rsidR="008E7B6E" w:rsidRPr="001426D2" w14:paraId="1D176CE0" w14:textId="77777777" w:rsidTr="00C7203C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0F811CBF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  <w:r w:rsidR="00856A2E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2246A36A" w:rsidR="008E7B6E" w:rsidRPr="001426D2" w:rsidRDefault="002F162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Nákup hudebních nástrojů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3CD8F5D4" w:rsidR="008E7B6E" w:rsidRPr="001426D2" w:rsidRDefault="005D7A57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soubor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3F0266FE" w:rsidR="008E7B6E" w:rsidRPr="001426D2" w:rsidRDefault="002F1623" w:rsidP="002F1623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</w:tbl>
    <w:p w14:paraId="26B88F3D" w14:textId="30499F4F" w:rsidR="008E7B6E" w:rsidRDefault="00530D1A" w:rsidP="00C7203C">
      <w:pPr>
        <w:pStyle w:val="2rove"/>
      </w:pPr>
      <w:r w:rsidRPr="0013520D">
        <w:lastRenderedPageBreak/>
        <w:t xml:space="preserve">Částečné nenaplnění kteréhokoliv monitorovacího indikátoru uvedeného v tabulce v předchozím odstavci, </w:t>
      </w:r>
      <w:r w:rsidRPr="003D6A1A">
        <w:rPr>
          <w:b/>
        </w:rPr>
        <w:t xml:space="preserve">maximálně však o 5 </w:t>
      </w:r>
      <w:r w:rsidR="00980936">
        <w:rPr>
          <w:b/>
        </w:rPr>
        <w:t>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0417D8">
        <w:t>.</w:t>
      </w:r>
      <w:r w:rsidR="00980936">
        <w:rPr>
          <w:i/>
          <w:color w:val="5B9BD5" w:themeColor="accent1"/>
          <w:sz w:val="16"/>
          <w:szCs w:val="16"/>
        </w:rPr>
        <w:t xml:space="preserve"> 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1C097517" w14:textId="574A411F" w:rsidR="00313DE9" w:rsidRDefault="00530D1A" w:rsidP="00980936">
      <w:pPr>
        <w:pStyle w:val="2rove"/>
      </w:pPr>
      <w:r w:rsidRPr="0013520D">
        <w:t>Dotace bude příjemci poskytnuta na účet uvedený v záhlaví této smlouvy následujícím způsobem:</w:t>
      </w:r>
    </w:p>
    <w:p w14:paraId="4BFC3330" w14:textId="2AF952EF" w:rsidR="00BE2E45" w:rsidRDefault="00980936" w:rsidP="00980936">
      <w:pPr>
        <w:pStyle w:val="3rove-kodstrann"/>
      </w:pPr>
      <w:r>
        <w:t xml:space="preserve">Neinvestiční dotace na osobní náklady: </w:t>
      </w:r>
      <w:r>
        <w:rPr>
          <w:b/>
        </w:rPr>
        <w:t>do 30 dnů po nabytí účinnosti</w:t>
      </w:r>
      <w:r>
        <w:t xml:space="preserve"> této smlouvy bude vyplacena první část neinvestiční dotace ve výši </w:t>
      </w:r>
      <w:r w:rsidR="006140EB" w:rsidRPr="006140EB">
        <w:rPr>
          <w:b/>
        </w:rPr>
        <w:t>2.</w:t>
      </w:r>
      <w:r w:rsidR="00BE2E45">
        <w:rPr>
          <w:b/>
        </w:rPr>
        <w:t>717</w:t>
      </w:r>
      <w:r w:rsidR="006140EB" w:rsidRPr="006140EB">
        <w:rPr>
          <w:b/>
        </w:rPr>
        <w:t>.163</w:t>
      </w:r>
      <w:r w:rsidR="00BE2E45">
        <w:rPr>
          <w:b/>
        </w:rPr>
        <w:t>,00</w:t>
      </w:r>
      <w:r w:rsidR="006140EB" w:rsidRPr="006140EB">
        <w:rPr>
          <w:b/>
        </w:rPr>
        <w:t xml:space="preserve"> Kč</w:t>
      </w:r>
      <w:r w:rsidR="00BE2E45">
        <w:t xml:space="preserve"> (slovy: dvamilionysedmsesedmnáct</w:t>
      </w:r>
      <w:r w:rsidR="006140EB">
        <w:t>tisíc</w:t>
      </w:r>
      <w:r w:rsidR="00BE2E45">
        <w:t>jedno</w:t>
      </w:r>
      <w:r w:rsidR="006140EB">
        <w:t xml:space="preserve">stošedesáttřikorunčeských). </w:t>
      </w:r>
    </w:p>
    <w:p w14:paraId="56B1258A" w14:textId="643154A9" w:rsidR="00980936" w:rsidRDefault="006140EB" w:rsidP="00BE2E45">
      <w:pPr>
        <w:pStyle w:val="3rove-kodstrann"/>
        <w:numPr>
          <w:ilvl w:val="0"/>
          <w:numId w:val="0"/>
        </w:numPr>
        <w:ind w:left="1304"/>
      </w:pPr>
      <w:r>
        <w:t>V měsících únor</w:t>
      </w:r>
      <w:r w:rsidR="00856A2E">
        <w:t xml:space="preserve"> 2024</w:t>
      </w:r>
      <w:r>
        <w:t xml:space="preserve"> – prosinec 202</w:t>
      </w:r>
      <w:r w:rsidR="007350A1">
        <w:t>4</w:t>
      </w:r>
      <w:r>
        <w:t xml:space="preserve"> bude </w:t>
      </w:r>
      <w:r>
        <w:rPr>
          <w:b/>
        </w:rPr>
        <w:t>každý kalendářní měsíc</w:t>
      </w:r>
      <w:r>
        <w:t xml:space="preserve"> příjemci</w:t>
      </w:r>
      <w:r w:rsidR="00856A2E">
        <w:t> </w:t>
      </w:r>
      <w:r>
        <w:t>zaslána</w:t>
      </w:r>
      <w:r w:rsidR="00856A2E">
        <w:t> </w:t>
      </w:r>
      <w:r>
        <w:t>část</w:t>
      </w:r>
      <w:r w:rsidR="00856A2E">
        <w:t> </w:t>
      </w:r>
      <w:r>
        <w:t xml:space="preserve">dotace ve výši </w:t>
      </w:r>
      <w:r w:rsidRPr="006140EB">
        <w:rPr>
          <w:b/>
        </w:rPr>
        <w:t>2.</w:t>
      </w:r>
      <w:r w:rsidR="00BE2E45">
        <w:rPr>
          <w:b/>
        </w:rPr>
        <w:t>717</w:t>
      </w:r>
      <w:r w:rsidRPr="006140EB">
        <w:rPr>
          <w:b/>
        </w:rPr>
        <w:t>.167</w:t>
      </w:r>
      <w:r w:rsidR="00BE2E45">
        <w:rPr>
          <w:b/>
        </w:rPr>
        <w:t>,00</w:t>
      </w:r>
      <w:r w:rsidRPr="006140EB">
        <w:rPr>
          <w:b/>
        </w:rPr>
        <w:t xml:space="preserve"> Kč</w:t>
      </w:r>
      <w:r w:rsidR="00BE2E45">
        <w:t xml:space="preserve"> (slovy</w:t>
      </w:r>
      <w:r>
        <w:t>:</w:t>
      </w:r>
      <w:r w:rsidR="00BE2E45">
        <w:t xml:space="preserve"> </w:t>
      </w:r>
      <w:r>
        <w:t>dvamiliony</w:t>
      </w:r>
      <w:r w:rsidR="00BE2E45">
        <w:t>sedmsetsedmnáct</w:t>
      </w:r>
      <w:r>
        <w:t>tisíc</w:t>
      </w:r>
      <w:r w:rsidR="00BE2E45">
        <w:t>jednost</w:t>
      </w:r>
      <w:r>
        <w:t>stošedesátsedmkorunčeských), jednotlivé splátky budou zasílány vždy do 10. dne příslušného měsíce.</w:t>
      </w:r>
    </w:p>
    <w:p w14:paraId="530076A2" w14:textId="510D94F5" w:rsidR="006140EB" w:rsidRPr="0013520D" w:rsidRDefault="006140EB" w:rsidP="00980936">
      <w:pPr>
        <w:pStyle w:val="3rove-kodstrann"/>
      </w:pPr>
      <w:r>
        <w:t xml:space="preserve">Investiční dotace na nákup hudebních nástrojů: ve výši </w:t>
      </w:r>
      <w:r>
        <w:rPr>
          <w:b/>
        </w:rPr>
        <w:t>700.000</w:t>
      </w:r>
      <w:r w:rsidR="00856A2E">
        <w:rPr>
          <w:b/>
        </w:rPr>
        <w:t>,00</w:t>
      </w:r>
      <w:r>
        <w:rPr>
          <w:b/>
        </w:rPr>
        <w:t xml:space="preserve"> Kč</w:t>
      </w:r>
      <w:r>
        <w:t xml:space="preserve"> (slovy: sedmsettisíckorunčeských) bude příjemci zaslána nejpozději </w:t>
      </w:r>
      <w:r>
        <w:rPr>
          <w:b/>
        </w:rPr>
        <w:t>do 3 týdnů</w:t>
      </w:r>
      <w:r>
        <w:t xml:space="preserve"> od předložení žádosti příjemce a potvrzené objednávky</w:t>
      </w:r>
      <w:r w:rsidR="00856A2E">
        <w:t>,</w:t>
      </w:r>
      <w:r>
        <w:t xml:space="preserve"> příp. návrhu kupní smlouvy na nákup hudebních nástrojů; celá částka investiční dotace může být čerpána jak jednorázově, tak po částech na základě několika žádostí.</w:t>
      </w:r>
    </w:p>
    <w:p w14:paraId="555ADB30" w14:textId="1A5DAECC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6140EB" w:rsidRPr="00856A2E">
        <w:rPr>
          <w:b/>
        </w:rPr>
        <w:t>6</w:t>
      </w:r>
      <w:r w:rsidR="007350A1" w:rsidRPr="00856A2E">
        <w:rPr>
          <w:b/>
        </w:rPr>
        <w:t>2</w:t>
      </w:r>
      <w:r w:rsidR="006140EB" w:rsidRPr="00856A2E">
        <w:rPr>
          <w:b/>
        </w:rPr>
        <w:t>.</w:t>
      </w:r>
      <w:r w:rsidR="007350A1" w:rsidRPr="00856A2E">
        <w:rPr>
          <w:b/>
        </w:rPr>
        <w:t>68</w:t>
      </w:r>
      <w:r w:rsidR="006140EB" w:rsidRPr="00856A2E">
        <w:rPr>
          <w:b/>
        </w:rPr>
        <w:t>0.000</w:t>
      </w:r>
      <w:r w:rsidR="00856A2E">
        <w:rPr>
          <w:b/>
        </w:rPr>
        <w:t>,00</w:t>
      </w:r>
      <w:r w:rsidR="002C00E2" w:rsidRPr="00856A2E">
        <w:rPr>
          <w:b/>
        </w:rPr>
        <w:t xml:space="preserve"> 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</w:t>
      </w:r>
      <w:r w:rsidR="006140EB">
        <w:rPr>
          <w:i/>
          <w:color w:val="5B9BD5" w:themeColor="accent1"/>
          <w:sz w:val="16"/>
          <w:szCs w:val="16"/>
        </w:rPr>
        <w:t xml:space="preserve"> </w:t>
      </w:r>
    </w:p>
    <w:p w14:paraId="1997B69A" w14:textId="5E9F2312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="006140EB">
        <w:t>.</w:t>
      </w:r>
    </w:p>
    <w:p w14:paraId="6C44F694" w14:textId="2C49DB07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9A352F">
        <w:t> 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BD1A1B">
        <w:rPr>
          <w:b/>
        </w:rPr>
        <w:t>1. 8</w:t>
      </w:r>
      <w:r w:rsidR="009A352F">
        <w:rPr>
          <w:b/>
        </w:rPr>
        <w:t>. 202</w:t>
      </w:r>
      <w:r w:rsidR="00BE2E45">
        <w:rPr>
          <w:b/>
        </w:rPr>
        <w:t>5</w:t>
      </w:r>
      <w:r w:rsidR="009A352F" w:rsidRPr="009A352F">
        <w:t>.</w:t>
      </w:r>
      <w:r w:rsidR="00972C54">
        <w:t xml:space="preserve"> </w:t>
      </w:r>
    </w:p>
    <w:p w14:paraId="3CFA2C4D" w14:textId="75105AFC" w:rsidR="009A352F" w:rsidRDefault="00A439DD" w:rsidP="009A352F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>uvedených ve</w:t>
      </w:r>
      <w:r w:rsidR="00167DA7">
        <w:t> </w:t>
      </w:r>
      <w:r w:rsidR="00F575F2" w:rsidRPr="00CD6632">
        <w:rPr>
          <w:b/>
        </w:rPr>
        <w:t>formuláři závěrečné zprávy</w:t>
      </w:r>
      <w:r w:rsidR="009A352F">
        <w:t>:</w:t>
      </w:r>
    </w:p>
    <w:p w14:paraId="4E7356FD" w14:textId="5C1A69E8" w:rsidR="009A352F" w:rsidRDefault="009A352F" w:rsidP="009A352F">
      <w:pPr>
        <w:pStyle w:val="3rove-kodstrann"/>
      </w:pPr>
      <w:r>
        <w:t>sestavy Rozbor hospodaření za střediska – Dotace – provozní – ZK v členění dle</w:t>
      </w:r>
      <w:r w:rsidR="00856A2E">
        <w:t> </w:t>
      </w:r>
      <w:r>
        <w:t>jednotlivých účtů, roční rekapitulaci mezd (vč. zákonných odvodů sociálního a</w:t>
      </w:r>
      <w:r w:rsidR="00856A2E">
        <w:t> </w:t>
      </w:r>
      <w:r>
        <w:t>zdravotního pojištění). Příjemce je povinen v rámci veřejnosprávní kontroly umožnit poskytovateli na základě jeho požadavku provedení kontroly všech účetních dokladů (tj.</w:t>
      </w:r>
      <w:r w:rsidR="00856A2E">
        <w:t> </w:t>
      </w:r>
      <w:r>
        <w:t>prvotních dokladů – faktur, mzdových listů, zjednodušených daňových dokladů či</w:t>
      </w:r>
      <w:r w:rsidR="00856A2E">
        <w:t> </w:t>
      </w:r>
      <w:r>
        <w:t>jiných účetních nebo daňových dokladů, přičemž za zúčtovací doklady se nepovažují tzv. zálohové faktury a dohody o započtení vzájemných pohledávek a závazků) ve výši poskytnuté neinvestiční dotace a dokladů prokazujících jejich úhradu (tj. výpisy z bankovního účtu, výdajové a příjmové pokladní doklady);</w:t>
      </w:r>
    </w:p>
    <w:p w14:paraId="10641C96" w14:textId="31A62FBD" w:rsidR="008A4646" w:rsidRDefault="009A352F" w:rsidP="009A352F">
      <w:pPr>
        <w:pStyle w:val="3rove-kodstrann"/>
      </w:pPr>
      <w:r>
        <w:t>účetních dokladů (tj. prvotních dokladů – kopie faktur, zjednodušených daňových dokladů či jiných účetních nebo daňových dokladů, přičemž za zúčtovací doklady se nepovažují tzv. zálohové faktury a dohody o započtení vzájemných pohledávek a závazků) ve výši poskytnuté investiční dotace a dokladů prokazujících jejich úhrady (tj. výpis z bankovního účtu, výdajové a příjmové pokladní doklady).</w:t>
      </w:r>
    </w:p>
    <w:p w14:paraId="4F823383" w14:textId="77777777" w:rsidR="008A4646" w:rsidRDefault="008A4646">
      <w:r>
        <w:br w:type="page"/>
      </w:r>
    </w:p>
    <w:p w14:paraId="6C87D293" w14:textId="77777777" w:rsidR="009A352F" w:rsidRDefault="009A352F" w:rsidP="008A4646">
      <w:pPr>
        <w:pStyle w:val="3rove-kodstrann"/>
        <w:numPr>
          <w:ilvl w:val="0"/>
          <w:numId w:val="0"/>
        </w:numPr>
        <w:ind w:left="1304"/>
      </w:pPr>
    </w:p>
    <w:p w14:paraId="6DCF458F" w14:textId="57DE9FA1" w:rsidR="00CD2022" w:rsidRDefault="00A439DD" w:rsidP="009A352F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</w:t>
      </w:r>
      <w:r w:rsidR="009A352F">
        <w:t>na vyžádání.</w:t>
      </w:r>
    </w:p>
    <w:p w14:paraId="5EB47DE6" w14:textId="363883EE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</w:t>
      </w:r>
      <w:r w:rsidR="00167DA7">
        <w:t> </w:t>
      </w:r>
      <w:r w:rsidRPr="00774F80">
        <w:t>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> příjemce v této lhůtě nedostatky či</w:t>
      </w:r>
      <w:r w:rsidR="00167DA7">
        <w:t> </w:t>
      </w:r>
      <w:r w:rsidR="00F13C74">
        <w:t xml:space="preserve">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0194C35" w14:textId="26DFB14A" w:rsidR="009514A5" w:rsidRDefault="009514A5" w:rsidP="009A352F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 w:rsidR="009A352F">
        <w:t xml:space="preserve"> na účet poskytovatele.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6BD908DB" w:rsidR="00B007CA" w:rsidRDefault="00D64AB1" w:rsidP="009A352F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27975AF0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3943B5B1" w14:textId="77CFC405" w:rsidR="00BD6C23" w:rsidRDefault="007350A1" w:rsidP="009A352F">
      <w:pPr>
        <w:pStyle w:val="3rove-trval"/>
      </w:pPr>
      <w:r>
        <w:t xml:space="preserve">mzdy a platy </w:t>
      </w:r>
      <w:r w:rsidR="00BD6C23">
        <w:t xml:space="preserve">v </w:t>
      </w:r>
      <w:r w:rsidR="009A352F">
        <w:t xml:space="preserve">místě </w:t>
      </w:r>
      <w:r>
        <w:t xml:space="preserve">a čase </w:t>
      </w:r>
      <w:r w:rsidR="009A352F">
        <w:t>neobvyklé,</w:t>
      </w:r>
    </w:p>
    <w:p w14:paraId="759E275B" w14:textId="0BBFD284" w:rsidR="00BD6C23" w:rsidRDefault="00BD6C23" w:rsidP="0017738B">
      <w:pPr>
        <w:pStyle w:val="3rove-trval"/>
      </w:pPr>
      <w:r w:rsidRPr="00BB690E">
        <w:t>ostatní o</w:t>
      </w:r>
      <w:r w:rsidR="009A352F">
        <w:t>sobní výdaje (</w:t>
      </w:r>
      <w:r w:rsidRPr="00BB690E">
        <w:t>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 w:rsidR="002321A0">
        <w:t> </w:t>
      </w:r>
      <w:r w:rsidRPr="00BB690E">
        <w:t>ze zisku; částky, které zaměstnavatel refunduje jiným zaměstnavatelům k úhradě plnění zahrnovaných do OON</w:t>
      </w:r>
      <w:r w:rsidR="009A352F">
        <w:t>) s výjimkou odměn z dohod o pracích konaných mimo pracovní poměr dle zákona č. 262/2006 Sb.,</w:t>
      </w:r>
    </w:p>
    <w:p w14:paraId="4F58C904" w14:textId="467257BD" w:rsidR="00BD6C23" w:rsidRDefault="00BD6C23" w:rsidP="0017738B">
      <w:pPr>
        <w:pStyle w:val="3rove-trval"/>
      </w:pPr>
      <w:r w:rsidRPr="00BB690E">
        <w:t>výdaje na zaměstnance, ke kterým nejsou zaměstnavatelé povinni dle zvláštních právních předpisů (příspěvky na penzijní/životní pojištění, p</w:t>
      </w:r>
      <w:r w:rsidR="009A352F">
        <w:t xml:space="preserve">říspěvky na rekreaci, </w:t>
      </w:r>
      <w:r w:rsidRPr="00BB690E">
        <w:t>apod</w:t>
      </w:r>
      <w:r w:rsidRPr="00641673">
        <w:t>.)</w:t>
      </w:r>
      <w:r w:rsidR="009A352F">
        <w:t xml:space="preserve"> s výjimkou stravenek,</w:t>
      </w:r>
    </w:p>
    <w:p w14:paraId="1C247B24" w14:textId="77777777" w:rsidR="00BD6C23" w:rsidRDefault="00BD6C23" w:rsidP="00CF1D37">
      <w:pPr>
        <w:pStyle w:val="3rove-trval"/>
      </w:pPr>
      <w:r w:rsidRPr="00BB690E">
        <w:t>výdaje na pořádání workshopů, teambuildingů, výjezdních zasedání, apod.</w:t>
      </w:r>
      <w:r>
        <w:t>,</w:t>
      </w:r>
    </w:p>
    <w:p w14:paraId="3E94E201" w14:textId="3F8EB088" w:rsidR="00BD6C23" w:rsidRDefault="00BD6C23" w:rsidP="00C37053">
      <w:pPr>
        <w:pStyle w:val="3rove-trval"/>
      </w:pPr>
      <w:r w:rsidRPr="00BB690E">
        <w:t>výdaje na školení a kurzy</w:t>
      </w:r>
      <w:r>
        <w:t>,</w:t>
      </w:r>
    </w:p>
    <w:p w14:paraId="70AF169A" w14:textId="77777777" w:rsidR="00BD6C23" w:rsidRDefault="00BD6C23" w:rsidP="00C37053">
      <w:pPr>
        <w:pStyle w:val="3rove-trval"/>
      </w:pPr>
      <w:r w:rsidRPr="00BB690E">
        <w:t>dlužný úrok, pokuty a finanční sankce</w:t>
      </w:r>
      <w:r>
        <w:t>,</w:t>
      </w:r>
    </w:p>
    <w:p w14:paraId="080314C6" w14:textId="71259FB9" w:rsidR="00BD6C23" w:rsidRDefault="00BD6C23" w:rsidP="00C37053">
      <w:pPr>
        <w:pStyle w:val="3rove-trval"/>
      </w:pPr>
      <w:r w:rsidRPr="00BB690E">
        <w:t>výdaje na přípravné studie nebo jiné přípravné činnosti vč. zpracování žádosti o</w:t>
      </w:r>
      <w:r w:rsidR="002321A0">
        <w:t> </w:t>
      </w:r>
      <w:r w:rsidRPr="00BB690E">
        <w:t>poskytnutí dotace</w:t>
      </w:r>
      <w:r>
        <w:t>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AB7294F" w14:textId="1333F73A" w:rsidR="00BD6C23" w:rsidRDefault="00BD6C23" w:rsidP="00C37053">
      <w:pPr>
        <w:pStyle w:val="3rove-trval"/>
      </w:pPr>
      <w:r w:rsidRPr="00BB690E">
        <w:t>daň silniční, daň z nemovitých věcí, poplatek za znečištění ovzduší, televizní a</w:t>
      </w:r>
      <w:r w:rsidR="00167DA7">
        <w:t> </w:t>
      </w:r>
      <w:r w:rsidRPr="00BB690E">
        <w:t>rozhlasový poplatek, atp.</w:t>
      </w:r>
    </w:p>
    <w:p w14:paraId="34A8F332" w14:textId="6E1A5F1D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</w:t>
      </w:r>
      <w:r w:rsidR="00167DA7">
        <w:t> </w:t>
      </w:r>
      <w:r w:rsidRPr="00A103DD">
        <w:t>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lastRenderedPageBreak/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10438DE3" w:rsidR="00B64E1E" w:rsidRDefault="00CD2C76" w:rsidP="00963551">
      <w:pPr>
        <w:pStyle w:val="2rove"/>
      </w:pPr>
      <w:r w:rsidRPr="00AC7A82">
        <w:t>U veřejné zakázky, která podléhá zákonu č. 134/2016 Sb., o zadávání veřejných zakázek, ve</w:t>
      </w:r>
      <w:r w:rsidR="00167DA7">
        <w:t> </w:t>
      </w:r>
      <w:r w:rsidRPr="00AC7A82">
        <w:t>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F500B41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="00E52449">
        <w:t xml:space="preserve">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0E1404BD" w:rsidR="00FC2E44" w:rsidRDefault="00A233FD" w:rsidP="00C37053">
      <w:pPr>
        <w:pStyle w:val="2rove"/>
      </w:pPr>
      <w:r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792033A" w:rsidR="00A233FD" w:rsidRDefault="00BD6C23" w:rsidP="00C37053">
      <w:pPr>
        <w:pStyle w:val="3rove-trval"/>
      </w:pPr>
      <w:r>
        <w:t>zabezpečit archivaci veškeré dokumentace k projektu včetně účetnictví o projektu po</w:t>
      </w:r>
      <w:r w:rsidR="00167DA7">
        <w:t> </w:t>
      </w:r>
      <w:r>
        <w:t xml:space="preserve">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364B80A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74198546" w14:textId="110C2228" w:rsidR="00A233FD" w:rsidRPr="00E52449" w:rsidRDefault="00A233FD" w:rsidP="00C37053">
      <w:pPr>
        <w:pStyle w:val="3rove-trval"/>
        <w:rPr>
          <w:i/>
          <w:color w:val="5B9BD5" w:themeColor="accent1"/>
          <w:sz w:val="16"/>
          <w:szCs w:val="16"/>
        </w:rPr>
      </w:pPr>
      <w:r w:rsidRPr="00A233FD">
        <w:t>nezcizit majetek pořízený</w:t>
      </w:r>
      <w:r>
        <w:t xml:space="preserve"> </w:t>
      </w:r>
      <w:r w:rsidR="00177FB1">
        <w:t xml:space="preserve">nebo </w:t>
      </w:r>
      <w:r w:rsidRPr="00A233FD">
        <w:t>opravený na základě této dotace (movité i nemovité věci) nejméně po dob</w:t>
      </w:r>
      <w:r>
        <w:t>u</w:t>
      </w:r>
      <w:r w:rsidR="002321A0">
        <w:t> </w:t>
      </w:r>
      <w:r w:rsidR="00E52449">
        <w:t>2</w:t>
      </w:r>
      <w:r>
        <w:t xml:space="preserve"> let ode dne jeho pořízení </w:t>
      </w:r>
      <w:r w:rsidR="00177FB1">
        <w:t xml:space="preserve">nebo </w:t>
      </w:r>
      <w:r w:rsidRPr="00A233FD">
        <w:t>opravy, případně po dobu jeho životnosti či použitelnosti, je-li tato doba kratší. Po tuto dobu smí převést vlastnické právo k danému majetku na třetí osobu pouze s předchozím písemným souhlasem poskytovatele. Po uvedenou dobu je příjemce povinen zacházet s majetkem s péčí řádného hospodáře, zejména jej zabezpečit proti poškození, ztrátě nebo odcizení a</w:t>
      </w:r>
      <w:r w:rsidR="002321A0">
        <w:t> </w:t>
      </w:r>
      <w:r w:rsidRPr="00A233FD">
        <w:t>nezatěžovat takový majetek žádnými věcnými právy třetích osob, včetně zástavního práva</w:t>
      </w:r>
      <w:r w:rsidR="00E52449">
        <w:t>,</w:t>
      </w:r>
    </w:p>
    <w:p w14:paraId="67BFFDE9" w14:textId="098B44FB" w:rsidR="00E52449" w:rsidRPr="00E52449" w:rsidRDefault="00E52449" w:rsidP="00C37053">
      <w:pPr>
        <w:pStyle w:val="3rove-trval"/>
        <w:rPr>
          <w:i/>
          <w:color w:val="5B9BD5" w:themeColor="accent1"/>
          <w:sz w:val="16"/>
          <w:szCs w:val="16"/>
        </w:rPr>
      </w:pPr>
      <w:r>
        <w:t xml:space="preserve">předložit Odboru ekonomickému Krajského úřadu Zlínského kraje návrh </w:t>
      </w:r>
      <w:r>
        <w:rPr>
          <w:b/>
        </w:rPr>
        <w:t>roční účetní závěrky, zprávy o činnosti a hospodaření a výroční zprávu za rok 202</w:t>
      </w:r>
      <w:r w:rsidR="007350A1">
        <w:rPr>
          <w:b/>
        </w:rPr>
        <w:t>3</w:t>
      </w:r>
      <w:r>
        <w:t xml:space="preserve"> zpracované dle dokumentu SM</w:t>
      </w:r>
      <w:r w:rsidR="00E52DBD">
        <w:rPr>
          <w:rStyle w:val="Znakapoznpodarou"/>
        </w:rPr>
        <w:footnoteReference w:id="2"/>
      </w:r>
      <w:r>
        <w:t>, a sice v termínu do 31. 5. 202</w:t>
      </w:r>
      <w:r w:rsidR="007350A1">
        <w:t>4</w:t>
      </w:r>
      <w:r>
        <w:t>,</w:t>
      </w:r>
    </w:p>
    <w:p w14:paraId="325D8DAC" w14:textId="5E34B77F" w:rsidR="00E52449" w:rsidRPr="00E52449" w:rsidRDefault="00E52449" w:rsidP="00C37053">
      <w:pPr>
        <w:pStyle w:val="3rove-trval"/>
        <w:rPr>
          <w:i/>
          <w:color w:val="5B9BD5" w:themeColor="accent1"/>
          <w:sz w:val="16"/>
          <w:szCs w:val="16"/>
        </w:rPr>
      </w:pPr>
      <w:r>
        <w:t>zpracovat v rámci roční zprávy o hospodaření přehled o provedených kontrolách v daném kalendářním roce (s uvedením základních skutečností o jednotlivých kontrolách, tj. kontrolované období, datum kontroly, kontrolní orgán, předmět kontroly, zjištěné nedostatky a příp. odvody, penále, pokuty),</w:t>
      </w:r>
    </w:p>
    <w:p w14:paraId="27705DBA" w14:textId="27B3DE63" w:rsidR="00E52449" w:rsidRPr="00E52449" w:rsidRDefault="00E52449" w:rsidP="00C37053">
      <w:pPr>
        <w:pStyle w:val="3rove-trval"/>
        <w:rPr>
          <w:i/>
          <w:color w:val="5B9BD5" w:themeColor="accent1"/>
          <w:sz w:val="16"/>
          <w:szCs w:val="16"/>
        </w:rPr>
      </w:pPr>
      <w:r>
        <w:t xml:space="preserve">předložit Odboru ekonomickému Krajského úřadu Zlínského kraje návrh </w:t>
      </w:r>
      <w:r>
        <w:rPr>
          <w:b/>
        </w:rPr>
        <w:t>pololetní zprávy o hospodaření</w:t>
      </w:r>
      <w:r>
        <w:t xml:space="preserve"> zpracované dle dokumentů SM</w:t>
      </w:r>
      <w:r w:rsidRPr="00E52DBD">
        <w:rPr>
          <w:rStyle w:val="Znakapoznpodarou"/>
        </w:rPr>
        <w:t>1</w:t>
      </w:r>
      <w:r>
        <w:t>, a sice v termínu do 31. 7. 202</w:t>
      </w:r>
      <w:r w:rsidR="007350A1">
        <w:t>4</w:t>
      </w:r>
      <w:r>
        <w:t>,</w:t>
      </w:r>
    </w:p>
    <w:p w14:paraId="25D595B3" w14:textId="3882CAA4" w:rsidR="00E52449" w:rsidRPr="005222E8" w:rsidRDefault="00E52449" w:rsidP="00C37053">
      <w:pPr>
        <w:pStyle w:val="3rove-trval"/>
        <w:rPr>
          <w:i/>
          <w:color w:val="5B9BD5" w:themeColor="accent1"/>
          <w:sz w:val="16"/>
          <w:szCs w:val="16"/>
        </w:rPr>
      </w:pPr>
      <w:r>
        <w:t xml:space="preserve">předložit Odboru ekonomickému Krajského úřadu Zlínského kraje návrh </w:t>
      </w:r>
      <w:r>
        <w:rPr>
          <w:b/>
        </w:rPr>
        <w:t>ročního rozpočtu na rok 2024</w:t>
      </w:r>
      <w:r>
        <w:t xml:space="preserve"> zpracovaný dle dokumentů SM</w:t>
      </w:r>
      <w:r w:rsidRPr="00E52DBD">
        <w:rPr>
          <w:rStyle w:val="Znakapoznpodarou"/>
        </w:rPr>
        <w:t>1</w:t>
      </w:r>
      <w:r w:rsidR="005222E8">
        <w:t>, a sice v termínu do 15. 11. 202</w:t>
      </w:r>
      <w:r w:rsidR="007350A1">
        <w:t>4</w:t>
      </w:r>
      <w:r w:rsidR="005222E8">
        <w:t>,</w:t>
      </w:r>
    </w:p>
    <w:p w14:paraId="042F152F" w14:textId="6E431409" w:rsidR="005222E8" w:rsidRPr="00FB0E5C" w:rsidRDefault="005222E8" w:rsidP="00C37053">
      <w:pPr>
        <w:pStyle w:val="3rove-trval"/>
        <w:rPr>
          <w:i/>
          <w:color w:val="5B9BD5" w:themeColor="accent1"/>
          <w:sz w:val="16"/>
          <w:szCs w:val="16"/>
        </w:rPr>
      </w:pPr>
      <w:r>
        <w:lastRenderedPageBreak/>
        <w:t xml:space="preserve">na vyžádání zaslat Odboru ekonomickému Krajského úřadu Zlínského kraje </w:t>
      </w:r>
      <w:r>
        <w:rPr>
          <w:b/>
        </w:rPr>
        <w:t>kontrolní protokoly orgánů veřejné správy a dalších kontrolních orgánů</w:t>
      </w:r>
      <w:r>
        <w:t xml:space="preserve"> (např. Finanční úřad, Česká správa sociálního zabezpečení, zdravotní pojišťovny, atp.).</w:t>
      </w:r>
    </w:p>
    <w:p w14:paraId="6AC9B237" w14:textId="77777777" w:rsidR="006940AC" w:rsidRDefault="006940AC" w:rsidP="006940AC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>
        <w:t xml:space="preserve"> </w:t>
      </w:r>
    </w:p>
    <w:p w14:paraId="4C32E23E" w14:textId="73A1132D" w:rsidR="00A233FD" w:rsidRPr="00A233FD" w:rsidRDefault="00E52449" w:rsidP="00E52449">
      <w:pPr>
        <w:pStyle w:val="2rove"/>
      </w:pPr>
      <w:r w:rsidRPr="00E52449">
        <w:t xml:space="preserve">Příjemce </w:t>
      </w:r>
      <w:r w:rsidR="00A233FD">
        <w:t>bere na vědomí, že dotace poskytnutá dle této smlouvy je</w:t>
      </w:r>
      <w:r>
        <w:t xml:space="preserve"> </w:t>
      </w:r>
      <w:r w:rsidR="005269E1">
        <w:t>p</w:t>
      </w:r>
      <w:r w:rsidR="00A233FD">
        <w:t xml:space="preserve">oskytnutím podpory </w:t>
      </w:r>
      <w:r w:rsidR="00A233FD" w:rsidRPr="00A233FD">
        <w:t xml:space="preserve">v rámci </w:t>
      </w:r>
      <w:r w:rsidR="00A233FD" w:rsidRPr="00E52449">
        <w:rPr>
          <w:b/>
        </w:rPr>
        <w:t>blokové výjimky</w:t>
      </w:r>
      <w:r w:rsidR="002321A0">
        <w:t> </w:t>
      </w:r>
      <w:r>
        <w:t xml:space="preserve">Financování kultury a zachování kulturního dědictví ve Zlínském kraji </w:t>
      </w:r>
      <w:r w:rsidR="00863E76">
        <w:t xml:space="preserve">– navýšení a prodloužení </w:t>
      </w:r>
      <w:r w:rsidR="00BA4782">
        <w:t>(</w:t>
      </w:r>
      <w:r>
        <w:t>SA.</w:t>
      </w:r>
      <w:r w:rsidR="00473597">
        <w:t>11</w:t>
      </w:r>
      <w:r w:rsidR="003A571F">
        <w:t>1451</w:t>
      </w:r>
      <w:r w:rsidR="00BA4782" w:rsidRPr="006940AC">
        <w:t>)</w:t>
      </w:r>
      <w:r w:rsidR="00A233FD" w:rsidRPr="00A233FD">
        <w:t>, jež byla oznámena Evropské komisi na základě článku 53 Nařízení Komise (EU) č. 651/2014 ze dne 17. 6. 2014, kterým se v souladu s články 107 a 108 Smlouvy o fungování EU prohlašují určité kategorie podpory za slučitelné s vnitřním trhem (zveřejněno v Úředním věstníku L 187 dne 26. 6. 2014)</w:t>
      </w:r>
      <w:r w:rsidR="00A233FD">
        <w:t>.</w:t>
      </w:r>
      <w:r w:rsidR="007B258A">
        <w:t xml:space="preserve"> </w:t>
      </w:r>
      <w:r w:rsidR="00A233FD" w:rsidRPr="00A233FD">
        <w:t>Příjemce prohlašuje, že on ani subjekty s ním propojené</w:t>
      </w:r>
      <w:r w:rsidR="005269E1">
        <w:rPr>
          <w:rStyle w:val="Znakapoznpodarou"/>
        </w:rPr>
        <w:footnoteReference w:id="3"/>
      </w:r>
      <w:r w:rsidR="00A233FD" w:rsidRPr="00A233FD">
        <w:t xml:space="preserve"> nejsou tzv. podnikem v obtížích</w:t>
      </w:r>
      <w:r w:rsidR="005269E1">
        <w:rPr>
          <w:rStyle w:val="Znakapoznpodarou"/>
        </w:rPr>
        <w:footnoteReference w:id="4"/>
      </w:r>
      <w:r w:rsidR="0078624E">
        <w:t>,</w:t>
      </w:r>
      <w:r w:rsidR="00A233FD" w:rsidRPr="00A233FD">
        <w:t xml:space="preserve"> a dále prohlašuje, že v návaznosti na</w:t>
      </w:r>
      <w:r w:rsidR="00167DA7">
        <w:t> </w:t>
      </w:r>
      <w:r w:rsidR="00A233FD" w:rsidRPr="00A233FD">
        <w:t>rozhodnutí Evropské komise, jímž je podpora prohlášena za protiprávní a neslučitelnou s</w:t>
      </w:r>
      <w:r w:rsidR="00167DA7">
        <w:t> </w:t>
      </w:r>
      <w:r w:rsidR="00A233FD" w:rsidRPr="00A233FD">
        <w:t>vnitřním trhem, nebyl jemu ani subjektům s</w:t>
      </w:r>
      <w:r w:rsidR="0078624E">
        <w:t> </w:t>
      </w:r>
      <w:r w:rsidR="00A233FD" w:rsidRPr="00A233FD">
        <w:t xml:space="preserve">ním propojeným vystaven tzv. inkasní příkaz, který dosud nebyl splacen. </w:t>
      </w:r>
      <w:r w:rsidR="00516C51" w:rsidRPr="00E52449">
        <w:rPr>
          <w:rFonts w:cs="Arial"/>
        </w:rPr>
        <w:t>V případě, že některá z výše uvedených skutečností nastane až po</w:t>
      </w:r>
      <w:r w:rsidR="00167DA7">
        <w:rPr>
          <w:rFonts w:cs="Arial"/>
        </w:rPr>
        <w:t> </w:t>
      </w:r>
      <w:r w:rsidR="00516C51" w:rsidRPr="00E52449">
        <w:rPr>
          <w:rFonts w:cs="Arial"/>
        </w:rPr>
        <w:t xml:space="preserve">uzavření této smlouvy, je příjemce povinen poskytovatele </w:t>
      </w:r>
      <w:r w:rsidR="00090713" w:rsidRPr="00E52449">
        <w:rPr>
          <w:rFonts w:cs="Arial"/>
        </w:rPr>
        <w:t>do 15 dnů</w:t>
      </w:r>
      <w:r w:rsidR="00516C51" w:rsidRPr="00E52449">
        <w:rPr>
          <w:rFonts w:cs="Arial"/>
        </w:rPr>
        <w:t xml:space="preserve"> o těchto skutečnostech informovat, a</w:t>
      </w:r>
      <w:r w:rsidR="00167DA7">
        <w:rPr>
          <w:rFonts w:cs="Arial"/>
        </w:rPr>
        <w:t> </w:t>
      </w:r>
      <w:r w:rsidR="00516C51" w:rsidRPr="00E52449">
        <w:rPr>
          <w:rFonts w:cs="Arial"/>
        </w:rPr>
        <w:t>pokud již příjemci dotace byla vyplacena, je povinen ji</w:t>
      </w:r>
      <w:r w:rsidR="00506961" w:rsidRPr="00E52449">
        <w:rPr>
          <w:rFonts w:cs="Arial"/>
        </w:rPr>
        <w:t xml:space="preserve"> v této lhůtě</w:t>
      </w:r>
      <w:r w:rsidR="00516C51" w:rsidRPr="00E52449">
        <w:rPr>
          <w:rFonts w:cs="Arial"/>
        </w:rPr>
        <w:t xml:space="preserve"> poskytovateli vrátit.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044EA75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B47B70" w:rsidRPr="00151ED9">
          <w:rPr>
            <w:rStyle w:val="Hypertextovodkaz"/>
          </w:rPr>
          <w:t>https://zlinskykraj.cz/logo-zlinskeho-kraje</w:t>
        </w:r>
      </w:hyperlink>
      <w:r w:rsidRPr="0078624E">
        <w:rPr>
          <w:i/>
        </w:rPr>
        <w:t>.</w:t>
      </w:r>
      <w:r w:rsidRPr="00703656">
        <w:t xml:space="preserve">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15120891" w:rsidR="00C92705" w:rsidRDefault="00C92705" w:rsidP="006C53E4">
      <w:pPr>
        <w:pStyle w:val="2rove"/>
      </w:pPr>
      <w:r>
        <w:t xml:space="preserve">Příjemce je dále povinen prezentovat poskytovatele </w:t>
      </w:r>
      <w:r w:rsidRPr="00B47B70">
        <w:rPr>
          <w:b/>
        </w:rPr>
        <w:t>s</w:t>
      </w:r>
      <w:r w:rsidR="006C53E4" w:rsidRPr="00B47B70">
        <w:rPr>
          <w:b/>
        </w:rPr>
        <w:t> </w:t>
      </w:r>
      <w:r w:rsidRPr="00B47B70">
        <w:rPr>
          <w:b/>
        </w:rPr>
        <w:t>využitím</w:t>
      </w:r>
      <w:r w:rsidR="006C53E4" w:rsidRPr="00B47B70">
        <w:rPr>
          <w:b/>
        </w:rPr>
        <w:t xml:space="preserve"> </w:t>
      </w:r>
      <w:r w:rsidRPr="00B47B70">
        <w:rPr>
          <w:b/>
        </w:rPr>
        <w:t>alespoň 3</w:t>
      </w:r>
      <w:r w:rsidR="00D0470B" w:rsidRPr="00B47B70">
        <w:rPr>
          <w:b/>
        </w:rPr>
        <w:t xml:space="preserve"> z</w:t>
      </w:r>
      <w:r w:rsidRPr="00B47B70">
        <w:rPr>
          <w:b/>
        </w:rPr>
        <w:t xml:space="preserve"> </w:t>
      </w:r>
      <w:r w:rsidR="00D53684" w:rsidRPr="00B47B70">
        <w:rPr>
          <w:b/>
        </w:rPr>
        <w:t xml:space="preserve">těchto </w:t>
      </w:r>
      <w:r w:rsidRPr="00B47B70">
        <w:rPr>
          <w:b/>
        </w:rPr>
        <w:t>prostředků komunikace</w:t>
      </w:r>
      <w:r>
        <w:t>, které doloží v Závěrečné zprávě, přičemž jedním ze zvolených prostředků musí být</w:t>
      </w:r>
      <w:r w:rsidR="00123AD3">
        <w:t xml:space="preserve"> zajištění z</w:t>
      </w:r>
      <w:r w:rsidR="00FB265A">
        <w:t>veřejnění na webových stránkách: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lastRenderedPageBreak/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B5EB535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 w:rsidR="006C53E4">
        <w:t>.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2BE31E52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5D26BADC" w14:textId="5A271596" w:rsidR="002D215A" w:rsidRPr="00B60582" w:rsidRDefault="002D215A" w:rsidP="00C37053">
      <w:pPr>
        <w:pStyle w:val="3rove-trval"/>
      </w:pPr>
      <w:r w:rsidRPr="00D11E31">
        <w:t>příjemce poruší pravid</w:t>
      </w:r>
      <w:r w:rsidR="00986F29">
        <w:t>la veřejné podpory dle čl. 5.</w:t>
      </w:r>
      <w:r w:rsidR="006940AC">
        <w:t>10</w:t>
      </w:r>
      <w:r w:rsidR="00986F29"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5D6EA2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</w:t>
      </w:r>
      <w:r w:rsidR="00B47B70">
        <w:t> </w:t>
      </w:r>
      <w:r>
        <w:t>čl. 4.6, výše odvodu se v tomto případě rovná výši neoprávněně použitých nebo zadržených peněžních prostředků,</w:t>
      </w:r>
    </w:p>
    <w:p w14:paraId="0FAD8FD4" w14:textId="035EF2DD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2D215A" w:rsidRPr="00FB0E5C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16513B15" w:rsidR="008A464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6120A4" w:rsidRPr="006120A4" w:rsidDel="006120A4">
        <w:t xml:space="preserve"> </w:t>
      </w:r>
    </w:p>
    <w:p w14:paraId="4554597D" w14:textId="77777777" w:rsidR="008A4646" w:rsidRDefault="008A4646">
      <w:r>
        <w:br w:type="page"/>
      </w:r>
    </w:p>
    <w:p w14:paraId="71B3B5C5" w14:textId="77777777" w:rsidR="004F1656" w:rsidRDefault="004F1656" w:rsidP="008A4646">
      <w:pPr>
        <w:pStyle w:val="3rove-trval"/>
        <w:numPr>
          <w:ilvl w:val="0"/>
          <w:numId w:val="0"/>
        </w:numPr>
        <w:ind w:left="1304"/>
      </w:pP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5DF40187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882FD4">
        <w:t>,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14209564" w:rsidR="00D9597D" w:rsidRPr="00EB1154" w:rsidRDefault="00747C54" w:rsidP="00C37053">
      <w:pPr>
        <w:pStyle w:val="3rove-trval"/>
      </w:pPr>
      <w:r>
        <w:t>změna názvu příjemce</w:t>
      </w:r>
      <w:r w:rsidR="00882FD4">
        <w:t>,</w:t>
      </w:r>
    </w:p>
    <w:p w14:paraId="02717BA8" w14:textId="0F6BF08C" w:rsidR="00747C54" w:rsidRDefault="00882FD4" w:rsidP="00C37053">
      <w:pPr>
        <w:pStyle w:val="3rove-trval"/>
      </w:pPr>
      <w:r>
        <w:t xml:space="preserve">změna názvu </w:t>
      </w:r>
      <w:r w:rsidR="00747C54">
        <w:t>projektu při zachování účelu a všech ostatních param</w:t>
      </w:r>
      <w:r>
        <w:t xml:space="preserve">etrů </w:t>
      </w:r>
      <w:r w:rsidR="00747C54">
        <w:t>projektu,</w:t>
      </w:r>
    </w:p>
    <w:p w14:paraId="56A18FA8" w14:textId="2F7B9F0D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223CC408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882FD4">
        <w:t>.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4E56F876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798699E3" w14:textId="06E3EA5E" w:rsidR="006940AC" w:rsidRDefault="006940AC" w:rsidP="002321A0">
      <w:pPr>
        <w:pStyle w:val="3rove-trval"/>
      </w:pPr>
      <w:r>
        <w:t>prohlášení příjemce dle čl. 5.9 se prokáže jako nepravdivé</w:t>
      </w:r>
      <w:r w:rsidR="003A571F">
        <w:t>,</w:t>
      </w:r>
    </w:p>
    <w:p w14:paraId="6EC6B722" w14:textId="620D5B7B" w:rsidR="00504796" w:rsidRDefault="00504796" w:rsidP="002321A0">
      <w:pPr>
        <w:pStyle w:val="3rove-trval"/>
      </w:pPr>
      <w:r>
        <w:t>poruší pravidla veřejné podpory</w:t>
      </w:r>
      <w:r w:rsidR="00506961">
        <w:t xml:space="preserve"> zejména dle čl. 5.</w:t>
      </w:r>
      <w:r w:rsidR="006940AC">
        <w:t>10</w:t>
      </w:r>
      <w:r>
        <w:t>,</w:t>
      </w:r>
      <w:r w:rsidR="00EE4740">
        <w:t xml:space="preserve"> 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lastRenderedPageBreak/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36003488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</w:t>
      </w:r>
      <w:r w:rsidR="00882FD4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3006B521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</w:t>
      </w:r>
      <w:r w:rsidR="00B47B70">
        <w:t> </w:t>
      </w:r>
      <w:r w:rsidRPr="00BC32A3">
        <w:t>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5BA502CA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68E5BC" w14:textId="77777777" w:rsidR="00B47B70" w:rsidRDefault="00B47B70" w:rsidP="00B47B70">
      <w:pPr>
        <w:pStyle w:val="2rove"/>
        <w:numPr>
          <w:ilvl w:val="0"/>
          <w:numId w:val="0"/>
        </w:numPr>
        <w:ind w:left="567"/>
      </w:pP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298B4FD7" w:rsidR="00EC4D55" w:rsidRDefault="00EC4D55" w:rsidP="002321A0">
      <w:pPr>
        <w:pStyle w:val="2rove"/>
      </w:pPr>
      <w:r w:rsidRPr="00EC4D55">
        <w:t xml:space="preserve">Jako kontaktní místo poskytovatele se pro účely této smlouvy stanovuje: Krajský úřad Zlínského kraje, </w:t>
      </w:r>
      <w:r w:rsidR="001325E1">
        <w:t>O</w:t>
      </w:r>
      <w:r w:rsidRPr="00EC4D55">
        <w:t>dbor</w:t>
      </w:r>
      <w:r w:rsidR="00882FD4">
        <w:t> strategického rozvoje kraje</w:t>
      </w:r>
      <w:r w:rsidRPr="00EC4D55">
        <w:t>,</w:t>
      </w:r>
      <w:r w:rsidR="00882FD4">
        <w:t> Ing. Dana Koplíková</w:t>
      </w:r>
      <w:r w:rsidRPr="00EC4D55">
        <w:t>, tel.:</w:t>
      </w:r>
      <w:r w:rsidR="00882FD4">
        <w:t> 577 043 404</w:t>
      </w:r>
      <w:r>
        <w:t xml:space="preserve">, </w:t>
      </w:r>
      <w:r w:rsidRPr="00EC4D55">
        <w:t>e-mail:</w:t>
      </w:r>
      <w:r w:rsidR="002321A0">
        <w:t> </w:t>
      </w:r>
      <w:r w:rsidR="00882FD4">
        <w:t>dana.koplikova</w:t>
      </w:r>
      <w:r w:rsidR="00882FD4">
        <w:rPr>
          <w:rFonts w:cs="Arial"/>
        </w:rPr>
        <w:t>@</w:t>
      </w:r>
      <w:r w:rsidR="00882FD4">
        <w:t>zlinsky</w:t>
      </w:r>
      <w:r w:rsidR="002E32BC">
        <w:t>kraj</w:t>
      </w:r>
      <w:r w:rsidR="00882FD4">
        <w:t>.cz.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636F8D7B" w:rsidR="00EC4D55" w:rsidRDefault="00EC4D55" w:rsidP="002321A0">
      <w:pPr>
        <w:pStyle w:val="2rove"/>
      </w:pPr>
      <w:r w:rsidRPr="00BC32A3">
        <w:t>Smlouva je vyhotovena ve</w:t>
      </w:r>
      <w:r w:rsidR="00882FD4">
        <w:t> třech</w:t>
      </w:r>
      <w:r w:rsidRPr="00BC32A3">
        <w:t xml:space="preserve"> stejnopisech, z nichž každý má platnost originálu.</w:t>
      </w:r>
      <w:r w:rsidR="00882FD4">
        <w:t> Dvě</w:t>
      </w:r>
      <w:r>
        <w:t xml:space="preserve"> </w:t>
      </w:r>
      <w:r w:rsidRPr="00BC32A3">
        <w:t>vyhotovení obdrží poskytovatel a</w:t>
      </w:r>
      <w:r w:rsidR="00882FD4">
        <w:t> jedno</w:t>
      </w:r>
      <w:r>
        <w:t xml:space="preserve"> </w:t>
      </w:r>
      <w:r w:rsidRPr="00BC32A3">
        <w:t>vyhotovení obdrží příjemce</w:t>
      </w:r>
      <w:r>
        <w:t>.</w:t>
      </w:r>
    </w:p>
    <w:p w14:paraId="197971F9" w14:textId="0A218960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</w:t>
      </w:r>
      <w:r w:rsidR="00882FD4">
        <w:t>říjemce bezodkladně informován.</w:t>
      </w:r>
    </w:p>
    <w:p w14:paraId="63160ED5" w14:textId="745BE6C5" w:rsidR="00F75253" w:rsidRDefault="00F75253" w:rsidP="002321A0">
      <w:pPr>
        <w:pStyle w:val="2rove"/>
      </w:pPr>
      <w:r w:rsidRPr="00BC32A3">
        <w:t>Tat</w:t>
      </w:r>
      <w:r w:rsidR="00882FD4">
        <w:t xml:space="preserve">o smlouva nabývá účinnosti </w:t>
      </w:r>
      <w:r w:rsidRPr="00BC32A3">
        <w:t>dnem zveřejnění v registru sm</w:t>
      </w:r>
      <w:r w:rsidR="00882FD4">
        <w:t>luv.</w:t>
      </w:r>
    </w:p>
    <w:p w14:paraId="2DF00106" w14:textId="04508194" w:rsidR="008A4646" w:rsidRDefault="008A4646">
      <w:r>
        <w:br w:type="page"/>
      </w:r>
    </w:p>
    <w:p w14:paraId="04B114F9" w14:textId="22D70538" w:rsidR="00B47B70" w:rsidRDefault="00B47B70"/>
    <w:p w14:paraId="25B46589" w14:textId="77777777" w:rsidR="00882FD4" w:rsidRDefault="00882FD4" w:rsidP="00882FD4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789DE4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882FD4">
        <w:rPr>
          <w:rFonts w:cs="Arial"/>
          <w:szCs w:val="20"/>
        </w:rPr>
        <w:t> Zastupitelstvo Zlínského kraje</w:t>
      </w:r>
    </w:p>
    <w:p w14:paraId="4F7A8297" w14:textId="2538F79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882FD4">
        <w:rPr>
          <w:rFonts w:cs="Arial"/>
          <w:szCs w:val="20"/>
        </w:rPr>
        <w:t> 1</w:t>
      </w:r>
      <w:r w:rsidR="002E32BC">
        <w:rPr>
          <w:rFonts w:cs="Arial"/>
          <w:szCs w:val="20"/>
        </w:rPr>
        <w:t>1</w:t>
      </w:r>
      <w:r w:rsidR="00882FD4">
        <w:rPr>
          <w:rFonts w:cs="Arial"/>
          <w:szCs w:val="20"/>
        </w:rPr>
        <w:t>. 12. 202</w:t>
      </w:r>
      <w:r w:rsidR="002E32BC">
        <w:rPr>
          <w:rFonts w:cs="Arial"/>
          <w:szCs w:val="20"/>
        </w:rPr>
        <w:t>3</w:t>
      </w:r>
      <w:r w:rsidR="00882FD4">
        <w:rPr>
          <w:rFonts w:cs="Arial"/>
          <w:szCs w:val="20"/>
        </w:rPr>
        <w:t>, č. u</w:t>
      </w:r>
      <w:r w:rsidR="00631DAB">
        <w:rPr>
          <w:rFonts w:cs="Arial"/>
          <w:szCs w:val="20"/>
        </w:rPr>
        <w:t>snesení 0</w:t>
      </w:r>
      <w:r w:rsidR="00FF21E1">
        <w:rPr>
          <w:rFonts w:cs="Arial"/>
          <w:szCs w:val="20"/>
        </w:rPr>
        <w:t>678</w:t>
      </w:r>
      <w:r w:rsidR="00631DAB">
        <w:rPr>
          <w:rFonts w:cs="Arial"/>
          <w:szCs w:val="20"/>
        </w:rPr>
        <w:t>/Z</w:t>
      </w:r>
      <w:r w:rsidR="002E32BC">
        <w:rPr>
          <w:rFonts w:cs="Arial"/>
          <w:szCs w:val="20"/>
        </w:rPr>
        <w:t>2</w:t>
      </w:r>
      <w:r w:rsidR="00631DAB">
        <w:rPr>
          <w:rFonts w:cs="Arial"/>
          <w:szCs w:val="20"/>
        </w:rPr>
        <w:t>1/2</w:t>
      </w:r>
      <w:r w:rsidR="002E32BC">
        <w:rPr>
          <w:rFonts w:cs="Arial"/>
          <w:szCs w:val="20"/>
        </w:rPr>
        <w:t>3</w:t>
      </w:r>
    </w:p>
    <w:p w14:paraId="5096B059" w14:textId="6D35409C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78786A4C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7B2029">
              <w:t>23.1.2024</w:t>
            </w:r>
          </w:p>
        </w:tc>
        <w:tc>
          <w:tcPr>
            <w:tcW w:w="4531" w:type="dxa"/>
            <w:vAlign w:val="center"/>
          </w:tcPr>
          <w:p w14:paraId="6BD02E02" w14:textId="1B9EBE79" w:rsidR="006A4FA0" w:rsidRDefault="006A4FA0" w:rsidP="00631DAB">
            <w:pPr>
              <w:spacing w:line="276" w:lineRule="auto"/>
            </w:pPr>
            <w:r>
              <w:t>V</w:t>
            </w:r>
            <w:r w:rsidR="003A571F">
              <w:t>e</w:t>
            </w:r>
            <w:r w:rsidR="002321A0">
              <w:t> </w:t>
            </w:r>
            <w:r w:rsidR="00631DAB">
              <w:t>Zlíně</w:t>
            </w:r>
            <w:r>
              <w:t xml:space="preserve"> dne</w:t>
            </w:r>
            <w:r w:rsidR="002321A0">
              <w:t> </w:t>
            </w:r>
            <w:r w:rsidR="007B2029">
              <w:t>15.1.2024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EF8AF01" w14:textId="77777777" w:rsidR="006A4FA0" w:rsidRDefault="006A4FA0" w:rsidP="00E82920">
            <w:pPr>
              <w:spacing w:line="276" w:lineRule="auto"/>
            </w:pPr>
          </w:p>
          <w:p w14:paraId="4EA03B18" w14:textId="657E6931" w:rsidR="00882FD4" w:rsidRDefault="00882FD4" w:rsidP="00E82920">
            <w:pPr>
              <w:spacing w:line="276" w:lineRule="auto"/>
            </w:pPr>
          </w:p>
          <w:p w14:paraId="3D9669E6" w14:textId="77777777" w:rsidR="003A571F" w:rsidRDefault="003A571F" w:rsidP="00E82920">
            <w:pPr>
              <w:spacing w:line="276" w:lineRule="auto"/>
            </w:pPr>
          </w:p>
          <w:p w14:paraId="580CB86D" w14:textId="6C7EABAE" w:rsidR="00882FD4" w:rsidRDefault="007B2029" w:rsidP="00E82920">
            <w:pPr>
              <w:spacing w:line="276" w:lineRule="auto"/>
            </w:pPr>
            <w:r>
              <w:t>XXXXXXXXXXXXXXXXXXXX</w:t>
            </w:r>
          </w:p>
          <w:p w14:paraId="0B03C875" w14:textId="4AA74CB1" w:rsidR="00882FD4" w:rsidRDefault="00882FD4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0B1BE18B" w14:textId="77777777" w:rsidR="006A4FA0" w:rsidRDefault="006A4FA0" w:rsidP="00E82920">
            <w:pPr>
              <w:spacing w:line="276" w:lineRule="auto"/>
            </w:pPr>
          </w:p>
          <w:p w14:paraId="1E0EAEC2" w14:textId="77777777" w:rsidR="007B2029" w:rsidRDefault="007B2029" w:rsidP="00E82920">
            <w:pPr>
              <w:spacing w:line="276" w:lineRule="auto"/>
            </w:pPr>
          </w:p>
          <w:p w14:paraId="2B2DF9AC" w14:textId="590473BA" w:rsidR="007B2029" w:rsidRDefault="007B2029" w:rsidP="00E82920">
            <w:pPr>
              <w:spacing w:line="276" w:lineRule="auto"/>
            </w:pPr>
            <w:r>
              <w:t>XXXXXXXXXXXXXXXXXXXXXXX</w:t>
            </w: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E55EBB7" w14:textId="77777777" w:rsidR="00631DAB" w:rsidRDefault="00882FD4" w:rsidP="00631DAB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</w:p>
          <w:p w14:paraId="2EDC7A34" w14:textId="6C5830D2" w:rsidR="006A4FA0" w:rsidRDefault="006A4FA0" w:rsidP="00631DAB">
            <w:pPr>
              <w:spacing w:line="276" w:lineRule="auto"/>
            </w:pPr>
            <w:r>
              <w:t xml:space="preserve">hejtman </w:t>
            </w:r>
          </w:p>
        </w:tc>
        <w:tc>
          <w:tcPr>
            <w:tcW w:w="4531" w:type="dxa"/>
            <w:vAlign w:val="center"/>
          </w:tcPr>
          <w:p w14:paraId="198191DC" w14:textId="76258936" w:rsidR="006A4FA0" w:rsidRDefault="007B2029" w:rsidP="00631DAB">
            <w:pPr>
              <w:pStyle w:val="Bezmezer"/>
              <w:spacing w:line="276" w:lineRule="auto"/>
            </w:pPr>
            <w:r>
              <w:t>………………………………………….</w:t>
            </w:r>
          </w:p>
        </w:tc>
      </w:tr>
    </w:tbl>
    <w:p w14:paraId="1F223B23" w14:textId="77777777" w:rsidR="00971B6C" w:rsidRDefault="00971B6C" w:rsidP="00444BAA">
      <w:pPr>
        <w:pStyle w:val="Hlavntextlnksmlouvy"/>
        <w:numPr>
          <w:ilvl w:val="0"/>
          <w:numId w:val="0"/>
        </w:numPr>
        <w:spacing w:line="276" w:lineRule="auto"/>
      </w:pPr>
    </w:p>
    <w:sectPr w:rsidR="00971B6C" w:rsidSect="00340B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947D" w14:textId="77777777" w:rsidR="00BB5751" w:rsidRDefault="00BB5751" w:rsidP="00324D78">
      <w:pPr>
        <w:spacing w:after="0" w:line="240" w:lineRule="auto"/>
      </w:pPr>
      <w:r>
        <w:separator/>
      </w:r>
    </w:p>
  </w:endnote>
  <w:endnote w:type="continuationSeparator" w:id="0">
    <w:p w14:paraId="58800148" w14:textId="77777777" w:rsidR="00BB5751" w:rsidRDefault="00BB5751" w:rsidP="00324D78">
      <w:pPr>
        <w:spacing w:after="0" w:line="240" w:lineRule="auto"/>
      </w:pPr>
      <w:r>
        <w:continuationSeparator/>
      </w:r>
    </w:p>
  </w:endnote>
  <w:endnote w:type="continuationNotice" w:id="1">
    <w:p w14:paraId="35B6D494" w14:textId="77777777" w:rsidR="00BB5751" w:rsidRDefault="00BB5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56903840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71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71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41A7" w14:textId="77777777" w:rsidR="00BB5751" w:rsidRDefault="00BB5751" w:rsidP="00324D78">
      <w:pPr>
        <w:spacing w:after="0" w:line="240" w:lineRule="auto"/>
      </w:pPr>
      <w:r>
        <w:separator/>
      </w:r>
    </w:p>
  </w:footnote>
  <w:footnote w:type="continuationSeparator" w:id="0">
    <w:p w14:paraId="46063FEA" w14:textId="77777777" w:rsidR="00BB5751" w:rsidRDefault="00BB5751" w:rsidP="00324D78">
      <w:pPr>
        <w:spacing w:after="0" w:line="240" w:lineRule="auto"/>
      </w:pPr>
      <w:r>
        <w:continuationSeparator/>
      </w:r>
    </w:p>
  </w:footnote>
  <w:footnote w:type="continuationNotice" w:id="1">
    <w:p w14:paraId="32459DCA" w14:textId="77777777" w:rsidR="00BB5751" w:rsidRDefault="00BB5751">
      <w:pPr>
        <w:spacing w:after="0" w:line="240" w:lineRule="auto"/>
      </w:pPr>
    </w:p>
  </w:footnote>
  <w:footnote w:id="2">
    <w:p w14:paraId="29D7EE23" w14:textId="30C57B3F" w:rsidR="00E52DBD" w:rsidRPr="0078624E" w:rsidRDefault="00E52DBD" w:rsidP="0078624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BE2E45" w:rsidRPr="00BE2E45">
        <w:rPr>
          <w:rFonts w:ascii="Arial" w:hAnsi="Arial" w:cs="Arial"/>
          <w:i/>
          <w:sz w:val="18"/>
          <w:szCs w:val="18"/>
        </w:rPr>
        <w:t>S</w:t>
      </w:r>
      <w:r w:rsidRPr="0078624E">
        <w:rPr>
          <w:rFonts w:ascii="Arial" w:hAnsi="Arial" w:cs="Arial"/>
          <w:i/>
          <w:sz w:val="18"/>
          <w:szCs w:val="18"/>
        </w:rPr>
        <w:t>měrnice SM/43/03/18 (Obecně prospěšné společnosti – pravidla řízení a dokumenty) – schváleno Radou ZK usnesením č. 0883/R27/18 dne 31. 10. 2018 (Část A – Pravidla přípravy správní rady a dokumenty schvalované správní radou)</w:t>
      </w:r>
      <w:r w:rsidRPr="0078624E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27F507F0" w14:textId="77777777" w:rsidR="005269E1" w:rsidRPr="0078624E" w:rsidRDefault="005269E1" w:rsidP="0078624E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8624E">
        <w:rPr>
          <w:rFonts w:ascii="Arial" w:hAnsi="Arial" w:cs="Arial"/>
          <w:i/>
          <w:sz w:val="18"/>
          <w:szCs w:val="18"/>
        </w:rPr>
        <w:t>Čl. 2 odst. 2 nařízení Evropské komise č. 1407/2013</w:t>
      </w:r>
    </w:p>
  </w:footnote>
  <w:footnote w:id="4">
    <w:p w14:paraId="7E3E538E" w14:textId="635C0C54" w:rsidR="005269E1" w:rsidRPr="0078624E" w:rsidRDefault="005269E1" w:rsidP="0078624E">
      <w:pPr>
        <w:pStyle w:val="Textpoznpodarou"/>
        <w:spacing w:before="60"/>
        <w:jc w:val="both"/>
        <w:rPr>
          <w:rFonts w:ascii="Arial" w:hAnsi="Arial" w:cs="Arial"/>
          <w:i/>
          <w:sz w:val="18"/>
          <w:szCs w:val="18"/>
        </w:rPr>
      </w:pPr>
      <w:r w:rsidRPr="0078624E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8624E">
        <w:rPr>
          <w:rFonts w:ascii="Arial" w:hAnsi="Arial" w:cs="Arial"/>
          <w:i/>
          <w:sz w:val="18"/>
          <w:szCs w:val="18"/>
        </w:rPr>
        <w:t xml:space="preserve"> </w:t>
      </w:r>
      <w:r w:rsidR="00BE2E45">
        <w:rPr>
          <w:rFonts w:ascii="Arial" w:hAnsi="Arial" w:cs="Arial"/>
          <w:i/>
          <w:sz w:val="18"/>
          <w:szCs w:val="18"/>
        </w:rPr>
        <w:t>B</w:t>
      </w:r>
      <w:r w:rsidRPr="0078624E">
        <w:rPr>
          <w:rFonts w:ascii="Arial" w:hAnsi="Arial" w:cs="Arial"/>
          <w:i/>
          <w:sz w:val="18"/>
          <w:szCs w:val="18"/>
        </w:rPr>
        <w:t>od 20 Sdělení Komise č. 2014/C 249/01 - Pokyny pro státní podporu na záchranu a restrukturalizaci nefinančních podniků v obtížích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6C1CDADC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376926696">
    <w:abstractNumId w:val="2"/>
  </w:num>
  <w:num w:numId="2" w16cid:durableId="679697330">
    <w:abstractNumId w:val="4"/>
  </w:num>
  <w:num w:numId="3" w16cid:durableId="1958561700">
    <w:abstractNumId w:val="2"/>
  </w:num>
  <w:num w:numId="4" w16cid:durableId="714501142">
    <w:abstractNumId w:val="2"/>
  </w:num>
  <w:num w:numId="5" w16cid:durableId="1379471697">
    <w:abstractNumId w:val="2"/>
  </w:num>
  <w:num w:numId="6" w16cid:durableId="1146164942">
    <w:abstractNumId w:val="2"/>
  </w:num>
  <w:num w:numId="7" w16cid:durableId="1792245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399150">
    <w:abstractNumId w:val="2"/>
  </w:num>
  <w:num w:numId="9" w16cid:durableId="2023969619">
    <w:abstractNumId w:val="2"/>
  </w:num>
  <w:num w:numId="10" w16cid:durableId="296882160">
    <w:abstractNumId w:val="2"/>
  </w:num>
  <w:num w:numId="11" w16cid:durableId="921716676">
    <w:abstractNumId w:val="2"/>
  </w:num>
  <w:num w:numId="12" w16cid:durableId="1010137497">
    <w:abstractNumId w:val="0"/>
  </w:num>
  <w:num w:numId="13" w16cid:durableId="1260526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383530261">
    <w:abstractNumId w:val="3"/>
  </w:num>
  <w:num w:numId="15" w16cid:durableId="1081415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893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9970200">
    <w:abstractNumId w:val="2"/>
  </w:num>
  <w:num w:numId="18" w16cid:durableId="2033873841">
    <w:abstractNumId w:val="2"/>
  </w:num>
  <w:num w:numId="19" w16cid:durableId="1937707496">
    <w:abstractNumId w:val="2"/>
  </w:num>
  <w:num w:numId="20" w16cid:durableId="31464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2BE4"/>
    <w:rsid w:val="00077168"/>
    <w:rsid w:val="00090713"/>
    <w:rsid w:val="00095DF0"/>
    <w:rsid w:val="00097AA1"/>
    <w:rsid w:val="000A6E68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6170"/>
    <w:rsid w:val="001325E1"/>
    <w:rsid w:val="00136A61"/>
    <w:rsid w:val="001422DD"/>
    <w:rsid w:val="0014635F"/>
    <w:rsid w:val="001575B6"/>
    <w:rsid w:val="00165E3A"/>
    <w:rsid w:val="00167DA7"/>
    <w:rsid w:val="001727DF"/>
    <w:rsid w:val="0017738B"/>
    <w:rsid w:val="00177FB1"/>
    <w:rsid w:val="00185DE1"/>
    <w:rsid w:val="001C4D9E"/>
    <w:rsid w:val="001C6112"/>
    <w:rsid w:val="001D227C"/>
    <w:rsid w:val="001E11F1"/>
    <w:rsid w:val="001E22BF"/>
    <w:rsid w:val="001E5A62"/>
    <w:rsid w:val="001F53B9"/>
    <w:rsid w:val="002031A5"/>
    <w:rsid w:val="002065FF"/>
    <w:rsid w:val="00211237"/>
    <w:rsid w:val="00214E04"/>
    <w:rsid w:val="00220F80"/>
    <w:rsid w:val="00222CBA"/>
    <w:rsid w:val="00223423"/>
    <w:rsid w:val="002321A0"/>
    <w:rsid w:val="0024040E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215A"/>
    <w:rsid w:val="002E32BC"/>
    <w:rsid w:val="002F1623"/>
    <w:rsid w:val="002F5B20"/>
    <w:rsid w:val="003042E9"/>
    <w:rsid w:val="00306C0D"/>
    <w:rsid w:val="0030743E"/>
    <w:rsid w:val="00313590"/>
    <w:rsid w:val="00313DE9"/>
    <w:rsid w:val="0031530C"/>
    <w:rsid w:val="00324D78"/>
    <w:rsid w:val="00340702"/>
    <w:rsid w:val="00340B35"/>
    <w:rsid w:val="00356588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A571F"/>
    <w:rsid w:val="003B4183"/>
    <w:rsid w:val="003B4F68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412219"/>
    <w:rsid w:val="004131ED"/>
    <w:rsid w:val="00430948"/>
    <w:rsid w:val="00432A5A"/>
    <w:rsid w:val="004340C5"/>
    <w:rsid w:val="004365DE"/>
    <w:rsid w:val="00441B3B"/>
    <w:rsid w:val="00444289"/>
    <w:rsid w:val="00444BAA"/>
    <w:rsid w:val="00454C62"/>
    <w:rsid w:val="00473597"/>
    <w:rsid w:val="004746BC"/>
    <w:rsid w:val="00485683"/>
    <w:rsid w:val="004872A7"/>
    <w:rsid w:val="004942FC"/>
    <w:rsid w:val="00496893"/>
    <w:rsid w:val="004A3A15"/>
    <w:rsid w:val="004A49A2"/>
    <w:rsid w:val="004B6331"/>
    <w:rsid w:val="004C72FD"/>
    <w:rsid w:val="004D67D0"/>
    <w:rsid w:val="004D7E38"/>
    <w:rsid w:val="004E4E47"/>
    <w:rsid w:val="004F068F"/>
    <w:rsid w:val="004F1656"/>
    <w:rsid w:val="00504796"/>
    <w:rsid w:val="00506961"/>
    <w:rsid w:val="005069B4"/>
    <w:rsid w:val="00511FE4"/>
    <w:rsid w:val="005160EE"/>
    <w:rsid w:val="00516C51"/>
    <w:rsid w:val="005222E8"/>
    <w:rsid w:val="00524DE4"/>
    <w:rsid w:val="005269E1"/>
    <w:rsid w:val="00530D1A"/>
    <w:rsid w:val="005405D6"/>
    <w:rsid w:val="0056114B"/>
    <w:rsid w:val="005651A6"/>
    <w:rsid w:val="00567CAC"/>
    <w:rsid w:val="005803A9"/>
    <w:rsid w:val="0058284A"/>
    <w:rsid w:val="00584FAF"/>
    <w:rsid w:val="00586C8E"/>
    <w:rsid w:val="00592774"/>
    <w:rsid w:val="005B1088"/>
    <w:rsid w:val="005B3156"/>
    <w:rsid w:val="005C0FC8"/>
    <w:rsid w:val="005C3F37"/>
    <w:rsid w:val="005C5366"/>
    <w:rsid w:val="005D7A57"/>
    <w:rsid w:val="005F5EF1"/>
    <w:rsid w:val="006033A0"/>
    <w:rsid w:val="00610168"/>
    <w:rsid w:val="006120A4"/>
    <w:rsid w:val="006128F2"/>
    <w:rsid w:val="006137BD"/>
    <w:rsid w:val="006140EB"/>
    <w:rsid w:val="00620363"/>
    <w:rsid w:val="00626FA3"/>
    <w:rsid w:val="00631DAB"/>
    <w:rsid w:val="00641673"/>
    <w:rsid w:val="00641A0A"/>
    <w:rsid w:val="00663A3B"/>
    <w:rsid w:val="00664E5A"/>
    <w:rsid w:val="00674C5D"/>
    <w:rsid w:val="0067509E"/>
    <w:rsid w:val="00693C73"/>
    <w:rsid w:val="006940AC"/>
    <w:rsid w:val="00694C65"/>
    <w:rsid w:val="006A2C40"/>
    <w:rsid w:val="006A39C7"/>
    <w:rsid w:val="006A4FA0"/>
    <w:rsid w:val="006C53E4"/>
    <w:rsid w:val="006E48D9"/>
    <w:rsid w:val="006F0A9F"/>
    <w:rsid w:val="00703656"/>
    <w:rsid w:val="0071018E"/>
    <w:rsid w:val="007235CF"/>
    <w:rsid w:val="007350A1"/>
    <w:rsid w:val="00740741"/>
    <w:rsid w:val="00747C54"/>
    <w:rsid w:val="00760945"/>
    <w:rsid w:val="00766DAA"/>
    <w:rsid w:val="0077026D"/>
    <w:rsid w:val="00771A67"/>
    <w:rsid w:val="0078624E"/>
    <w:rsid w:val="00794512"/>
    <w:rsid w:val="007A3EEB"/>
    <w:rsid w:val="007B1390"/>
    <w:rsid w:val="007B16C0"/>
    <w:rsid w:val="007B2029"/>
    <w:rsid w:val="007B258A"/>
    <w:rsid w:val="007C01EB"/>
    <w:rsid w:val="007C1859"/>
    <w:rsid w:val="007C2258"/>
    <w:rsid w:val="007D786E"/>
    <w:rsid w:val="007E1791"/>
    <w:rsid w:val="007F3815"/>
    <w:rsid w:val="008024B4"/>
    <w:rsid w:val="00812EE0"/>
    <w:rsid w:val="0081667A"/>
    <w:rsid w:val="008209BF"/>
    <w:rsid w:val="00836085"/>
    <w:rsid w:val="008366B8"/>
    <w:rsid w:val="008414F3"/>
    <w:rsid w:val="00846F07"/>
    <w:rsid w:val="00856A2E"/>
    <w:rsid w:val="00860737"/>
    <w:rsid w:val="00863E76"/>
    <w:rsid w:val="00864DD2"/>
    <w:rsid w:val="00867936"/>
    <w:rsid w:val="00870EEC"/>
    <w:rsid w:val="00882FD4"/>
    <w:rsid w:val="0088567B"/>
    <w:rsid w:val="008861B6"/>
    <w:rsid w:val="00887BFA"/>
    <w:rsid w:val="00890E4B"/>
    <w:rsid w:val="008A4646"/>
    <w:rsid w:val="008A6407"/>
    <w:rsid w:val="008B3CAE"/>
    <w:rsid w:val="008C55EA"/>
    <w:rsid w:val="008D0B91"/>
    <w:rsid w:val="008D1EBC"/>
    <w:rsid w:val="008D374D"/>
    <w:rsid w:val="008E75C2"/>
    <w:rsid w:val="008E7B6E"/>
    <w:rsid w:val="009021DC"/>
    <w:rsid w:val="00911D65"/>
    <w:rsid w:val="009139D6"/>
    <w:rsid w:val="00921CB8"/>
    <w:rsid w:val="00927879"/>
    <w:rsid w:val="00930026"/>
    <w:rsid w:val="00945CBF"/>
    <w:rsid w:val="009465C0"/>
    <w:rsid w:val="009514A5"/>
    <w:rsid w:val="009609DE"/>
    <w:rsid w:val="009631A7"/>
    <w:rsid w:val="00963551"/>
    <w:rsid w:val="00971B6C"/>
    <w:rsid w:val="009726C2"/>
    <w:rsid w:val="00972C54"/>
    <w:rsid w:val="00980936"/>
    <w:rsid w:val="00986F29"/>
    <w:rsid w:val="00990D91"/>
    <w:rsid w:val="0099201B"/>
    <w:rsid w:val="009954FF"/>
    <w:rsid w:val="009A1660"/>
    <w:rsid w:val="009A352F"/>
    <w:rsid w:val="009A7B68"/>
    <w:rsid w:val="009B704A"/>
    <w:rsid w:val="009C5298"/>
    <w:rsid w:val="009C62B9"/>
    <w:rsid w:val="009D6548"/>
    <w:rsid w:val="009E1DBD"/>
    <w:rsid w:val="009E455A"/>
    <w:rsid w:val="00A03A9E"/>
    <w:rsid w:val="00A11E59"/>
    <w:rsid w:val="00A16779"/>
    <w:rsid w:val="00A233FD"/>
    <w:rsid w:val="00A326C7"/>
    <w:rsid w:val="00A33037"/>
    <w:rsid w:val="00A35B90"/>
    <w:rsid w:val="00A37596"/>
    <w:rsid w:val="00A439DD"/>
    <w:rsid w:val="00A517D6"/>
    <w:rsid w:val="00A64E56"/>
    <w:rsid w:val="00A66CDB"/>
    <w:rsid w:val="00A75A68"/>
    <w:rsid w:val="00A954DB"/>
    <w:rsid w:val="00A96CAC"/>
    <w:rsid w:val="00AB01C1"/>
    <w:rsid w:val="00AB4AFB"/>
    <w:rsid w:val="00AD41BD"/>
    <w:rsid w:val="00AF403C"/>
    <w:rsid w:val="00B007CA"/>
    <w:rsid w:val="00B036EE"/>
    <w:rsid w:val="00B06852"/>
    <w:rsid w:val="00B21DB2"/>
    <w:rsid w:val="00B24D28"/>
    <w:rsid w:val="00B369D3"/>
    <w:rsid w:val="00B43670"/>
    <w:rsid w:val="00B47B70"/>
    <w:rsid w:val="00B56AC2"/>
    <w:rsid w:val="00B57038"/>
    <w:rsid w:val="00B60582"/>
    <w:rsid w:val="00B64E1E"/>
    <w:rsid w:val="00B7467E"/>
    <w:rsid w:val="00BA4782"/>
    <w:rsid w:val="00BB1F5D"/>
    <w:rsid w:val="00BB5751"/>
    <w:rsid w:val="00BD1A1B"/>
    <w:rsid w:val="00BD1A8B"/>
    <w:rsid w:val="00BD2867"/>
    <w:rsid w:val="00BD3997"/>
    <w:rsid w:val="00BD6C23"/>
    <w:rsid w:val="00BD792D"/>
    <w:rsid w:val="00BE049C"/>
    <w:rsid w:val="00BE199A"/>
    <w:rsid w:val="00BE1FEE"/>
    <w:rsid w:val="00BE2E45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2A7D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B1B5B"/>
    <w:rsid w:val="00CB57BD"/>
    <w:rsid w:val="00CB78A2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43CD"/>
    <w:rsid w:val="00D449CF"/>
    <w:rsid w:val="00D53684"/>
    <w:rsid w:val="00D62FDD"/>
    <w:rsid w:val="00D64AB1"/>
    <w:rsid w:val="00D65F4F"/>
    <w:rsid w:val="00D77279"/>
    <w:rsid w:val="00D81B61"/>
    <w:rsid w:val="00D81DAF"/>
    <w:rsid w:val="00D81E06"/>
    <w:rsid w:val="00D854BA"/>
    <w:rsid w:val="00D86174"/>
    <w:rsid w:val="00D87383"/>
    <w:rsid w:val="00D9597D"/>
    <w:rsid w:val="00DB0265"/>
    <w:rsid w:val="00DB2509"/>
    <w:rsid w:val="00DC297B"/>
    <w:rsid w:val="00DD4DBC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52449"/>
    <w:rsid w:val="00E52928"/>
    <w:rsid w:val="00E52DBD"/>
    <w:rsid w:val="00E57923"/>
    <w:rsid w:val="00E652C8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6AF6"/>
    <w:rsid w:val="00F351E6"/>
    <w:rsid w:val="00F3780D"/>
    <w:rsid w:val="00F40D13"/>
    <w:rsid w:val="00F43D0C"/>
    <w:rsid w:val="00F50470"/>
    <w:rsid w:val="00F575F2"/>
    <w:rsid w:val="00F64A64"/>
    <w:rsid w:val="00F71A22"/>
    <w:rsid w:val="00F75253"/>
    <w:rsid w:val="00F82245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2B00"/>
    <w:rsid w:val="00FE69B7"/>
    <w:rsid w:val="00FE734D"/>
    <w:rsid w:val="00FF0072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6FD90-FAF8-4E21-92FE-DABC2EB8B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CD942-6FCF-4114-82CB-F04C249D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170</TotalTime>
  <Pages>9</Pages>
  <Words>4098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29</cp:revision>
  <dcterms:created xsi:type="dcterms:W3CDTF">2022-12-05T07:54:00Z</dcterms:created>
  <dcterms:modified xsi:type="dcterms:W3CDTF">2024-01-24T06:56:00Z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